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宋体" w:hAnsi="宋体" w:cs="宋体"/>
          <w:b/>
          <w:bCs/>
          <w:kern w:val="0"/>
          <w:sz w:val="28"/>
          <w:szCs w:val="36"/>
        </w:rPr>
      </w:pPr>
      <w:r>
        <w:rPr>
          <w:rFonts w:ascii="黑体" w:eastAsia="黑体" w:hAnsi="黑体" w:cs="宋体" w:hint="eastAsia"/>
          <w:b/>
          <w:bCs/>
          <w:kern w:val="0"/>
          <w:sz w:val="32"/>
          <w:szCs w:val="36"/>
        </w:rPr>
        <w:t>附件</w:t>
      </w:r>
      <w:r>
        <w:rPr>
          <w:rFonts w:ascii="黑体" w:eastAsia="黑体" w:hAnsi="黑体" w:cs="宋体"/>
          <w:b/>
          <w:bCs/>
          <w:kern w:val="0"/>
          <w:sz w:val="32"/>
          <w:szCs w:val="36"/>
        </w:rPr>
        <w:t>2</w:t>
      </w:r>
      <w:bookmarkStart w:id="0" w:name="_GoBack"/>
      <w:bookmarkEnd w:id="0"/>
      <w:r>
        <w:rPr>
          <w:rFonts w:ascii="宋体" w:hAnsi="宋体" w:cs="宋体"/>
          <w:b/>
          <w:bCs/>
          <w:kern w:val="0"/>
          <w:sz w:val="28"/>
          <w:szCs w:val="36"/>
        </w:rPr>
        <w:t xml:space="preserve">                 </w:t>
      </w:r>
    </w:p>
    <w:p>
      <w:pPr>
        <w:rPr>
          <w:rFonts w:ascii="宋体" w:hAnsi="宋体" w:cs="宋体"/>
          <w:b/>
          <w:bCs/>
          <w:kern w:val="0"/>
          <w:sz w:val="28"/>
          <w:szCs w:val="36"/>
        </w:rPr>
      </w:pPr>
    </w:p>
    <w:p>
      <w:pPr>
        <w:rPr>
          <w:rFonts w:ascii="宋体" w:hAnsi="宋体" w:cs="宋体"/>
          <w:b/>
          <w:bCs/>
          <w:kern w:val="0"/>
          <w:sz w:val="28"/>
          <w:szCs w:val="36"/>
        </w:rPr>
      </w:pPr>
    </w:p>
    <w:p>
      <w:pPr>
        <w:adjustRightInd w:val="0"/>
        <w:snapToGrid w:val="0"/>
        <w:spacing w:line="920" w:lineRule="exact"/>
        <w:ind w:firstLineChars="650" w:firstLine="3640"/>
        <w:rPr>
          <w:rFonts w:ascii="方正小标宋_GBK" w:eastAsia="方正小标宋_GBK"/>
          <w:sz w:val="56"/>
          <w:szCs w:val="44"/>
        </w:rPr>
      </w:pPr>
      <w:r>
        <w:rPr>
          <w:rFonts w:ascii="方正小标宋简体" w:eastAsia="方正小标宋简体" w:hint="eastAsia"/>
          <w:sz w:val="56"/>
          <w:szCs w:val="44"/>
          <w:u w:val="single"/>
        </w:rPr>
        <w:t xml:space="preserve">       </w:t>
      </w:r>
      <w:r>
        <w:rPr>
          <w:rFonts w:ascii="方正小标宋_GBK" w:eastAsia="方正小标宋_GBK" w:hint="eastAsia"/>
          <w:sz w:val="56"/>
          <w:szCs w:val="44"/>
          <w:u w:val="single"/>
        </w:rPr>
        <w:t xml:space="preserve"> </w:t>
      </w:r>
      <w:r>
        <w:rPr>
          <w:rFonts w:ascii="方正小标宋_GBK" w:eastAsia="方正小标宋_GBK" w:hint="eastAsia"/>
          <w:sz w:val="56"/>
          <w:szCs w:val="44"/>
        </w:rPr>
        <w:t>学院</w:t>
      </w:r>
    </w:p>
    <w:p>
      <w:pPr>
        <w:adjustRightInd w:val="0"/>
        <w:snapToGrid w:val="0"/>
        <w:spacing w:line="920" w:lineRule="exact"/>
        <w:ind w:firstLineChars="300" w:firstLine="1680"/>
        <w:rPr>
          <w:rFonts w:ascii="方正小标宋_GBK" w:eastAsia="方正小标宋_GBK"/>
          <w:sz w:val="56"/>
          <w:szCs w:val="44"/>
        </w:rPr>
      </w:pPr>
      <w:r>
        <w:rPr>
          <w:rFonts w:ascii="方正小标宋_GBK" w:eastAsia="方正小标宋_GBK" w:hint="eastAsia"/>
          <w:sz w:val="56"/>
          <w:szCs w:val="44"/>
        </w:rPr>
        <w:t xml:space="preserve"> 实验室安全自查自纠报告</w:t>
      </w:r>
    </w:p>
    <w:p>
      <w:pPr>
        <w:spacing w:before="120" w:line="440" w:lineRule="exact"/>
        <w:jc w:val="center"/>
        <w:rPr>
          <w:rFonts w:eastAsia="楷体_GB2312"/>
          <w:spacing w:val="16"/>
        </w:rPr>
      </w:pPr>
    </w:p>
    <w:p>
      <w:pPr>
        <w:spacing w:before="120" w:line="440" w:lineRule="exact"/>
        <w:jc w:val="center"/>
        <w:rPr>
          <w:rFonts w:eastAsia="楷体_GB2312"/>
          <w:spacing w:val="16"/>
        </w:rPr>
      </w:pPr>
    </w:p>
    <w:p>
      <w:pPr>
        <w:spacing w:before="120" w:line="440" w:lineRule="exact"/>
        <w:jc w:val="center"/>
        <w:rPr>
          <w:rFonts w:eastAsia="楷体_GB2312"/>
          <w:spacing w:val="16"/>
        </w:rPr>
      </w:pPr>
    </w:p>
    <w:p>
      <w:pPr>
        <w:spacing w:before="120" w:line="440" w:lineRule="exact"/>
        <w:jc w:val="center"/>
        <w:rPr>
          <w:rFonts w:eastAsia="楷体_GB2312"/>
          <w:spacing w:val="16"/>
        </w:rPr>
      </w:pPr>
    </w:p>
    <w:p>
      <w:pPr>
        <w:spacing w:before="120" w:line="400" w:lineRule="exact"/>
        <w:jc w:val="center"/>
        <w:rPr>
          <w:spacing w:val="16"/>
          <w:sz w:val="32"/>
        </w:rPr>
      </w:pPr>
    </w:p>
    <w:p>
      <w:pPr>
        <w:adjustRightInd w:val="0"/>
        <w:snapToGrid w:val="0"/>
        <w:spacing w:line="920" w:lineRule="exact"/>
        <w:ind w:firstLineChars="300" w:firstLine="1224"/>
        <w:rPr>
          <w:rFonts w:eastAsia="黑体"/>
          <w:spacing w:val="4"/>
          <w:sz w:val="40"/>
          <w:u w:val="single"/>
        </w:rPr>
      </w:pPr>
      <w:r>
        <w:rPr>
          <w:rFonts w:eastAsia="黑体" w:hint="eastAsia"/>
          <w:spacing w:val="4"/>
          <w:sz w:val="40"/>
        </w:rPr>
        <w:t>单位名称</w:t>
      </w:r>
      <w:r>
        <w:rPr>
          <w:rFonts w:eastAsia="黑体"/>
          <w:spacing w:val="4"/>
          <w:sz w:val="40"/>
        </w:rPr>
        <w:t>：</w:t>
      </w:r>
      <w:r>
        <w:rPr>
          <w:rFonts w:eastAsia="黑体" w:hint="eastAsia"/>
          <w:spacing w:val="4"/>
          <w:sz w:val="40"/>
          <w:u w:val="single"/>
        </w:rPr>
        <w:t xml:space="preserve"> </w:t>
      </w:r>
      <w:r>
        <w:rPr>
          <w:rFonts w:eastAsia="黑体"/>
          <w:spacing w:val="4"/>
          <w:sz w:val="40"/>
          <w:u w:val="single"/>
        </w:rPr>
        <w:t xml:space="preserve">     </w:t>
      </w:r>
      <w:r>
        <w:rPr>
          <w:rFonts w:eastAsia="黑体" w:hint="eastAsia"/>
          <w:spacing w:val="4"/>
          <w:sz w:val="40"/>
          <w:u w:val="single"/>
        </w:rPr>
        <w:t xml:space="preserve">      </w:t>
      </w:r>
      <w:r>
        <w:rPr>
          <w:rFonts w:eastAsia="黑体"/>
          <w:spacing w:val="4"/>
          <w:sz w:val="40"/>
          <w:u w:val="single"/>
        </w:rPr>
        <w:t xml:space="preserve">    </w:t>
      </w:r>
      <w:r>
        <w:rPr>
          <w:rFonts w:eastAsia="黑体" w:hint="eastAsia"/>
          <w:spacing w:val="4"/>
          <w:sz w:val="40"/>
          <w:u w:val="single"/>
        </w:rPr>
        <w:t xml:space="preserve">  </w:t>
      </w:r>
      <w:r>
        <w:rPr>
          <w:rFonts w:eastAsia="黑体"/>
          <w:spacing w:val="4"/>
          <w:sz w:val="40"/>
          <w:u w:val="single"/>
        </w:rPr>
        <w:t xml:space="preserve"> </w:t>
      </w:r>
    </w:p>
    <w:p>
      <w:pPr>
        <w:adjustRightInd w:val="0"/>
        <w:snapToGrid w:val="0"/>
        <w:spacing w:line="920" w:lineRule="exact"/>
        <w:ind w:firstLineChars="300" w:firstLine="1200"/>
        <w:rPr>
          <w:rFonts w:eastAsia="黑体"/>
          <w:spacing w:val="4"/>
          <w:sz w:val="40"/>
          <w:u w:val="single"/>
        </w:rPr>
      </w:pPr>
      <w:r>
        <w:rPr>
          <w:rFonts w:eastAsia="黑体" w:hint="eastAsia"/>
          <w:kern w:val="0"/>
          <w:sz w:val="40"/>
        </w:rPr>
        <w:t>编</w:t>
      </w:r>
      <w:r>
        <w:rPr>
          <w:rFonts w:eastAsia="黑体" w:hint="eastAsia"/>
          <w:kern w:val="0"/>
          <w:sz w:val="40"/>
        </w:rPr>
        <w:t xml:space="preserve"> </w:t>
      </w:r>
      <w:r>
        <w:rPr>
          <w:rFonts w:eastAsia="黑体" w:hint="eastAsia"/>
          <w:kern w:val="0"/>
          <w:sz w:val="40"/>
        </w:rPr>
        <w:t>写</w:t>
      </w:r>
      <w:r>
        <w:rPr>
          <w:rFonts w:eastAsia="黑体" w:hint="eastAsia"/>
          <w:kern w:val="0"/>
          <w:sz w:val="40"/>
        </w:rPr>
        <w:t xml:space="preserve"> </w:t>
      </w:r>
      <w:r>
        <w:rPr>
          <w:rFonts w:eastAsia="黑体" w:hint="eastAsia"/>
          <w:kern w:val="0"/>
          <w:sz w:val="40"/>
        </w:rPr>
        <w:t>人</w:t>
      </w:r>
      <w:r>
        <w:rPr>
          <w:rFonts w:eastAsia="黑体"/>
          <w:spacing w:val="4"/>
          <w:sz w:val="40"/>
        </w:rPr>
        <w:t>：</w:t>
      </w:r>
      <w:r>
        <w:rPr>
          <w:rFonts w:eastAsia="黑体" w:hint="eastAsia"/>
          <w:spacing w:val="4"/>
          <w:sz w:val="40"/>
          <w:u w:val="single"/>
        </w:rPr>
        <w:t xml:space="preserve"> </w:t>
      </w:r>
      <w:r>
        <w:rPr>
          <w:rFonts w:eastAsia="黑体"/>
          <w:spacing w:val="4"/>
          <w:sz w:val="40"/>
          <w:u w:val="single"/>
        </w:rPr>
        <w:t xml:space="preserve">     </w:t>
      </w:r>
      <w:r>
        <w:rPr>
          <w:rFonts w:eastAsia="黑体" w:hint="eastAsia"/>
          <w:spacing w:val="4"/>
          <w:sz w:val="40"/>
          <w:u w:val="single"/>
        </w:rPr>
        <w:t xml:space="preserve">    </w:t>
      </w:r>
      <w:r>
        <w:rPr>
          <w:rFonts w:eastAsia="黑体"/>
          <w:spacing w:val="4"/>
          <w:sz w:val="40"/>
          <w:u w:val="single"/>
        </w:rPr>
        <w:t xml:space="preserve">   </w:t>
      </w:r>
      <w:r>
        <w:rPr>
          <w:rFonts w:eastAsia="黑体" w:hint="eastAsia"/>
          <w:spacing w:val="4"/>
          <w:sz w:val="40"/>
          <w:u w:val="single"/>
        </w:rPr>
        <w:t xml:space="preserve">     </w:t>
      </w:r>
      <w:r>
        <w:rPr>
          <w:rFonts w:eastAsia="黑体"/>
          <w:spacing w:val="4"/>
          <w:sz w:val="40"/>
          <w:u w:val="single"/>
        </w:rPr>
        <w:t xml:space="preserve"> </w:t>
      </w:r>
    </w:p>
    <w:p>
      <w:pPr>
        <w:adjustRightInd w:val="0"/>
        <w:snapToGrid w:val="0"/>
        <w:spacing w:line="920" w:lineRule="exact"/>
        <w:ind w:firstLineChars="300" w:firstLine="1200"/>
        <w:rPr>
          <w:rFonts w:eastAsia="黑体"/>
          <w:kern w:val="0"/>
          <w:sz w:val="40"/>
        </w:rPr>
      </w:pPr>
      <w:r>
        <w:rPr>
          <w:rFonts w:eastAsia="黑体" w:hint="eastAsia"/>
          <w:kern w:val="0"/>
          <w:sz w:val="40"/>
        </w:rPr>
        <w:t>审</w:t>
      </w:r>
      <w:r>
        <w:rPr>
          <w:rFonts w:eastAsia="黑体" w:hint="eastAsia"/>
          <w:kern w:val="0"/>
          <w:sz w:val="40"/>
        </w:rPr>
        <w:t xml:space="preserve"> </w:t>
      </w:r>
      <w:r>
        <w:rPr>
          <w:rFonts w:eastAsia="黑体" w:hint="eastAsia"/>
          <w:kern w:val="0"/>
          <w:sz w:val="40"/>
        </w:rPr>
        <w:t>核</w:t>
      </w:r>
      <w:r>
        <w:rPr>
          <w:rFonts w:eastAsia="黑体" w:hint="eastAsia"/>
          <w:kern w:val="0"/>
          <w:sz w:val="40"/>
        </w:rPr>
        <w:t xml:space="preserve"> </w:t>
      </w:r>
      <w:r>
        <w:rPr>
          <w:rFonts w:eastAsia="黑体" w:hint="eastAsia"/>
          <w:kern w:val="0"/>
          <w:sz w:val="40"/>
        </w:rPr>
        <w:t>人：</w:t>
      </w:r>
      <w:r>
        <w:rPr>
          <w:rFonts w:eastAsia="黑体" w:hint="eastAsia"/>
          <w:kern w:val="0"/>
          <w:sz w:val="40"/>
          <w:u w:val="single"/>
        </w:rPr>
        <w:t xml:space="preserve"> </w:t>
      </w:r>
      <w:r>
        <w:rPr>
          <w:rFonts w:eastAsia="黑体"/>
          <w:kern w:val="0"/>
          <w:sz w:val="40"/>
          <w:u w:val="single"/>
        </w:rPr>
        <w:t xml:space="preserve">                   </w:t>
      </w:r>
    </w:p>
    <w:p>
      <w:pPr>
        <w:adjustRightInd w:val="0"/>
        <w:snapToGrid w:val="0"/>
        <w:spacing w:line="920" w:lineRule="exact"/>
        <w:ind w:firstLineChars="500" w:firstLine="2000"/>
        <w:rPr>
          <w:rFonts w:eastAsia="黑体"/>
          <w:kern w:val="0"/>
          <w:sz w:val="40"/>
        </w:rPr>
      </w:pPr>
    </w:p>
    <w:p>
      <w:pPr>
        <w:spacing w:line="700" w:lineRule="exact"/>
        <w:jc w:val="center"/>
        <w:rPr>
          <w:rFonts w:eastAsia="华文新魏"/>
          <w:spacing w:val="12"/>
          <w:sz w:val="52"/>
          <w:szCs w:val="44"/>
        </w:rPr>
      </w:pPr>
    </w:p>
    <w:p>
      <w:pPr>
        <w:spacing w:line="700" w:lineRule="exact"/>
        <w:jc w:val="center"/>
        <w:rPr>
          <w:rFonts w:eastAsia="黑体"/>
          <w:spacing w:val="4"/>
          <w:sz w:val="36"/>
          <w:szCs w:val="32"/>
        </w:rPr>
      </w:pPr>
    </w:p>
    <w:p>
      <w:pPr>
        <w:widowControl/>
        <w:spacing w:line="700" w:lineRule="exact"/>
        <w:jc w:val="center"/>
        <w:rPr>
          <w:rFonts w:ascii="方正小标宋简体" w:eastAsia="方正小标宋简体"/>
          <w:sz w:val="44"/>
        </w:rPr>
        <w:sectPr>
          <w:pgSz w:w="11906" w:h="16838"/>
          <w:pgMar w:top="1531" w:right="1134" w:bottom="1588" w:left="1474" w:header="851" w:footer="992" w:gutter="0"/>
          <w:cols w:space="720"/>
          <w:docGrid w:type="lines" w:linePitch="312"/>
        </w:sectPr>
      </w:pPr>
      <w:r>
        <w:rPr>
          <w:rFonts w:eastAsia="黑体"/>
          <w:spacing w:val="4"/>
          <w:sz w:val="36"/>
          <w:szCs w:val="32"/>
        </w:rPr>
        <w:t>年</w:t>
      </w:r>
      <w:r>
        <w:rPr>
          <w:rFonts w:eastAsia="黑体" w:hint="eastAsia"/>
          <w:spacing w:val="4"/>
          <w:sz w:val="36"/>
          <w:szCs w:val="32"/>
        </w:rPr>
        <w:t xml:space="preserve">  </w:t>
      </w:r>
      <w:r>
        <w:rPr>
          <w:rFonts w:eastAsia="黑体"/>
          <w:spacing w:val="4"/>
          <w:sz w:val="36"/>
          <w:szCs w:val="32"/>
        </w:rPr>
        <w:t xml:space="preserve"> </w:t>
      </w:r>
      <w:r>
        <w:rPr>
          <w:rFonts w:eastAsia="黑体"/>
          <w:spacing w:val="4"/>
          <w:sz w:val="36"/>
          <w:szCs w:val="32"/>
        </w:rPr>
        <w:t>月</w:t>
      </w:r>
      <w:r>
        <w:rPr>
          <w:rFonts w:eastAsia="黑体" w:hint="eastAsia"/>
          <w:spacing w:val="4"/>
          <w:sz w:val="36"/>
          <w:szCs w:val="32"/>
        </w:rPr>
        <w:t xml:space="preserve"> </w:t>
      </w:r>
      <w:r>
        <w:rPr>
          <w:rFonts w:eastAsia="黑体"/>
          <w:spacing w:val="4"/>
          <w:sz w:val="36"/>
          <w:szCs w:val="32"/>
        </w:rPr>
        <w:t xml:space="preserve">  </w:t>
      </w:r>
      <w:r>
        <w:rPr>
          <w:rFonts w:eastAsia="黑体" w:hint="eastAsia"/>
          <w:spacing w:val="4"/>
          <w:sz w:val="36"/>
          <w:szCs w:val="32"/>
        </w:rPr>
        <w:t>日</w:t>
      </w:r>
    </w:p>
    <w:p>
      <w:pPr>
        <w:widowControl/>
        <w:rPr>
          <w:rFonts w:ascii="方正小标宋简体" w:eastAsia="方正小标宋简体"/>
          <w:sz w:val="44"/>
        </w:rPr>
      </w:pPr>
    </w:p>
    <w:p>
      <w:pPr>
        <w:widowControl/>
        <w:jc w:val="center"/>
        <w:rPr>
          <w:rFonts w:ascii="方正小标宋_GBK" w:eastAsia="方正小标宋_GBK"/>
        </w:rPr>
      </w:pPr>
      <w:r>
        <w:rPr>
          <w:rFonts w:ascii="方正小标宋_GBK" w:eastAsia="方正小标宋_GBK" w:hint="eastAsia"/>
          <w:sz w:val="44"/>
        </w:rPr>
        <w:t>报告提纲</w:t>
      </w:r>
    </w:p>
    <w:p>
      <w:pPr>
        <w:widowControl/>
        <w:jc w:val="center"/>
      </w:pPr>
    </w:p>
    <w:p>
      <w:pPr>
        <w:widowControl/>
        <w:spacing w:line="560" w:lineRule="exact"/>
        <w:ind w:firstLineChars="200" w:firstLine="643"/>
        <w:jc w:val="left"/>
        <w:rPr>
          <w:rFonts w:ascii="仿宋" w:eastAsia="仿宋" w:hAnsi="仿宋" w:cs="仿宋"/>
          <w:sz w:val="32"/>
        </w:rPr>
      </w:pPr>
      <w:r>
        <w:rPr>
          <w:rFonts w:ascii="Cambria" w:eastAsia="黑体" w:hAnsi="Cambria" w:hint="eastAsia"/>
          <w:b/>
          <w:bCs/>
          <w:sz w:val="32"/>
          <w:szCs w:val="32"/>
        </w:rPr>
        <w:t>一、实验室安全工作概况</w:t>
      </w:r>
    </w:p>
    <w:p>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1.1二级学院实验室安全基本情况</w:t>
      </w:r>
    </w:p>
    <w:p>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1.2实验室安全管理的组织架构与责任体系</w:t>
      </w:r>
    </w:p>
    <w:p>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1.3实验室安全制度建设</w:t>
      </w:r>
    </w:p>
    <w:p>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1.4实验室安全教育与培训情况</w:t>
      </w:r>
    </w:p>
    <w:p>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1.5其他</w:t>
      </w:r>
    </w:p>
    <w:p>
      <w:pPr>
        <w:widowControl/>
        <w:spacing w:line="560" w:lineRule="exact"/>
        <w:ind w:firstLineChars="200" w:firstLine="643"/>
        <w:jc w:val="left"/>
        <w:rPr>
          <w:rFonts w:ascii="Cambria" w:eastAsia="黑体" w:hAnsi="Cambria"/>
          <w:b/>
          <w:bCs/>
          <w:sz w:val="32"/>
          <w:szCs w:val="32"/>
        </w:rPr>
      </w:pPr>
      <w:r>
        <w:rPr>
          <w:rFonts w:ascii="Cambria" w:eastAsia="黑体" w:hAnsi="Cambria" w:hint="eastAsia"/>
          <w:b/>
          <w:bCs/>
          <w:sz w:val="32"/>
          <w:szCs w:val="32"/>
        </w:rPr>
        <w:t>二、本次实验室安全自查与隐患整改情况</w:t>
      </w:r>
    </w:p>
    <w:p>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2.1本次自查工作组织与实施</w:t>
      </w:r>
    </w:p>
    <w:p>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2.2发现的隐患概况</w:t>
      </w:r>
    </w:p>
    <w:p>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2.3 隐患整改的组织</w:t>
      </w:r>
    </w:p>
    <w:p>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2.4 整改完成情况</w:t>
      </w:r>
    </w:p>
    <w:p>
      <w:pPr>
        <w:widowControl/>
        <w:spacing w:line="560" w:lineRule="exact"/>
        <w:ind w:firstLineChars="200" w:firstLine="643"/>
        <w:jc w:val="left"/>
        <w:rPr>
          <w:rFonts w:ascii="Cambria" w:eastAsia="黑体" w:hAnsi="Cambria"/>
          <w:b/>
          <w:bCs/>
          <w:sz w:val="32"/>
          <w:szCs w:val="32"/>
        </w:rPr>
      </w:pPr>
      <w:r>
        <w:rPr>
          <w:rFonts w:ascii="Cambria" w:eastAsia="黑体" w:hAnsi="Cambria" w:hint="eastAsia"/>
          <w:b/>
          <w:bCs/>
          <w:sz w:val="32"/>
          <w:szCs w:val="32"/>
        </w:rPr>
        <w:t>三、在实验室安全管理方面开展的其他工作</w:t>
      </w:r>
    </w:p>
    <w:p>
      <w:pPr>
        <w:widowControl/>
        <w:wordWrap w:val="0"/>
        <w:spacing w:line="560" w:lineRule="exact"/>
        <w:rPr>
          <w:rFonts w:ascii="仿宋" w:eastAsia="仿宋" w:hAnsi="仿宋" w:cs="仿宋"/>
          <w:sz w:val="32"/>
        </w:rPr>
      </w:pPr>
    </w:p>
    <w:p>
      <w:pPr>
        <w:widowControl/>
        <w:spacing w:line="560" w:lineRule="exact"/>
        <w:ind w:firstLineChars="200" w:firstLine="640"/>
        <w:jc w:val="center"/>
        <w:rPr>
          <w:rFonts w:ascii="仿宋" w:eastAsia="仿宋" w:hAnsi="仿宋" w:cs="仿宋"/>
          <w:sz w:val="32"/>
        </w:rPr>
      </w:pPr>
      <w:r>
        <w:rPr>
          <w:rFonts w:ascii="仿宋" w:eastAsia="仿宋" w:hAnsi="仿宋" w:cs="仿宋" w:hint="eastAsia"/>
          <w:sz w:val="32"/>
        </w:rPr>
        <w:t xml:space="preserve">                              单位名称（公章）：            </w:t>
      </w:r>
    </w:p>
    <w:p>
      <w:pPr>
        <w:widowControl/>
        <w:wordWrap w:val="0"/>
        <w:spacing w:line="560" w:lineRule="exact"/>
        <w:ind w:right="1280" w:firstLineChars="200" w:firstLine="640"/>
        <w:jc w:val="right"/>
        <w:rPr>
          <w:rFonts w:ascii="仿宋" w:eastAsia="仿宋" w:hAnsi="仿宋" w:cs="仿宋"/>
          <w:sz w:val="32"/>
        </w:rPr>
      </w:pPr>
      <w:r>
        <w:rPr>
          <w:rFonts w:ascii="仿宋" w:eastAsia="仿宋" w:hAnsi="仿宋" w:cs="仿宋" w:hint="eastAsia"/>
          <w:sz w:val="32"/>
        </w:rPr>
        <w:t xml:space="preserve">                  报送时间：</w:t>
      </w:r>
      <w:r>
        <w:rPr>
          <w:rFonts w:ascii="仿宋_GB2312" w:eastAsia="仿宋_GB2312" w:hAnsi="黑体" w:hint="eastAsia"/>
          <w:sz w:val="32"/>
        </w:rPr>
        <w:t xml:space="preserve"> </w:t>
      </w:r>
    </w:p>
    <w:p>
      <w:pPr>
        <w:spacing w:beforeLines="50" w:before="120" w:afterLines="50" w:after="120" w:line="560" w:lineRule="exact"/>
        <w:jc w:val="center"/>
        <w:rPr>
          <w:rFonts w:ascii="方正小标宋简体" w:eastAsia="方正小标宋简体" w:hAnsi="Cambria"/>
          <w:b/>
          <w:bCs/>
          <w:sz w:val="44"/>
          <w:szCs w:val="44"/>
        </w:rPr>
      </w:pPr>
    </w:p>
    <w:p>
      <w:pPr>
        <w:spacing w:beforeLines="50" w:before="120" w:afterLines="50" w:after="120" w:line="560" w:lineRule="exact"/>
        <w:jc w:val="center"/>
        <w:rPr>
          <w:rFonts w:ascii="方正小标宋简体" w:eastAsia="方正小标宋简体" w:hAnsi="Cambria"/>
          <w:b/>
          <w:bCs/>
          <w:sz w:val="44"/>
          <w:szCs w:val="44"/>
        </w:rPr>
      </w:pPr>
    </w:p>
    <w:p>
      <w:pPr>
        <w:spacing w:beforeLines="50" w:before="120" w:afterLines="50" w:after="120" w:line="560" w:lineRule="exact"/>
        <w:jc w:val="center"/>
        <w:rPr>
          <w:rFonts w:ascii="方正小标宋简体" w:eastAsia="方正小标宋简体" w:hAnsi="Cambria"/>
          <w:b/>
          <w:bCs/>
          <w:sz w:val="44"/>
          <w:szCs w:val="44"/>
        </w:rPr>
      </w:pPr>
    </w:p>
    <w:p>
      <w:pPr>
        <w:spacing w:beforeLines="50" w:before="120" w:afterLines="50" w:after="120" w:line="560" w:lineRule="exact"/>
        <w:jc w:val="center"/>
        <w:rPr>
          <w:rFonts w:ascii="方正小标宋简体" w:eastAsia="方正小标宋简体" w:hAnsi="Cambria"/>
          <w:b/>
          <w:bCs/>
          <w:sz w:val="44"/>
          <w:szCs w:val="44"/>
        </w:rPr>
      </w:pPr>
    </w:p>
    <w:p>
      <w:pPr>
        <w:spacing w:beforeLines="50" w:before="120" w:afterLines="50" w:after="120" w:line="560" w:lineRule="exact"/>
        <w:jc w:val="center"/>
        <w:rPr>
          <w:rFonts w:ascii="方正小标宋简体" w:eastAsia="方正小标宋简体" w:hAnsi="Cambria"/>
          <w:b/>
          <w:bCs/>
          <w:sz w:val="44"/>
          <w:szCs w:val="44"/>
        </w:rPr>
      </w:pPr>
    </w:p>
    <w:p>
      <w:pPr>
        <w:spacing w:beforeLines="50" w:before="120" w:afterLines="50" w:after="120" w:line="560" w:lineRule="exact"/>
        <w:jc w:val="center"/>
        <w:rPr>
          <w:rFonts w:ascii="方正小标宋_GBK" w:eastAsia="方正小标宋_GBK" w:hAnsi="Cambria"/>
          <w:b/>
          <w:bCs/>
          <w:sz w:val="44"/>
          <w:szCs w:val="44"/>
        </w:rPr>
      </w:pPr>
      <w:r>
        <w:rPr>
          <w:rFonts w:ascii="方正小标宋_GBK" w:eastAsia="方正小标宋_GBK" w:hAnsi="Cambria" w:hint="eastAsia"/>
          <w:b/>
          <w:bCs/>
          <w:sz w:val="44"/>
          <w:szCs w:val="44"/>
        </w:rPr>
        <w:lastRenderedPageBreak/>
        <w:t>编写说明</w:t>
      </w:r>
    </w:p>
    <w:p>
      <w:pPr>
        <w:numPr>
          <w:ilvl w:val="0"/>
          <w:numId w:val="1"/>
        </w:numPr>
        <w:spacing w:line="353" w:lineRule="auto"/>
        <w:ind w:firstLineChars="200" w:firstLine="643"/>
        <w:rPr>
          <w:rFonts w:ascii="Cambria" w:eastAsia="黑体" w:hAnsi="Cambria"/>
          <w:b/>
          <w:bCs/>
          <w:sz w:val="32"/>
          <w:szCs w:val="32"/>
        </w:rPr>
      </w:pPr>
      <w:r>
        <w:rPr>
          <w:rFonts w:ascii="Cambria" w:eastAsia="黑体" w:hAnsi="Cambria" w:hint="eastAsia"/>
          <w:b/>
          <w:bCs/>
          <w:sz w:val="32"/>
          <w:szCs w:val="32"/>
        </w:rPr>
        <w:t>实验室安全工作概况</w:t>
      </w:r>
    </w:p>
    <w:p>
      <w:pPr>
        <w:spacing w:line="353" w:lineRule="auto"/>
        <w:ind w:firstLineChars="200" w:firstLine="656"/>
        <w:rPr>
          <w:rFonts w:ascii="仿宋_GB2312" w:eastAsia="仿宋_GB2312" w:hAnsi="仿宋_GB2312" w:cs="仿宋_GB2312"/>
          <w:snapToGrid w:val="0"/>
          <w:spacing w:val="4"/>
          <w:sz w:val="32"/>
          <w:szCs w:val="32"/>
        </w:rPr>
      </w:pPr>
      <w:r>
        <w:rPr>
          <w:rFonts w:ascii="仿宋_GB2312" w:eastAsia="仿宋_GB2312" w:hAnsi="仿宋_GB2312" w:cs="仿宋_GB2312" w:hint="eastAsia"/>
          <w:snapToGrid w:val="0"/>
          <w:spacing w:val="4"/>
          <w:sz w:val="32"/>
          <w:szCs w:val="32"/>
        </w:rPr>
        <w:t>实验室基本情况，省部级以上实验室的占比，实验室安全经费和人员投入情况，实验室安全管理组织框架，三级安全责任体系落实情况，安全工作相关制度制（修)订情况，安全教育、培训、演习开展情况，定期与不定期安全检查情况，近五年发生的安全事故与整改情况等。</w:t>
      </w:r>
    </w:p>
    <w:p>
      <w:pPr>
        <w:spacing w:line="353" w:lineRule="auto"/>
        <w:ind w:firstLineChars="200" w:firstLine="643"/>
        <w:rPr>
          <w:rFonts w:ascii="Cambria" w:eastAsia="黑体" w:hAnsi="Cambria"/>
          <w:b/>
          <w:bCs/>
          <w:sz w:val="32"/>
          <w:szCs w:val="32"/>
        </w:rPr>
      </w:pPr>
      <w:r>
        <w:rPr>
          <w:rFonts w:ascii="Cambria" w:eastAsia="黑体" w:hAnsi="Cambria" w:hint="eastAsia"/>
          <w:b/>
          <w:bCs/>
          <w:sz w:val="32"/>
          <w:szCs w:val="32"/>
        </w:rPr>
        <w:t>二、实验室安全自查与隐患整改完成情况</w:t>
      </w:r>
    </w:p>
    <w:p>
      <w:pPr>
        <w:spacing w:line="353" w:lineRule="auto"/>
        <w:ind w:firstLineChars="200" w:firstLine="656"/>
        <w:rPr>
          <w:rFonts w:ascii="Cambria" w:eastAsia="黑体" w:hAnsi="Cambria"/>
          <w:b/>
          <w:bCs/>
          <w:sz w:val="32"/>
          <w:szCs w:val="32"/>
        </w:rPr>
      </w:pPr>
      <w:r>
        <w:rPr>
          <w:rFonts w:ascii="仿宋_GB2312" w:eastAsia="仿宋_GB2312" w:hAnsi="仿宋_GB2312" w:cs="仿宋_GB2312" w:hint="eastAsia"/>
          <w:snapToGrid w:val="0"/>
          <w:spacing w:val="4"/>
          <w:sz w:val="32"/>
          <w:szCs w:val="32"/>
        </w:rPr>
        <w:t>组织开展自查工作情况，检查实验室数量，发现的隐患及原因分析。隐患整改工作的组织开展，对可立行立改隐患的整改完成度和对无法立行立改的隐患制定整改方案的情况。</w:t>
      </w:r>
    </w:p>
    <w:p>
      <w:pPr>
        <w:spacing w:line="353" w:lineRule="auto"/>
        <w:ind w:firstLineChars="200" w:firstLine="643"/>
        <w:rPr>
          <w:rFonts w:ascii="Cambria" w:eastAsia="黑体" w:hAnsi="Cambria"/>
          <w:b/>
          <w:bCs/>
          <w:sz w:val="32"/>
          <w:szCs w:val="32"/>
        </w:rPr>
      </w:pPr>
      <w:r>
        <w:rPr>
          <w:rFonts w:ascii="Cambria" w:eastAsia="黑体" w:hAnsi="Cambria" w:hint="eastAsia"/>
          <w:b/>
          <w:bCs/>
          <w:sz w:val="32"/>
          <w:szCs w:val="32"/>
        </w:rPr>
        <w:t>三、实验室安全管理方面开展的其他工作</w:t>
      </w:r>
    </w:p>
    <w:p>
      <w:pPr>
        <w:widowControl/>
        <w:spacing w:line="353" w:lineRule="auto"/>
        <w:ind w:firstLineChars="200" w:firstLine="656"/>
        <w:jc w:val="left"/>
        <w:rPr>
          <w:rFonts w:ascii="仿宋_GB2312" w:eastAsia="仿宋_GB2312" w:hAnsi="仿宋_GB2312" w:cs="仿宋_GB2312"/>
          <w:snapToGrid w:val="0"/>
          <w:spacing w:val="4"/>
          <w:sz w:val="32"/>
          <w:szCs w:val="32"/>
        </w:rPr>
      </w:pPr>
      <w:r>
        <w:rPr>
          <w:rFonts w:ascii="仿宋_GB2312" w:eastAsia="仿宋_GB2312" w:hAnsi="仿宋_GB2312" w:cs="仿宋_GB2312" w:hint="eastAsia"/>
          <w:snapToGrid w:val="0"/>
          <w:spacing w:val="4"/>
          <w:sz w:val="32"/>
          <w:szCs w:val="32"/>
        </w:rPr>
        <w:t>在促进实验室安全管理方面采取的可以借鉴和推广的举措。</w:t>
      </w:r>
    </w:p>
    <w:p>
      <w:pPr>
        <w:widowControl/>
        <w:spacing w:line="353" w:lineRule="auto"/>
        <w:ind w:firstLineChars="200" w:firstLine="643"/>
        <w:jc w:val="left"/>
      </w:pPr>
      <w:r>
        <w:rPr>
          <w:rFonts w:ascii="Cambria" w:eastAsia="黑体" w:hAnsi="Cambria" w:hint="eastAsia"/>
          <w:b/>
          <w:bCs/>
          <w:sz w:val="32"/>
          <w:szCs w:val="32"/>
        </w:rPr>
        <w:t>四、本报告须经单位分管实验室安全领导审核并签字盖章后上报</w:t>
      </w:r>
    </w:p>
    <w:sectPr>
      <w:pgSz w:w="11906" w:h="16838"/>
      <w:pgMar w:top="1531" w:right="1134" w:bottom="1588" w:left="147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B51F81"/>
    <w:multiLevelType w:val="singleLevel"/>
    <w:tmpl w:val="BAB51F8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37989A-CA92-4CAF-99D8-CA207E2F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Words>
  <Characters>609</Characters>
  <Application>Microsoft Office Word</Application>
  <DocSecurity>0</DocSecurity>
  <Lines>5</Lines>
  <Paragraphs>1</Paragraphs>
  <ScaleCrop>false</ScaleCrop>
  <Company>HP Inc.</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hp</cp:lastModifiedBy>
  <cp:revision>3</cp:revision>
  <dcterms:created xsi:type="dcterms:W3CDTF">2024-09-05T01:09:00Z</dcterms:created>
  <dcterms:modified xsi:type="dcterms:W3CDTF">2025-09-09T07:00:00Z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DBE033DB0B60495D85CC554A3A501B47_13</vt:lpwstr>
  </property>
</Properties>
</file>