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4A898D">
      <w:pPr>
        <w:jc w:val="center"/>
        <w:rPr>
          <w:rFonts w:ascii="宋体" w:hAnsi="宋体" w:cs="宋体"/>
          <w:color w:val="auto"/>
        </w:rPr>
      </w:pPr>
      <w:r>
        <w:rPr>
          <w:rFonts w:hint="eastAsia" w:ascii="宋体" w:hAnsi="宋体" w:cs="宋体"/>
          <w:color w:val="auto"/>
        </w:rPr>
        <w:t xml:space="preserve"> . </w:t>
      </w:r>
    </w:p>
    <w:p w14:paraId="57CA5A77">
      <w:pPr>
        <w:jc w:val="center"/>
        <w:rPr>
          <w:rFonts w:ascii="宋体" w:hAnsi="宋体" w:cs="宋体"/>
          <w:color w:val="auto"/>
        </w:rPr>
      </w:pPr>
    </w:p>
    <w:p w14:paraId="00C77827">
      <w:pPr>
        <w:jc w:val="center"/>
        <w:rPr>
          <w:rFonts w:ascii="宋体" w:hAnsi="宋体" w:cs="宋体"/>
          <w:color w:val="auto"/>
        </w:rPr>
      </w:pPr>
    </w:p>
    <w:p w14:paraId="258B58D4">
      <w:pPr>
        <w:jc w:val="center"/>
        <w:outlineLvl w:val="0"/>
        <w:rPr>
          <w:rFonts w:ascii="宋体" w:hAnsi="宋体" w:cs="宋体"/>
          <w:color w:val="auto"/>
          <w:spacing w:val="80"/>
          <w:sz w:val="112"/>
          <w:szCs w:val="112"/>
        </w:rPr>
      </w:pPr>
      <w:r>
        <w:rPr>
          <w:rFonts w:hint="eastAsia" w:ascii="宋体" w:hAnsi="宋体" w:cs="宋体"/>
          <w:color w:val="auto"/>
          <w:spacing w:val="80"/>
          <w:sz w:val="112"/>
          <w:szCs w:val="112"/>
        </w:rPr>
        <w:t>竞争性磋商</w:t>
      </w:r>
    </w:p>
    <w:p w14:paraId="544C16EA">
      <w:pPr>
        <w:jc w:val="center"/>
        <w:outlineLvl w:val="0"/>
        <w:rPr>
          <w:rFonts w:ascii="宋体" w:hAnsi="宋体" w:cs="宋体"/>
          <w:color w:val="auto"/>
          <w:spacing w:val="80"/>
          <w:sz w:val="112"/>
          <w:szCs w:val="112"/>
        </w:rPr>
      </w:pPr>
      <w:r>
        <w:rPr>
          <w:rFonts w:hint="eastAsia" w:ascii="宋体" w:hAnsi="宋体" w:cs="宋体"/>
          <w:color w:val="auto"/>
          <w:spacing w:val="80"/>
          <w:sz w:val="112"/>
          <w:szCs w:val="112"/>
        </w:rPr>
        <w:t>文件</w:t>
      </w:r>
    </w:p>
    <w:p w14:paraId="1FC01E9C">
      <w:pPr>
        <w:spacing w:line="700" w:lineRule="exact"/>
        <w:jc w:val="center"/>
        <w:rPr>
          <w:rFonts w:ascii="宋体" w:hAnsi="宋体" w:cs="宋体"/>
          <w:color w:val="auto"/>
          <w:sz w:val="32"/>
        </w:rPr>
      </w:pPr>
    </w:p>
    <w:p w14:paraId="2BD22CC5">
      <w:pPr>
        <w:spacing w:line="700" w:lineRule="exact"/>
        <w:jc w:val="center"/>
        <w:rPr>
          <w:rFonts w:ascii="宋体" w:hAnsi="宋体" w:cs="宋体"/>
          <w:color w:val="auto"/>
          <w:sz w:val="32"/>
        </w:rPr>
      </w:pPr>
    </w:p>
    <w:p w14:paraId="4479A207">
      <w:pPr>
        <w:spacing w:line="700" w:lineRule="exact"/>
        <w:rPr>
          <w:rFonts w:ascii="宋体" w:hAnsi="宋体" w:cs="宋体"/>
          <w:color w:val="auto"/>
          <w:sz w:val="32"/>
        </w:rPr>
      </w:pPr>
    </w:p>
    <w:p w14:paraId="63878B93">
      <w:pPr>
        <w:spacing w:line="700" w:lineRule="exact"/>
        <w:rPr>
          <w:rFonts w:ascii="宋体" w:hAnsi="宋体" w:cs="宋体"/>
          <w:color w:val="auto"/>
          <w:sz w:val="36"/>
          <w:szCs w:val="30"/>
        </w:rPr>
      </w:pPr>
      <w:r>
        <w:rPr>
          <w:rFonts w:hint="eastAsia" w:ascii="宋体" w:hAnsi="宋体" w:cs="宋体"/>
          <w:color w:val="auto"/>
          <w:sz w:val="36"/>
          <w:szCs w:val="30"/>
        </w:rPr>
        <w:t>项 目 号 ：WLZC-F-2025-118</w:t>
      </w:r>
    </w:p>
    <w:p w14:paraId="3F00D338">
      <w:pPr>
        <w:spacing w:line="700" w:lineRule="exact"/>
        <w:rPr>
          <w:rFonts w:ascii="宋体" w:hAnsi="宋体" w:cs="宋体"/>
          <w:color w:val="auto"/>
          <w:sz w:val="36"/>
          <w:szCs w:val="30"/>
        </w:rPr>
      </w:pPr>
      <w:r>
        <w:rPr>
          <w:rFonts w:hint="eastAsia" w:ascii="宋体" w:hAnsi="宋体" w:cs="宋体"/>
          <w:color w:val="auto"/>
          <w:sz w:val="36"/>
          <w:szCs w:val="30"/>
        </w:rPr>
        <w:t>项目执行编号：ZJZB-2025-16155</w:t>
      </w:r>
    </w:p>
    <w:p w14:paraId="36931BC0">
      <w:pPr>
        <w:spacing w:line="700" w:lineRule="exact"/>
        <w:rPr>
          <w:rFonts w:ascii="宋体" w:hAnsi="宋体" w:cs="宋体"/>
          <w:color w:val="auto"/>
          <w:sz w:val="36"/>
          <w:szCs w:val="30"/>
        </w:rPr>
      </w:pPr>
      <w:r>
        <w:rPr>
          <w:rFonts w:hint="eastAsia" w:ascii="宋体" w:hAnsi="宋体" w:cs="宋体"/>
          <w:color w:val="auto"/>
          <w:sz w:val="36"/>
          <w:szCs w:val="30"/>
        </w:rPr>
        <w:t>项 目 名 称 ：重庆文理学院食堂委托经营</w:t>
      </w:r>
    </w:p>
    <w:p w14:paraId="5AA2B866">
      <w:pPr>
        <w:spacing w:line="700" w:lineRule="exact"/>
        <w:ind w:firstLine="1749" w:firstLineChars="486"/>
        <w:rPr>
          <w:rFonts w:ascii="宋体" w:hAnsi="宋体" w:cs="宋体"/>
          <w:color w:val="auto"/>
          <w:sz w:val="36"/>
          <w:szCs w:val="30"/>
        </w:rPr>
      </w:pPr>
    </w:p>
    <w:p w14:paraId="4A9B8CF9">
      <w:pPr>
        <w:spacing w:line="700" w:lineRule="exact"/>
        <w:jc w:val="center"/>
        <w:rPr>
          <w:rFonts w:ascii="宋体" w:hAnsi="宋体" w:cs="宋体"/>
          <w:b/>
          <w:color w:val="auto"/>
          <w:sz w:val="30"/>
          <w:szCs w:val="30"/>
        </w:rPr>
      </w:pPr>
    </w:p>
    <w:p w14:paraId="77CA3BDD">
      <w:pPr>
        <w:spacing w:line="700" w:lineRule="exact"/>
        <w:jc w:val="center"/>
        <w:rPr>
          <w:rFonts w:ascii="宋体" w:hAnsi="宋体" w:cs="宋体"/>
          <w:b/>
          <w:color w:val="auto"/>
          <w:sz w:val="30"/>
          <w:szCs w:val="30"/>
        </w:rPr>
      </w:pPr>
    </w:p>
    <w:p w14:paraId="297FB866">
      <w:pPr>
        <w:spacing w:line="700" w:lineRule="exact"/>
        <w:ind w:firstLine="2160" w:firstLineChars="600"/>
        <w:rPr>
          <w:rFonts w:ascii="宋体" w:hAnsi="宋体" w:cs="宋体"/>
          <w:color w:val="auto"/>
          <w:sz w:val="48"/>
          <w:szCs w:val="32"/>
        </w:rPr>
      </w:pPr>
      <w:r>
        <w:rPr>
          <w:rFonts w:hint="eastAsia" w:ascii="宋体" w:hAnsi="宋体" w:cs="宋体"/>
          <w:color w:val="auto"/>
          <w:sz w:val="36"/>
          <w:szCs w:val="30"/>
        </w:rPr>
        <w:t>采 购 人：重庆文理学院</w:t>
      </w:r>
    </w:p>
    <w:p w14:paraId="0BDF1F8A">
      <w:pPr>
        <w:spacing w:line="700" w:lineRule="exact"/>
        <w:ind w:firstLine="2160" w:firstLineChars="600"/>
        <w:rPr>
          <w:rFonts w:ascii="宋体" w:hAnsi="宋体" w:cs="宋体"/>
          <w:color w:val="auto"/>
          <w:sz w:val="36"/>
          <w:szCs w:val="30"/>
        </w:rPr>
      </w:pPr>
      <w:r>
        <w:rPr>
          <w:rFonts w:hint="eastAsia" w:ascii="宋体" w:hAnsi="宋体" w:cs="宋体"/>
          <w:color w:val="auto"/>
          <w:sz w:val="36"/>
          <w:szCs w:val="30"/>
        </w:rPr>
        <w:t>采购代理机构：中捷通信有限公司</w:t>
      </w:r>
    </w:p>
    <w:p w14:paraId="34A9F76D">
      <w:pPr>
        <w:spacing w:line="700" w:lineRule="exact"/>
        <w:ind w:firstLine="3240" w:firstLineChars="900"/>
        <w:jc w:val="left"/>
        <w:rPr>
          <w:rFonts w:ascii="宋体" w:hAnsi="宋体" w:cs="宋体"/>
          <w:color w:val="auto"/>
          <w:sz w:val="36"/>
          <w:szCs w:val="30"/>
        </w:rPr>
      </w:pPr>
      <w:r>
        <w:rPr>
          <w:rFonts w:hint="eastAsia" w:ascii="宋体" w:hAnsi="宋体" w:cs="宋体"/>
          <w:color w:val="auto"/>
          <w:sz w:val="36"/>
          <w:szCs w:val="30"/>
        </w:rPr>
        <w:t>二〇二五年六月</w:t>
      </w:r>
    </w:p>
    <w:p w14:paraId="1FB6A3E7">
      <w:pPr>
        <w:pStyle w:val="42"/>
        <w:rPr>
          <w:rFonts w:ascii="宋体" w:hAnsi="宋体" w:cs="宋体"/>
          <w:color w:val="auto"/>
          <w:sz w:val="36"/>
          <w:szCs w:val="36"/>
        </w:rPr>
      </w:pPr>
    </w:p>
    <w:p w14:paraId="426FDF0E">
      <w:pPr>
        <w:pStyle w:val="42"/>
        <w:rPr>
          <w:rFonts w:ascii="宋体" w:hAnsi="宋体" w:cs="宋体"/>
          <w:color w:val="auto"/>
          <w:sz w:val="36"/>
          <w:szCs w:val="36"/>
        </w:rPr>
      </w:pPr>
    </w:p>
    <w:p w14:paraId="2F139CB0">
      <w:pPr>
        <w:spacing w:line="720" w:lineRule="exact"/>
        <w:jc w:val="center"/>
        <w:outlineLvl w:val="0"/>
        <w:rPr>
          <w:rFonts w:ascii="宋体" w:hAnsi="宋体" w:cs="宋体"/>
          <w:color w:val="auto"/>
          <w:sz w:val="48"/>
          <w:szCs w:val="32"/>
        </w:rPr>
      </w:pPr>
    </w:p>
    <w:p w14:paraId="5E456C38">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t>目   录</w:t>
      </w:r>
    </w:p>
    <w:p w14:paraId="5FE484E5">
      <w:pPr>
        <w:pStyle w:val="39"/>
        <w:tabs>
          <w:tab w:val="right" w:leader="dot" w:pos="9412"/>
        </w:tabs>
      </w:pP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TOC \o "1-3" \h \z </w:instrText>
      </w:r>
      <w:r>
        <w:rPr>
          <w:rFonts w:hint="eastAsia" w:ascii="宋体" w:hAnsi="宋体" w:cs="宋体"/>
          <w:color w:val="auto"/>
          <w:sz w:val="21"/>
          <w:szCs w:val="21"/>
        </w:rPr>
        <w:fldChar w:fldCharType="separate"/>
      </w:r>
      <w:r>
        <w:rPr>
          <w:rFonts w:hint="eastAsia" w:ascii="宋体" w:hAnsi="宋体" w:cs="宋体"/>
          <w:color w:val="auto"/>
          <w:szCs w:val="21"/>
        </w:rPr>
        <w:fldChar w:fldCharType="begin"/>
      </w:r>
      <w:r>
        <w:rPr>
          <w:rFonts w:hint="eastAsia" w:ascii="宋体" w:hAnsi="宋体" w:cs="宋体"/>
          <w:szCs w:val="21"/>
        </w:rPr>
        <w:instrText xml:space="preserve"> HYPERLINK \l _Toc13736 </w:instrText>
      </w:r>
      <w:r>
        <w:rPr>
          <w:rFonts w:hint="eastAsia" w:ascii="宋体" w:hAnsi="宋体" w:cs="宋体"/>
          <w:szCs w:val="21"/>
        </w:rPr>
        <w:fldChar w:fldCharType="separate"/>
      </w:r>
      <w:r>
        <w:rPr>
          <w:rFonts w:hint="eastAsia"/>
          <w:szCs w:val="32"/>
        </w:rPr>
        <w:t>第一篇</w:t>
      </w:r>
      <w:r>
        <w:rPr>
          <w:szCs w:val="32"/>
        </w:rPr>
        <w:t xml:space="preserve">  </w:t>
      </w:r>
      <w:r>
        <w:rPr>
          <w:rFonts w:hint="eastAsia"/>
          <w:szCs w:val="32"/>
        </w:rPr>
        <w:t>采购邀请书</w:t>
      </w:r>
      <w:r>
        <w:tab/>
      </w:r>
      <w:r>
        <w:fldChar w:fldCharType="begin"/>
      </w:r>
      <w:r>
        <w:instrText xml:space="preserve"> PAGEREF _Toc13736 \h </w:instrText>
      </w:r>
      <w:r>
        <w:fldChar w:fldCharType="separate"/>
      </w:r>
      <w:r>
        <w:t>- 4 -</w:t>
      </w:r>
      <w:r>
        <w:fldChar w:fldCharType="end"/>
      </w:r>
      <w:r>
        <w:rPr>
          <w:rFonts w:hint="eastAsia" w:ascii="宋体" w:hAnsi="宋体" w:cs="宋体"/>
          <w:color w:val="auto"/>
          <w:szCs w:val="21"/>
        </w:rPr>
        <w:fldChar w:fldCharType="end"/>
      </w:r>
    </w:p>
    <w:p w14:paraId="0CE50D0B">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_Toc4695 </w:instrText>
      </w:r>
      <w:r>
        <w:rPr>
          <w:rFonts w:hint="eastAsia" w:ascii="宋体" w:hAnsi="宋体" w:cs="宋体"/>
          <w:szCs w:val="21"/>
        </w:rPr>
        <w:fldChar w:fldCharType="separate"/>
      </w:r>
      <w:r>
        <w:rPr>
          <w:rFonts w:hint="eastAsia"/>
          <w:szCs w:val="28"/>
        </w:rPr>
        <w:t>一、竞争性磋商内容</w:t>
      </w:r>
      <w:r>
        <w:tab/>
      </w:r>
      <w:r>
        <w:fldChar w:fldCharType="begin"/>
      </w:r>
      <w:r>
        <w:instrText xml:space="preserve"> PAGEREF _Toc4695 \h </w:instrText>
      </w:r>
      <w:r>
        <w:fldChar w:fldCharType="separate"/>
      </w:r>
      <w:r>
        <w:t>- 4 -</w:t>
      </w:r>
      <w:r>
        <w:fldChar w:fldCharType="end"/>
      </w:r>
      <w:r>
        <w:rPr>
          <w:rFonts w:hint="eastAsia" w:ascii="宋体" w:hAnsi="宋体" w:cs="宋体"/>
          <w:color w:val="auto"/>
          <w:szCs w:val="21"/>
        </w:rPr>
        <w:fldChar w:fldCharType="end"/>
      </w:r>
    </w:p>
    <w:p w14:paraId="4CB03BCF">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_Toc6137 </w:instrText>
      </w:r>
      <w:r>
        <w:rPr>
          <w:rFonts w:hint="eastAsia" w:ascii="宋体" w:hAnsi="宋体" w:cs="宋体"/>
          <w:szCs w:val="21"/>
        </w:rPr>
        <w:fldChar w:fldCharType="separate"/>
      </w:r>
      <w:r>
        <w:rPr>
          <w:rFonts w:hint="eastAsia"/>
          <w:szCs w:val="28"/>
        </w:rPr>
        <w:t>二、供应商资格条件</w:t>
      </w:r>
      <w:r>
        <w:tab/>
      </w:r>
      <w:r>
        <w:fldChar w:fldCharType="begin"/>
      </w:r>
      <w:r>
        <w:instrText xml:space="preserve"> PAGEREF _Toc6137 \h </w:instrText>
      </w:r>
      <w:r>
        <w:fldChar w:fldCharType="separate"/>
      </w:r>
      <w:r>
        <w:t>- 4 -</w:t>
      </w:r>
      <w:r>
        <w:fldChar w:fldCharType="end"/>
      </w:r>
      <w:r>
        <w:rPr>
          <w:rFonts w:hint="eastAsia" w:ascii="宋体" w:hAnsi="宋体" w:cs="宋体"/>
          <w:color w:val="auto"/>
          <w:szCs w:val="21"/>
        </w:rPr>
        <w:fldChar w:fldCharType="end"/>
      </w:r>
    </w:p>
    <w:p w14:paraId="6829DC7A">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_Toc30383 </w:instrText>
      </w:r>
      <w:r>
        <w:rPr>
          <w:rFonts w:hint="eastAsia" w:ascii="宋体" w:hAnsi="宋体" w:cs="宋体"/>
          <w:szCs w:val="21"/>
        </w:rPr>
        <w:fldChar w:fldCharType="separate"/>
      </w:r>
      <w:r>
        <w:rPr>
          <w:rFonts w:hint="eastAsia"/>
        </w:rPr>
        <w:t>三、磋商有关说明</w:t>
      </w:r>
      <w:r>
        <w:tab/>
      </w:r>
      <w:r>
        <w:fldChar w:fldCharType="begin"/>
      </w:r>
      <w:r>
        <w:instrText xml:space="preserve"> PAGEREF _Toc30383 \h </w:instrText>
      </w:r>
      <w:r>
        <w:fldChar w:fldCharType="separate"/>
      </w:r>
      <w:r>
        <w:t>- 5 -</w:t>
      </w:r>
      <w:r>
        <w:fldChar w:fldCharType="end"/>
      </w:r>
      <w:r>
        <w:rPr>
          <w:rFonts w:hint="eastAsia" w:ascii="宋体" w:hAnsi="宋体" w:cs="宋体"/>
          <w:color w:val="auto"/>
          <w:szCs w:val="21"/>
        </w:rPr>
        <w:fldChar w:fldCharType="end"/>
      </w:r>
    </w:p>
    <w:p w14:paraId="5A00646B">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_Toc934 </w:instrText>
      </w:r>
      <w:r>
        <w:rPr>
          <w:rFonts w:hint="eastAsia" w:ascii="宋体" w:hAnsi="宋体" w:cs="宋体"/>
          <w:szCs w:val="21"/>
        </w:rPr>
        <w:fldChar w:fldCharType="separate"/>
      </w:r>
      <w:r>
        <w:rPr>
          <w:rFonts w:hint="eastAsia"/>
        </w:rPr>
        <w:t>四、磋商保证金</w:t>
      </w:r>
      <w:r>
        <w:tab/>
      </w:r>
      <w:r>
        <w:fldChar w:fldCharType="begin"/>
      </w:r>
      <w:r>
        <w:instrText xml:space="preserve"> PAGEREF _Toc934 \h </w:instrText>
      </w:r>
      <w:r>
        <w:fldChar w:fldCharType="separate"/>
      </w:r>
      <w:r>
        <w:t>- 5 -</w:t>
      </w:r>
      <w:r>
        <w:fldChar w:fldCharType="end"/>
      </w:r>
      <w:r>
        <w:rPr>
          <w:rFonts w:hint="eastAsia" w:ascii="宋体" w:hAnsi="宋体" w:cs="宋体"/>
          <w:color w:val="auto"/>
          <w:szCs w:val="21"/>
        </w:rPr>
        <w:fldChar w:fldCharType="end"/>
      </w:r>
    </w:p>
    <w:p w14:paraId="35A24F8E">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_Toc14762 </w:instrText>
      </w:r>
      <w:r>
        <w:rPr>
          <w:rFonts w:hint="eastAsia" w:ascii="宋体" w:hAnsi="宋体" w:cs="宋体"/>
          <w:szCs w:val="21"/>
        </w:rPr>
        <w:fldChar w:fldCharType="separate"/>
      </w:r>
      <w:r>
        <w:rPr>
          <w:rFonts w:hint="eastAsia"/>
        </w:rPr>
        <w:t>五、其它有关规定</w:t>
      </w:r>
      <w:r>
        <w:tab/>
      </w:r>
      <w:r>
        <w:fldChar w:fldCharType="begin"/>
      </w:r>
      <w:r>
        <w:instrText xml:space="preserve"> PAGEREF _Toc14762 \h </w:instrText>
      </w:r>
      <w:r>
        <w:fldChar w:fldCharType="separate"/>
      </w:r>
      <w:r>
        <w:t>- 6 -</w:t>
      </w:r>
      <w:r>
        <w:fldChar w:fldCharType="end"/>
      </w:r>
      <w:r>
        <w:rPr>
          <w:rFonts w:hint="eastAsia" w:ascii="宋体" w:hAnsi="宋体" w:cs="宋体"/>
          <w:color w:val="auto"/>
          <w:szCs w:val="21"/>
        </w:rPr>
        <w:fldChar w:fldCharType="end"/>
      </w:r>
    </w:p>
    <w:p w14:paraId="2E6995A3">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_Toc14425 </w:instrText>
      </w:r>
      <w:r>
        <w:rPr>
          <w:rFonts w:hint="eastAsia" w:ascii="宋体" w:hAnsi="宋体" w:cs="宋体"/>
          <w:szCs w:val="21"/>
        </w:rPr>
        <w:fldChar w:fldCharType="separate"/>
      </w:r>
      <w:r>
        <w:rPr>
          <w:rFonts w:hint="eastAsia"/>
          <w:lang w:val="en-US" w:eastAsia="zh-CN"/>
        </w:rPr>
        <w:t>六</w:t>
      </w:r>
      <w:r>
        <w:rPr>
          <w:rFonts w:hint="eastAsia"/>
        </w:rPr>
        <w:t>、联系方式</w:t>
      </w:r>
      <w:r>
        <w:tab/>
      </w:r>
      <w:r>
        <w:fldChar w:fldCharType="begin"/>
      </w:r>
      <w:r>
        <w:instrText xml:space="preserve"> PAGEREF _Toc14425 \h </w:instrText>
      </w:r>
      <w:r>
        <w:fldChar w:fldCharType="separate"/>
      </w:r>
      <w:r>
        <w:t>- 7 -</w:t>
      </w:r>
      <w:r>
        <w:fldChar w:fldCharType="end"/>
      </w:r>
      <w:r>
        <w:rPr>
          <w:rFonts w:hint="eastAsia" w:ascii="宋体" w:hAnsi="宋体" w:cs="宋体"/>
          <w:color w:val="auto"/>
          <w:szCs w:val="21"/>
        </w:rPr>
        <w:fldChar w:fldCharType="end"/>
      </w:r>
    </w:p>
    <w:p w14:paraId="05A864CF">
      <w:pPr>
        <w:pStyle w:val="3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_Toc29642 </w:instrText>
      </w:r>
      <w:r>
        <w:rPr>
          <w:rFonts w:hint="eastAsia" w:ascii="宋体" w:hAnsi="宋体" w:cs="宋体"/>
          <w:szCs w:val="21"/>
        </w:rPr>
        <w:fldChar w:fldCharType="separate"/>
      </w:r>
      <w:r>
        <w:rPr>
          <w:rFonts w:hint="eastAsia"/>
          <w:szCs w:val="32"/>
        </w:rPr>
        <w:t>第二篇</w:t>
      </w:r>
      <w:r>
        <w:rPr>
          <w:szCs w:val="32"/>
        </w:rPr>
        <w:t xml:space="preserve">  </w:t>
      </w:r>
      <w:r>
        <w:rPr>
          <w:rFonts w:hint="eastAsia"/>
          <w:szCs w:val="32"/>
        </w:rPr>
        <w:t>采购服务需求</w:t>
      </w:r>
      <w:r>
        <w:tab/>
      </w:r>
      <w:r>
        <w:fldChar w:fldCharType="begin"/>
      </w:r>
      <w:r>
        <w:instrText xml:space="preserve"> PAGEREF _Toc29642 \h </w:instrText>
      </w:r>
      <w:r>
        <w:fldChar w:fldCharType="separate"/>
      </w:r>
      <w:r>
        <w:t>- 8 -</w:t>
      </w:r>
      <w:r>
        <w:fldChar w:fldCharType="end"/>
      </w:r>
      <w:r>
        <w:rPr>
          <w:rFonts w:hint="eastAsia" w:ascii="宋体" w:hAnsi="宋体" w:cs="宋体"/>
          <w:color w:val="auto"/>
          <w:szCs w:val="21"/>
        </w:rPr>
        <w:fldChar w:fldCharType="end"/>
      </w:r>
    </w:p>
    <w:p w14:paraId="60EE7112">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_Toc3558 </w:instrText>
      </w:r>
      <w:r>
        <w:rPr>
          <w:rFonts w:hint="eastAsia" w:ascii="宋体" w:hAnsi="宋体" w:cs="宋体"/>
          <w:szCs w:val="21"/>
        </w:rPr>
        <w:fldChar w:fldCharType="separate"/>
      </w:r>
      <w:r>
        <w:rPr>
          <w:rFonts w:hint="eastAsia"/>
        </w:rPr>
        <w:t>一、项目基本概况介绍</w:t>
      </w:r>
      <w:r>
        <w:tab/>
      </w:r>
      <w:r>
        <w:fldChar w:fldCharType="begin"/>
      </w:r>
      <w:r>
        <w:instrText xml:space="preserve"> PAGEREF _Toc3558 \h </w:instrText>
      </w:r>
      <w:r>
        <w:fldChar w:fldCharType="separate"/>
      </w:r>
      <w:r>
        <w:t>- 8 -</w:t>
      </w:r>
      <w:r>
        <w:fldChar w:fldCharType="end"/>
      </w:r>
      <w:r>
        <w:rPr>
          <w:rFonts w:hint="eastAsia" w:ascii="宋体" w:hAnsi="宋体" w:cs="宋体"/>
          <w:color w:val="auto"/>
          <w:szCs w:val="21"/>
        </w:rPr>
        <w:fldChar w:fldCharType="end"/>
      </w:r>
    </w:p>
    <w:p w14:paraId="58BB7473">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_Toc16755 </w:instrText>
      </w:r>
      <w:r>
        <w:rPr>
          <w:rFonts w:hint="eastAsia" w:ascii="宋体" w:hAnsi="宋体" w:cs="宋体"/>
          <w:szCs w:val="21"/>
        </w:rPr>
        <w:fldChar w:fldCharType="separate"/>
      </w:r>
      <w:r>
        <w:rPr>
          <w:rFonts w:hint="eastAsia"/>
        </w:rPr>
        <w:t>二、委托经营时间</w:t>
      </w:r>
      <w:r>
        <w:tab/>
      </w:r>
      <w:r>
        <w:fldChar w:fldCharType="begin"/>
      </w:r>
      <w:r>
        <w:instrText xml:space="preserve"> PAGEREF _Toc16755 \h </w:instrText>
      </w:r>
      <w:r>
        <w:fldChar w:fldCharType="separate"/>
      </w:r>
      <w:r>
        <w:t>- 8 -</w:t>
      </w:r>
      <w:r>
        <w:fldChar w:fldCharType="end"/>
      </w:r>
      <w:r>
        <w:rPr>
          <w:rFonts w:hint="eastAsia" w:ascii="宋体" w:hAnsi="宋体" w:cs="宋体"/>
          <w:color w:val="auto"/>
          <w:szCs w:val="21"/>
        </w:rPr>
        <w:fldChar w:fldCharType="end"/>
      </w:r>
    </w:p>
    <w:p w14:paraId="36C5F236">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_Toc11166 </w:instrText>
      </w:r>
      <w:r>
        <w:rPr>
          <w:rFonts w:hint="eastAsia" w:ascii="宋体" w:hAnsi="宋体" w:cs="宋体"/>
          <w:szCs w:val="21"/>
        </w:rPr>
        <w:fldChar w:fldCharType="separate"/>
      </w:r>
      <w:r>
        <w:rPr>
          <w:rFonts w:hint="eastAsia"/>
        </w:rPr>
        <w:t>三、招标项目基本情况</w:t>
      </w:r>
      <w:r>
        <w:tab/>
      </w:r>
      <w:r>
        <w:fldChar w:fldCharType="begin"/>
      </w:r>
      <w:r>
        <w:instrText xml:space="preserve"> PAGEREF _Toc11166 \h </w:instrText>
      </w:r>
      <w:r>
        <w:fldChar w:fldCharType="separate"/>
      </w:r>
      <w:r>
        <w:t>- 8 -</w:t>
      </w:r>
      <w:r>
        <w:fldChar w:fldCharType="end"/>
      </w:r>
      <w:r>
        <w:rPr>
          <w:rFonts w:hint="eastAsia" w:ascii="宋体" w:hAnsi="宋体" w:cs="宋体"/>
          <w:color w:val="auto"/>
          <w:szCs w:val="21"/>
        </w:rPr>
        <w:fldChar w:fldCharType="end"/>
      </w:r>
    </w:p>
    <w:p w14:paraId="31EAE708">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_Toc32602 </w:instrText>
      </w:r>
      <w:r>
        <w:rPr>
          <w:rFonts w:hint="eastAsia" w:ascii="宋体" w:hAnsi="宋体" w:cs="宋体"/>
          <w:szCs w:val="21"/>
        </w:rPr>
        <w:fldChar w:fldCharType="separate"/>
      </w:r>
      <w:r>
        <w:t>*</w:t>
      </w:r>
      <w:r>
        <w:rPr>
          <w:rFonts w:hint="eastAsia"/>
        </w:rPr>
        <w:t>四、招标项目服务需求</w:t>
      </w:r>
      <w:r>
        <w:tab/>
      </w:r>
      <w:r>
        <w:fldChar w:fldCharType="begin"/>
      </w:r>
      <w:r>
        <w:instrText xml:space="preserve"> PAGEREF _Toc32602 \h </w:instrText>
      </w:r>
      <w:r>
        <w:fldChar w:fldCharType="separate"/>
      </w:r>
      <w:r>
        <w:t>- 9 -</w:t>
      </w:r>
      <w:r>
        <w:fldChar w:fldCharType="end"/>
      </w:r>
      <w:r>
        <w:rPr>
          <w:rFonts w:hint="eastAsia" w:ascii="宋体" w:hAnsi="宋体" w:cs="宋体"/>
          <w:color w:val="auto"/>
          <w:szCs w:val="21"/>
        </w:rPr>
        <w:fldChar w:fldCharType="end"/>
      </w:r>
    </w:p>
    <w:p w14:paraId="4008A53F">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_Toc11099 </w:instrText>
      </w:r>
      <w:r>
        <w:rPr>
          <w:rFonts w:hint="eastAsia" w:ascii="宋体" w:hAnsi="宋体" w:cs="宋体"/>
          <w:szCs w:val="21"/>
        </w:rPr>
        <w:fldChar w:fldCharType="separate"/>
      </w:r>
      <w:r>
        <w:rPr>
          <w:rFonts w:hint="eastAsia"/>
        </w:rPr>
        <w:t>（一）项目总体要求</w:t>
      </w:r>
      <w:r>
        <w:tab/>
      </w:r>
      <w:r>
        <w:fldChar w:fldCharType="begin"/>
      </w:r>
      <w:r>
        <w:instrText xml:space="preserve"> PAGEREF _Toc11099 \h </w:instrText>
      </w:r>
      <w:r>
        <w:fldChar w:fldCharType="separate"/>
      </w:r>
      <w:r>
        <w:t>- 9 -</w:t>
      </w:r>
      <w:r>
        <w:fldChar w:fldCharType="end"/>
      </w:r>
      <w:r>
        <w:rPr>
          <w:rFonts w:hint="eastAsia" w:ascii="宋体" w:hAnsi="宋体" w:cs="宋体"/>
          <w:color w:val="auto"/>
          <w:szCs w:val="21"/>
        </w:rPr>
        <w:fldChar w:fldCharType="end"/>
      </w:r>
    </w:p>
    <w:p w14:paraId="444902A1">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_Toc22510 </w:instrText>
      </w:r>
      <w:r>
        <w:rPr>
          <w:rFonts w:hint="eastAsia" w:ascii="宋体" w:hAnsi="宋体" w:cs="宋体"/>
          <w:szCs w:val="21"/>
        </w:rPr>
        <w:fldChar w:fldCharType="separate"/>
      </w:r>
      <w:r>
        <w:rPr>
          <w:rFonts w:hint="eastAsia"/>
        </w:rPr>
        <w:t>（二）经营管理要求</w:t>
      </w:r>
      <w:r>
        <w:tab/>
      </w:r>
      <w:r>
        <w:fldChar w:fldCharType="begin"/>
      </w:r>
      <w:r>
        <w:instrText xml:space="preserve"> PAGEREF _Toc22510 \h </w:instrText>
      </w:r>
      <w:r>
        <w:fldChar w:fldCharType="separate"/>
      </w:r>
      <w:r>
        <w:t>- 10 -</w:t>
      </w:r>
      <w:r>
        <w:fldChar w:fldCharType="end"/>
      </w:r>
      <w:r>
        <w:rPr>
          <w:rFonts w:hint="eastAsia" w:ascii="宋体" w:hAnsi="宋体" w:cs="宋体"/>
          <w:color w:val="auto"/>
          <w:szCs w:val="21"/>
        </w:rPr>
        <w:fldChar w:fldCharType="end"/>
      </w:r>
    </w:p>
    <w:p w14:paraId="69F5F94F">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_Toc3559 </w:instrText>
      </w:r>
      <w:r>
        <w:rPr>
          <w:rFonts w:hint="eastAsia" w:ascii="宋体" w:hAnsi="宋体" w:cs="宋体"/>
          <w:szCs w:val="21"/>
        </w:rPr>
        <w:fldChar w:fldCharType="separate"/>
      </w:r>
      <w:r>
        <w:rPr>
          <w:rFonts w:hint="eastAsia"/>
        </w:rPr>
        <w:t>（三）食材要求</w:t>
      </w:r>
      <w:r>
        <w:tab/>
      </w:r>
      <w:r>
        <w:fldChar w:fldCharType="begin"/>
      </w:r>
      <w:r>
        <w:instrText xml:space="preserve"> PAGEREF _Toc3559 \h </w:instrText>
      </w:r>
      <w:r>
        <w:fldChar w:fldCharType="separate"/>
      </w:r>
      <w:r>
        <w:t>- 15 -</w:t>
      </w:r>
      <w:r>
        <w:fldChar w:fldCharType="end"/>
      </w:r>
      <w:r>
        <w:rPr>
          <w:rFonts w:hint="eastAsia" w:ascii="宋体" w:hAnsi="宋体" w:cs="宋体"/>
          <w:color w:val="auto"/>
          <w:szCs w:val="21"/>
        </w:rPr>
        <w:fldChar w:fldCharType="end"/>
      </w:r>
    </w:p>
    <w:p w14:paraId="408C541A">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_Toc4245 </w:instrText>
      </w:r>
      <w:r>
        <w:rPr>
          <w:rFonts w:hint="eastAsia" w:ascii="宋体" w:hAnsi="宋体" w:cs="宋体"/>
          <w:szCs w:val="21"/>
        </w:rPr>
        <w:fldChar w:fldCharType="separate"/>
      </w:r>
      <w:r>
        <w:rPr>
          <w:rFonts w:hint="eastAsia"/>
        </w:rPr>
        <w:t>（四）食堂消防安全要求</w:t>
      </w:r>
      <w:r>
        <w:tab/>
      </w:r>
      <w:r>
        <w:fldChar w:fldCharType="begin"/>
      </w:r>
      <w:r>
        <w:instrText xml:space="preserve"> PAGEREF _Toc4245 \h </w:instrText>
      </w:r>
      <w:r>
        <w:fldChar w:fldCharType="separate"/>
      </w:r>
      <w:r>
        <w:t>- 16 -</w:t>
      </w:r>
      <w:r>
        <w:fldChar w:fldCharType="end"/>
      </w:r>
      <w:r>
        <w:rPr>
          <w:rFonts w:hint="eastAsia" w:ascii="宋体" w:hAnsi="宋体" w:cs="宋体"/>
          <w:color w:val="auto"/>
          <w:szCs w:val="21"/>
        </w:rPr>
        <w:fldChar w:fldCharType="end"/>
      </w:r>
    </w:p>
    <w:p w14:paraId="2F5E316A">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_Toc21421 </w:instrText>
      </w:r>
      <w:r>
        <w:rPr>
          <w:rFonts w:hint="eastAsia" w:ascii="宋体" w:hAnsi="宋体" w:cs="宋体"/>
          <w:szCs w:val="21"/>
        </w:rPr>
        <w:fldChar w:fldCharType="separate"/>
      </w:r>
      <w:r>
        <w:rPr>
          <w:rFonts w:hint="eastAsia"/>
        </w:rPr>
        <w:t>（五）食堂服务育人要求</w:t>
      </w:r>
      <w:r>
        <w:tab/>
      </w:r>
      <w:r>
        <w:fldChar w:fldCharType="begin"/>
      </w:r>
      <w:r>
        <w:instrText xml:space="preserve"> PAGEREF _Toc21421 \h </w:instrText>
      </w:r>
      <w:r>
        <w:fldChar w:fldCharType="separate"/>
      </w:r>
      <w:r>
        <w:t>- 18 -</w:t>
      </w:r>
      <w:r>
        <w:fldChar w:fldCharType="end"/>
      </w:r>
      <w:r>
        <w:rPr>
          <w:rFonts w:hint="eastAsia" w:ascii="宋体" w:hAnsi="宋体" w:cs="宋体"/>
          <w:color w:val="auto"/>
          <w:szCs w:val="21"/>
        </w:rPr>
        <w:fldChar w:fldCharType="end"/>
      </w:r>
    </w:p>
    <w:p w14:paraId="1B8DC445">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_Toc15914 </w:instrText>
      </w:r>
      <w:r>
        <w:rPr>
          <w:rFonts w:hint="eastAsia" w:ascii="宋体" w:hAnsi="宋体" w:cs="宋体"/>
          <w:szCs w:val="21"/>
        </w:rPr>
        <w:fldChar w:fldCharType="separate"/>
      </w:r>
      <w:r>
        <w:rPr>
          <w:rFonts w:hint="eastAsia"/>
        </w:rPr>
        <w:t>（六）招标项目环境改造要求</w:t>
      </w:r>
      <w:r>
        <w:tab/>
      </w:r>
      <w:r>
        <w:fldChar w:fldCharType="begin"/>
      </w:r>
      <w:r>
        <w:instrText xml:space="preserve"> PAGEREF _Toc15914 \h </w:instrText>
      </w:r>
      <w:r>
        <w:fldChar w:fldCharType="separate"/>
      </w:r>
      <w:r>
        <w:t>- 18 -</w:t>
      </w:r>
      <w:r>
        <w:fldChar w:fldCharType="end"/>
      </w:r>
      <w:r>
        <w:rPr>
          <w:rFonts w:hint="eastAsia" w:ascii="宋体" w:hAnsi="宋体" w:cs="宋体"/>
          <w:color w:val="auto"/>
          <w:szCs w:val="21"/>
        </w:rPr>
        <w:fldChar w:fldCharType="end"/>
      </w:r>
    </w:p>
    <w:p w14:paraId="6736D2EA">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_Toc25555 </w:instrText>
      </w:r>
      <w:r>
        <w:rPr>
          <w:rFonts w:hint="eastAsia" w:ascii="宋体" w:hAnsi="宋体" w:cs="宋体"/>
          <w:szCs w:val="21"/>
        </w:rPr>
        <w:fldChar w:fldCharType="separate"/>
      </w:r>
      <w:r>
        <w:rPr>
          <w:rFonts w:hint="eastAsia"/>
        </w:rPr>
        <w:t>（七）教工餐要求</w:t>
      </w:r>
      <w:r>
        <w:tab/>
      </w:r>
      <w:r>
        <w:fldChar w:fldCharType="begin"/>
      </w:r>
      <w:r>
        <w:instrText xml:space="preserve"> PAGEREF _Toc25555 \h </w:instrText>
      </w:r>
      <w:r>
        <w:fldChar w:fldCharType="separate"/>
      </w:r>
      <w:r>
        <w:t>- 22 -</w:t>
      </w:r>
      <w:r>
        <w:fldChar w:fldCharType="end"/>
      </w:r>
      <w:r>
        <w:rPr>
          <w:rFonts w:hint="eastAsia" w:ascii="宋体" w:hAnsi="宋体" w:cs="宋体"/>
          <w:color w:val="auto"/>
          <w:szCs w:val="21"/>
        </w:rPr>
        <w:fldChar w:fldCharType="end"/>
      </w:r>
    </w:p>
    <w:p w14:paraId="59FD58C7">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_Toc553 </w:instrText>
      </w:r>
      <w:r>
        <w:rPr>
          <w:rFonts w:hint="eastAsia" w:ascii="宋体" w:hAnsi="宋体" w:cs="宋体"/>
          <w:szCs w:val="21"/>
        </w:rPr>
        <w:fldChar w:fldCharType="separate"/>
      </w:r>
      <w:r>
        <w:t>*</w:t>
      </w:r>
      <w:r>
        <w:rPr>
          <w:rFonts w:hint="eastAsia"/>
        </w:rPr>
        <w:t>五、数智食堂建设要求</w:t>
      </w:r>
      <w:r>
        <w:tab/>
      </w:r>
      <w:r>
        <w:fldChar w:fldCharType="begin"/>
      </w:r>
      <w:r>
        <w:instrText xml:space="preserve"> PAGEREF _Toc553 \h </w:instrText>
      </w:r>
      <w:r>
        <w:fldChar w:fldCharType="separate"/>
      </w:r>
      <w:r>
        <w:t>- 22 -</w:t>
      </w:r>
      <w:r>
        <w:fldChar w:fldCharType="end"/>
      </w:r>
      <w:r>
        <w:rPr>
          <w:rFonts w:hint="eastAsia" w:ascii="宋体" w:hAnsi="宋体" w:cs="宋体"/>
          <w:color w:val="auto"/>
          <w:szCs w:val="21"/>
        </w:rPr>
        <w:fldChar w:fldCharType="end"/>
      </w:r>
    </w:p>
    <w:p w14:paraId="72B7C0C6">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_Toc32038 </w:instrText>
      </w:r>
      <w:r>
        <w:rPr>
          <w:rFonts w:hint="eastAsia" w:ascii="宋体" w:hAnsi="宋体" w:cs="宋体"/>
          <w:szCs w:val="21"/>
        </w:rPr>
        <w:fldChar w:fldCharType="separate"/>
      </w:r>
      <w:r>
        <w:t>*</w:t>
      </w:r>
      <w:r>
        <w:rPr>
          <w:rFonts w:hint="eastAsia"/>
        </w:rPr>
        <w:t>六、项目管理班子要求</w:t>
      </w:r>
      <w:r>
        <w:tab/>
      </w:r>
      <w:r>
        <w:fldChar w:fldCharType="begin"/>
      </w:r>
      <w:r>
        <w:instrText xml:space="preserve"> PAGEREF _Toc32038 \h </w:instrText>
      </w:r>
      <w:r>
        <w:fldChar w:fldCharType="separate"/>
      </w:r>
      <w:r>
        <w:t>- 54 -</w:t>
      </w:r>
      <w:r>
        <w:fldChar w:fldCharType="end"/>
      </w:r>
      <w:r>
        <w:rPr>
          <w:rFonts w:hint="eastAsia" w:ascii="宋体" w:hAnsi="宋体" w:cs="宋体"/>
          <w:color w:val="auto"/>
          <w:szCs w:val="21"/>
        </w:rPr>
        <w:fldChar w:fldCharType="end"/>
      </w:r>
    </w:p>
    <w:p w14:paraId="45AC8073">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_Toc15968 </w:instrText>
      </w:r>
      <w:r>
        <w:rPr>
          <w:rFonts w:hint="eastAsia" w:ascii="宋体" w:hAnsi="宋体" w:cs="宋体"/>
          <w:szCs w:val="21"/>
        </w:rPr>
        <w:fldChar w:fldCharType="separate"/>
      </w:r>
      <w:r>
        <w:t>*</w:t>
      </w:r>
      <w:r>
        <w:rPr>
          <w:rFonts w:hint="eastAsia"/>
        </w:rPr>
        <w:t>七、考核管理</w:t>
      </w:r>
      <w:r>
        <w:tab/>
      </w:r>
      <w:r>
        <w:fldChar w:fldCharType="begin"/>
      </w:r>
      <w:r>
        <w:instrText xml:space="preserve"> PAGEREF _Toc15968 \h </w:instrText>
      </w:r>
      <w:r>
        <w:fldChar w:fldCharType="separate"/>
      </w:r>
      <w:r>
        <w:t>- 54 -</w:t>
      </w:r>
      <w:r>
        <w:fldChar w:fldCharType="end"/>
      </w:r>
      <w:r>
        <w:rPr>
          <w:rFonts w:hint="eastAsia" w:ascii="宋体" w:hAnsi="宋体" w:cs="宋体"/>
          <w:color w:val="auto"/>
          <w:szCs w:val="21"/>
        </w:rPr>
        <w:fldChar w:fldCharType="end"/>
      </w:r>
    </w:p>
    <w:p w14:paraId="07FD83AC">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_Toc1932 </w:instrText>
      </w:r>
      <w:r>
        <w:rPr>
          <w:rFonts w:hint="eastAsia" w:ascii="宋体" w:hAnsi="宋体" w:cs="宋体"/>
          <w:szCs w:val="21"/>
        </w:rPr>
        <w:fldChar w:fldCharType="separate"/>
      </w:r>
      <w:r>
        <w:t>*</w:t>
      </w:r>
      <w:r>
        <w:rPr>
          <w:rFonts w:hint="eastAsia"/>
        </w:rPr>
        <w:t>八、特别要求</w:t>
      </w:r>
      <w:r>
        <w:tab/>
      </w:r>
      <w:r>
        <w:fldChar w:fldCharType="begin"/>
      </w:r>
      <w:r>
        <w:instrText xml:space="preserve"> PAGEREF _Toc1932 \h </w:instrText>
      </w:r>
      <w:r>
        <w:fldChar w:fldCharType="separate"/>
      </w:r>
      <w:r>
        <w:t>- 60 -</w:t>
      </w:r>
      <w:r>
        <w:fldChar w:fldCharType="end"/>
      </w:r>
      <w:r>
        <w:rPr>
          <w:rFonts w:hint="eastAsia" w:ascii="宋体" w:hAnsi="宋体" w:cs="宋体"/>
          <w:color w:val="auto"/>
          <w:szCs w:val="21"/>
        </w:rPr>
        <w:fldChar w:fldCharType="end"/>
      </w:r>
    </w:p>
    <w:p w14:paraId="61314958">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_Toc23341 </w:instrText>
      </w:r>
      <w:r>
        <w:rPr>
          <w:rFonts w:hint="eastAsia" w:ascii="宋体" w:hAnsi="宋体" w:cs="宋体"/>
          <w:szCs w:val="21"/>
        </w:rPr>
        <w:fldChar w:fldCharType="separate"/>
      </w:r>
      <w:r>
        <w:rPr>
          <w:rFonts w:hint="eastAsia"/>
        </w:rPr>
        <w:t>九、现场查勘</w:t>
      </w:r>
      <w:r>
        <w:tab/>
      </w:r>
      <w:r>
        <w:fldChar w:fldCharType="begin"/>
      </w:r>
      <w:r>
        <w:instrText xml:space="preserve"> PAGEREF _Toc23341 \h </w:instrText>
      </w:r>
      <w:r>
        <w:fldChar w:fldCharType="separate"/>
      </w:r>
      <w:r>
        <w:t>- 60 -</w:t>
      </w:r>
      <w:r>
        <w:fldChar w:fldCharType="end"/>
      </w:r>
      <w:r>
        <w:rPr>
          <w:rFonts w:hint="eastAsia" w:ascii="宋体" w:hAnsi="宋体" w:cs="宋体"/>
          <w:color w:val="auto"/>
          <w:szCs w:val="21"/>
        </w:rPr>
        <w:fldChar w:fldCharType="end"/>
      </w:r>
    </w:p>
    <w:p w14:paraId="3FF2333A">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_Toc4559 </w:instrText>
      </w:r>
      <w:r>
        <w:rPr>
          <w:rFonts w:hint="eastAsia" w:ascii="宋体" w:hAnsi="宋体" w:cs="宋体"/>
          <w:szCs w:val="21"/>
        </w:rPr>
        <w:fldChar w:fldCharType="separate"/>
      </w:r>
      <w:r>
        <w:rPr>
          <w:rFonts w:hint="eastAsia"/>
        </w:rPr>
        <w:t>十、其他</w:t>
      </w:r>
      <w:r>
        <w:tab/>
      </w:r>
      <w:r>
        <w:fldChar w:fldCharType="begin"/>
      </w:r>
      <w:r>
        <w:instrText xml:space="preserve"> PAGEREF _Toc4559 \h </w:instrText>
      </w:r>
      <w:r>
        <w:fldChar w:fldCharType="separate"/>
      </w:r>
      <w:r>
        <w:t>- 61 -</w:t>
      </w:r>
      <w:r>
        <w:fldChar w:fldCharType="end"/>
      </w:r>
      <w:r>
        <w:rPr>
          <w:rFonts w:hint="eastAsia" w:ascii="宋体" w:hAnsi="宋体" w:cs="宋体"/>
          <w:color w:val="auto"/>
          <w:szCs w:val="21"/>
        </w:rPr>
        <w:fldChar w:fldCharType="end"/>
      </w:r>
    </w:p>
    <w:p w14:paraId="024C4B0E">
      <w:pPr>
        <w:pStyle w:val="3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_Toc23685 </w:instrText>
      </w:r>
      <w:r>
        <w:rPr>
          <w:rFonts w:hint="eastAsia" w:ascii="宋体" w:hAnsi="宋体" w:cs="宋体"/>
          <w:szCs w:val="21"/>
        </w:rPr>
        <w:fldChar w:fldCharType="separate"/>
      </w:r>
      <w:r>
        <w:rPr>
          <w:rFonts w:hint="eastAsia"/>
          <w:bCs/>
          <w:szCs w:val="32"/>
        </w:rPr>
        <w:t>第三篇</w:t>
      </w:r>
      <w:r>
        <w:rPr>
          <w:bCs/>
          <w:szCs w:val="32"/>
        </w:rPr>
        <w:t xml:space="preserve">  </w:t>
      </w:r>
      <w:r>
        <w:rPr>
          <w:rFonts w:hint="eastAsia"/>
          <w:bCs/>
          <w:szCs w:val="32"/>
        </w:rPr>
        <w:t>采购商务需求</w:t>
      </w:r>
      <w:r>
        <w:tab/>
      </w:r>
      <w:r>
        <w:fldChar w:fldCharType="begin"/>
      </w:r>
      <w:r>
        <w:instrText xml:space="preserve"> PAGEREF _Toc23685 \h </w:instrText>
      </w:r>
      <w:r>
        <w:fldChar w:fldCharType="separate"/>
      </w:r>
      <w:r>
        <w:t>- 62 -</w:t>
      </w:r>
      <w:r>
        <w:fldChar w:fldCharType="end"/>
      </w:r>
      <w:r>
        <w:rPr>
          <w:rFonts w:hint="eastAsia" w:ascii="宋体" w:hAnsi="宋体" w:cs="宋体"/>
          <w:color w:val="auto"/>
          <w:szCs w:val="21"/>
        </w:rPr>
        <w:fldChar w:fldCharType="end"/>
      </w:r>
    </w:p>
    <w:p w14:paraId="77FB5D25">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_Toc26372 </w:instrText>
      </w:r>
      <w:r>
        <w:rPr>
          <w:rFonts w:hint="eastAsia" w:ascii="宋体" w:hAnsi="宋体" w:cs="宋体"/>
          <w:szCs w:val="21"/>
        </w:rPr>
        <w:fldChar w:fldCharType="separate"/>
      </w:r>
      <w:r>
        <w:rPr>
          <w:rFonts w:hint="eastAsia"/>
          <w:szCs w:val="28"/>
        </w:rPr>
        <w:t>一、时间、地点要求，人员要求及验收方式</w:t>
      </w:r>
      <w:r>
        <w:tab/>
      </w:r>
      <w:r>
        <w:fldChar w:fldCharType="begin"/>
      </w:r>
      <w:r>
        <w:instrText xml:space="preserve"> PAGEREF _Toc26372 \h </w:instrText>
      </w:r>
      <w:r>
        <w:fldChar w:fldCharType="separate"/>
      </w:r>
      <w:r>
        <w:t>- 62 -</w:t>
      </w:r>
      <w:r>
        <w:fldChar w:fldCharType="end"/>
      </w:r>
      <w:r>
        <w:rPr>
          <w:rFonts w:hint="eastAsia" w:ascii="宋体" w:hAnsi="宋体" w:cs="宋体"/>
          <w:color w:val="auto"/>
          <w:szCs w:val="21"/>
        </w:rPr>
        <w:fldChar w:fldCharType="end"/>
      </w:r>
    </w:p>
    <w:p w14:paraId="2EBF3181">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_Toc9304 </w:instrText>
      </w:r>
      <w:r>
        <w:rPr>
          <w:rFonts w:hint="eastAsia" w:ascii="宋体" w:hAnsi="宋体" w:cs="宋体"/>
          <w:szCs w:val="21"/>
        </w:rPr>
        <w:fldChar w:fldCharType="separate"/>
      </w:r>
      <w:r>
        <w:rPr>
          <w:rFonts w:hint="eastAsia"/>
          <w:szCs w:val="28"/>
        </w:rPr>
        <w:t>二、报价要求</w:t>
      </w:r>
      <w:r>
        <w:tab/>
      </w:r>
      <w:r>
        <w:fldChar w:fldCharType="begin"/>
      </w:r>
      <w:r>
        <w:instrText xml:space="preserve"> PAGEREF _Toc9304 \h </w:instrText>
      </w:r>
      <w:r>
        <w:fldChar w:fldCharType="separate"/>
      </w:r>
      <w:r>
        <w:t>- 62 -</w:t>
      </w:r>
      <w:r>
        <w:fldChar w:fldCharType="end"/>
      </w:r>
      <w:r>
        <w:rPr>
          <w:rFonts w:hint="eastAsia" w:ascii="宋体" w:hAnsi="宋体" w:cs="宋体"/>
          <w:color w:val="auto"/>
          <w:szCs w:val="21"/>
        </w:rPr>
        <w:fldChar w:fldCharType="end"/>
      </w:r>
    </w:p>
    <w:p w14:paraId="4078246D">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_Toc16342 </w:instrText>
      </w:r>
      <w:r>
        <w:rPr>
          <w:rFonts w:hint="eastAsia" w:ascii="宋体" w:hAnsi="宋体" w:cs="宋体"/>
          <w:szCs w:val="21"/>
        </w:rPr>
        <w:fldChar w:fldCharType="separate"/>
      </w:r>
      <w:r>
        <w:t>*</w:t>
      </w:r>
      <w:r>
        <w:rPr>
          <w:rFonts w:hint="eastAsia"/>
          <w:szCs w:val="28"/>
        </w:rPr>
        <w:t>三、履约保证金</w:t>
      </w:r>
      <w:r>
        <w:tab/>
      </w:r>
      <w:r>
        <w:fldChar w:fldCharType="begin"/>
      </w:r>
      <w:r>
        <w:instrText xml:space="preserve"> PAGEREF _Toc16342 \h </w:instrText>
      </w:r>
      <w:r>
        <w:fldChar w:fldCharType="separate"/>
      </w:r>
      <w:r>
        <w:t>- 62 -</w:t>
      </w:r>
      <w:r>
        <w:fldChar w:fldCharType="end"/>
      </w:r>
      <w:r>
        <w:rPr>
          <w:rFonts w:hint="eastAsia" w:ascii="宋体" w:hAnsi="宋体" w:cs="宋体"/>
          <w:color w:val="auto"/>
          <w:szCs w:val="21"/>
        </w:rPr>
        <w:fldChar w:fldCharType="end"/>
      </w:r>
    </w:p>
    <w:p w14:paraId="2A9748FD">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_Toc29979 </w:instrText>
      </w:r>
      <w:r>
        <w:rPr>
          <w:rFonts w:hint="eastAsia" w:ascii="宋体" w:hAnsi="宋体" w:cs="宋体"/>
          <w:szCs w:val="21"/>
        </w:rPr>
        <w:fldChar w:fldCharType="separate"/>
      </w:r>
      <w:r>
        <w:t>*</w:t>
      </w:r>
      <w:r>
        <w:rPr>
          <w:rFonts w:hint="eastAsia"/>
          <w:szCs w:val="28"/>
        </w:rPr>
        <w:t>四、费用结算及支付</w:t>
      </w:r>
      <w:r>
        <w:tab/>
      </w:r>
      <w:r>
        <w:fldChar w:fldCharType="begin"/>
      </w:r>
      <w:r>
        <w:instrText xml:space="preserve"> PAGEREF _Toc29979 \h </w:instrText>
      </w:r>
      <w:r>
        <w:fldChar w:fldCharType="separate"/>
      </w:r>
      <w:r>
        <w:t>- 62 -</w:t>
      </w:r>
      <w:r>
        <w:fldChar w:fldCharType="end"/>
      </w:r>
      <w:r>
        <w:rPr>
          <w:rFonts w:hint="eastAsia" w:ascii="宋体" w:hAnsi="宋体" w:cs="宋体"/>
          <w:color w:val="auto"/>
          <w:szCs w:val="21"/>
        </w:rPr>
        <w:fldChar w:fldCharType="end"/>
      </w:r>
    </w:p>
    <w:p w14:paraId="6DC5BADD">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_Toc30590 </w:instrText>
      </w:r>
      <w:r>
        <w:rPr>
          <w:rFonts w:hint="eastAsia" w:ascii="宋体" w:hAnsi="宋体" w:cs="宋体"/>
          <w:szCs w:val="21"/>
        </w:rPr>
        <w:fldChar w:fldCharType="separate"/>
      </w:r>
      <w:r>
        <w:t>*</w:t>
      </w:r>
      <w:r>
        <w:rPr>
          <w:rFonts w:hint="eastAsia"/>
          <w:szCs w:val="28"/>
        </w:rPr>
        <w:t>五、知识产权</w:t>
      </w:r>
      <w:r>
        <w:tab/>
      </w:r>
      <w:r>
        <w:fldChar w:fldCharType="begin"/>
      </w:r>
      <w:r>
        <w:instrText xml:space="preserve"> PAGEREF _Toc30590 \h </w:instrText>
      </w:r>
      <w:r>
        <w:fldChar w:fldCharType="separate"/>
      </w:r>
      <w:r>
        <w:t>- 63 -</w:t>
      </w:r>
      <w:r>
        <w:fldChar w:fldCharType="end"/>
      </w:r>
      <w:r>
        <w:rPr>
          <w:rFonts w:hint="eastAsia" w:ascii="宋体" w:hAnsi="宋体" w:cs="宋体"/>
          <w:color w:val="auto"/>
          <w:szCs w:val="21"/>
        </w:rPr>
        <w:fldChar w:fldCharType="end"/>
      </w:r>
    </w:p>
    <w:p w14:paraId="613438F0">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_Toc7537 </w:instrText>
      </w:r>
      <w:r>
        <w:rPr>
          <w:rFonts w:hint="eastAsia" w:ascii="宋体" w:hAnsi="宋体" w:cs="宋体"/>
          <w:szCs w:val="21"/>
        </w:rPr>
        <w:fldChar w:fldCharType="separate"/>
      </w:r>
      <w:r>
        <w:t>*</w:t>
      </w:r>
      <w:r>
        <w:rPr>
          <w:rFonts w:hint="eastAsia"/>
          <w:szCs w:val="28"/>
        </w:rPr>
        <w:t>六、退出机制</w:t>
      </w:r>
      <w:r>
        <w:tab/>
      </w:r>
      <w:r>
        <w:fldChar w:fldCharType="begin"/>
      </w:r>
      <w:r>
        <w:instrText xml:space="preserve"> PAGEREF _Toc7537 \h </w:instrText>
      </w:r>
      <w:r>
        <w:fldChar w:fldCharType="separate"/>
      </w:r>
      <w:r>
        <w:t>- 63 -</w:t>
      </w:r>
      <w:r>
        <w:fldChar w:fldCharType="end"/>
      </w:r>
      <w:r>
        <w:rPr>
          <w:rFonts w:hint="eastAsia" w:ascii="宋体" w:hAnsi="宋体" w:cs="宋体"/>
          <w:color w:val="auto"/>
          <w:szCs w:val="21"/>
        </w:rPr>
        <w:fldChar w:fldCharType="end"/>
      </w:r>
    </w:p>
    <w:p w14:paraId="3C3FF7B6">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_Toc10547 </w:instrText>
      </w:r>
      <w:r>
        <w:rPr>
          <w:rFonts w:hint="eastAsia" w:ascii="宋体" w:hAnsi="宋体" w:cs="宋体"/>
          <w:szCs w:val="21"/>
        </w:rPr>
        <w:fldChar w:fldCharType="separate"/>
      </w:r>
      <w:r>
        <w:t>*</w:t>
      </w:r>
      <w:r>
        <w:rPr>
          <w:rFonts w:hint="eastAsia"/>
          <w:szCs w:val="28"/>
        </w:rPr>
        <w:t>七、违约责任</w:t>
      </w:r>
      <w:r>
        <w:tab/>
      </w:r>
      <w:r>
        <w:fldChar w:fldCharType="begin"/>
      </w:r>
      <w:r>
        <w:instrText xml:space="preserve"> PAGEREF _Toc10547 \h </w:instrText>
      </w:r>
      <w:r>
        <w:fldChar w:fldCharType="separate"/>
      </w:r>
      <w:r>
        <w:t>- 64 -</w:t>
      </w:r>
      <w:r>
        <w:fldChar w:fldCharType="end"/>
      </w:r>
      <w:r>
        <w:rPr>
          <w:rFonts w:hint="eastAsia" w:ascii="宋体" w:hAnsi="宋体" w:cs="宋体"/>
          <w:color w:val="auto"/>
          <w:szCs w:val="21"/>
        </w:rPr>
        <w:fldChar w:fldCharType="end"/>
      </w:r>
    </w:p>
    <w:p w14:paraId="3D731256">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_Toc15948 </w:instrText>
      </w:r>
      <w:r>
        <w:rPr>
          <w:rFonts w:hint="eastAsia" w:ascii="宋体" w:hAnsi="宋体" w:cs="宋体"/>
          <w:szCs w:val="21"/>
        </w:rPr>
        <w:fldChar w:fldCharType="separate"/>
      </w:r>
      <w:r>
        <w:rPr>
          <w:rFonts w:hint="eastAsia"/>
          <w:szCs w:val="28"/>
        </w:rPr>
        <w:t>八、保密</w:t>
      </w:r>
      <w:r>
        <w:tab/>
      </w:r>
      <w:r>
        <w:fldChar w:fldCharType="begin"/>
      </w:r>
      <w:r>
        <w:instrText xml:space="preserve"> PAGEREF _Toc15948 \h </w:instrText>
      </w:r>
      <w:r>
        <w:fldChar w:fldCharType="separate"/>
      </w:r>
      <w:r>
        <w:t>- 66 -</w:t>
      </w:r>
      <w:r>
        <w:fldChar w:fldCharType="end"/>
      </w:r>
      <w:r>
        <w:rPr>
          <w:rFonts w:hint="eastAsia" w:ascii="宋体" w:hAnsi="宋体" w:cs="宋体"/>
          <w:color w:val="auto"/>
          <w:szCs w:val="21"/>
        </w:rPr>
        <w:fldChar w:fldCharType="end"/>
      </w:r>
    </w:p>
    <w:p w14:paraId="72AB28C2">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_Toc593 </w:instrText>
      </w:r>
      <w:r>
        <w:rPr>
          <w:rFonts w:hint="eastAsia" w:ascii="宋体" w:hAnsi="宋体" w:cs="宋体"/>
          <w:szCs w:val="21"/>
        </w:rPr>
        <w:fldChar w:fldCharType="separate"/>
      </w:r>
      <w:r>
        <w:rPr>
          <w:rFonts w:hint="eastAsia"/>
          <w:szCs w:val="28"/>
        </w:rPr>
        <w:t>九、风险提示</w:t>
      </w:r>
      <w:r>
        <w:tab/>
      </w:r>
      <w:r>
        <w:fldChar w:fldCharType="begin"/>
      </w:r>
      <w:r>
        <w:instrText xml:space="preserve"> PAGEREF _Toc593 \h </w:instrText>
      </w:r>
      <w:r>
        <w:fldChar w:fldCharType="separate"/>
      </w:r>
      <w:r>
        <w:t>- 66 -</w:t>
      </w:r>
      <w:r>
        <w:fldChar w:fldCharType="end"/>
      </w:r>
      <w:r>
        <w:rPr>
          <w:rFonts w:hint="eastAsia" w:ascii="宋体" w:hAnsi="宋体" w:cs="宋体"/>
          <w:color w:val="auto"/>
          <w:szCs w:val="21"/>
        </w:rPr>
        <w:fldChar w:fldCharType="end"/>
      </w:r>
    </w:p>
    <w:p w14:paraId="1CC53296">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_Toc26374 </w:instrText>
      </w:r>
      <w:r>
        <w:rPr>
          <w:rFonts w:hint="eastAsia" w:ascii="宋体" w:hAnsi="宋体" w:cs="宋体"/>
          <w:szCs w:val="21"/>
        </w:rPr>
        <w:fldChar w:fldCharType="separate"/>
      </w:r>
      <w:r>
        <w:rPr>
          <w:szCs w:val="28"/>
        </w:rPr>
        <w:t>*</w:t>
      </w:r>
      <w:r>
        <w:rPr>
          <w:rFonts w:hint="eastAsia"/>
          <w:szCs w:val="28"/>
        </w:rPr>
        <w:t>十、其他</w:t>
      </w:r>
      <w:r>
        <w:tab/>
      </w:r>
      <w:r>
        <w:fldChar w:fldCharType="begin"/>
      </w:r>
      <w:r>
        <w:instrText xml:space="preserve"> PAGEREF _Toc26374 \h </w:instrText>
      </w:r>
      <w:r>
        <w:fldChar w:fldCharType="separate"/>
      </w:r>
      <w:r>
        <w:t>- 66 -</w:t>
      </w:r>
      <w:r>
        <w:fldChar w:fldCharType="end"/>
      </w:r>
      <w:r>
        <w:rPr>
          <w:rFonts w:hint="eastAsia" w:ascii="宋体" w:hAnsi="宋体" w:cs="宋体"/>
          <w:color w:val="auto"/>
          <w:szCs w:val="21"/>
        </w:rPr>
        <w:fldChar w:fldCharType="end"/>
      </w:r>
    </w:p>
    <w:p w14:paraId="7791BC6B">
      <w:pPr>
        <w:pStyle w:val="47"/>
        <w:tabs>
          <w:tab w:val="right" w:leader="dot" w:pos="9412"/>
        </w:tabs>
        <w:ind w:left="0" w:leftChars="0"/>
      </w:pPr>
      <w:r>
        <w:rPr>
          <w:rFonts w:hint="eastAsia" w:ascii="宋体" w:hAnsi="宋体" w:cs="宋体"/>
          <w:color w:val="auto"/>
          <w:szCs w:val="21"/>
        </w:rPr>
        <w:fldChar w:fldCharType="begin"/>
      </w:r>
      <w:r>
        <w:rPr>
          <w:rFonts w:hint="eastAsia" w:ascii="宋体" w:hAnsi="宋体" w:cs="宋体"/>
          <w:szCs w:val="21"/>
        </w:rPr>
        <w:instrText xml:space="preserve"> HYPERLINK \l _Toc13963 </w:instrText>
      </w:r>
      <w:r>
        <w:rPr>
          <w:rFonts w:hint="eastAsia" w:ascii="宋体" w:hAnsi="宋体" w:cs="宋体"/>
          <w:szCs w:val="21"/>
        </w:rPr>
        <w:fldChar w:fldCharType="separate"/>
      </w:r>
      <w:r>
        <w:rPr>
          <w:rFonts w:hint="eastAsia" w:ascii="宋体" w:hAnsi="宋体" w:eastAsia="宋体" w:cs="宋体"/>
          <w:szCs w:val="30"/>
        </w:rPr>
        <w:t>第四篇</w:t>
      </w:r>
      <w:r>
        <w:rPr>
          <w:rFonts w:ascii="宋体" w:hAnsi="宋体" w:eastAsia="宋体" w:cs="宋体"/>
          <w:szCs w:val="30"/>
        </w:rPr>
        <w:t xml:space="preserve">  </w:t>
      </w:r>
      <w:r>
        <w:rPr>
          <w:rFonts w:hint="eastAsia" w:ascii="宋体" w:hAnsi="宋体" w:eastAsia="宋体" w:cs="宋体"/>
          <w:szCs w:val="30"/>
        </w:rPr>
        <w:t>磋商程序及方法、评审标准、无效响应和采购终止</w:t>
      </w:r>
      <w:r>
        <w:tab/>
      </w:r>
      <w:r>
        <w:fldChar w:fldCharType="begin"/>
      </w:r>
      <w:r>
        <w:instrText xml:space="preserve"> PAGEREF _Toc13963 \h </w:instrText>
      </w:r>
      <w:r>
        <w:fldChar w:fldCharType="separate"/>
      </w:r>
      <w:r>
        <w:t>- 67 -</w:t>
      </w:r>
      <w:r>
        <w:fldChar w:fldCharType="end"/>
      </w:r>
      <w:r>
        <w:rPr>
          <w:rFonts w:hint="eastAsia" w:ascii="宋体" w:hAnsi="宋体" w:cs="宋体"/>
          <w:color w:val="auto"/>
          <w:szCs w:val="21"/>
        </w:rPr>
        <w:fldChar w:fldCharType="end"/>
      </w:r>
    </w:p>
    <w:p w14:paraId="1EE059A6">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_Toc24377 </w:instrText>
      </w:r>
      <w:r>
        <w:rPr>
          <w:rFonts w:hint="eastAsia" w:ascii="宋体" w:hAnsi="宋体" w:cs="宋体"/>
          <w:szCs w:val="21"/>
        </w:rPr>
        <w:fldChar w:fldCharType="separate"/>
      </w:r>
      <w:r>
        <w:rPr>
          <w:rFonts w:hint="eastAsia" w:ascii="宋体" w:hAnsi="宋体" w:cs="宋体"/>
          <w:szCs w:val="24"/>
        </w:rPr>
        <w:t>一、磋商程序及方法</w:t>
      </w:r>
      <w:r>
        <w:tab/>
      </w:r>
      <w:r>
        <w:fldChar w:fldCharType="begin"/>
      </w:r>
      <w:r>
        <w:instrText xml:space="preserve"> PAGEREF _Toc24377 \h </w:instrText>
      </w:r>
      <w:r>
        <w:fldChar w:fldCharType="separate"/>
      </w:r>
      <w:r>
        <w:t>- 67 -</w:t>
      </w:r>
      <w:r>
        <w:fldChar w:fldCharType="end"/>
      </w:r>
      <w:r>
        <w:rPr>
          <w:rFonts w:hint="eastAsia" w:ascii="宋体" w:hAnsi="宋体" w:cs="宋体"/>
          <w:color w:val="auto"/>
          <w:szCs w:val="21"/>
        </w:rPr>
        <w:fldChar w:fldCharType="end"/>
      </w:r>
    </w:p>
    <w:p w14:paraId="63B2AEDE">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_Toc12008 </w:instrText>
      </w:r>
      <w:r>
        <w:rPr>
          <w:rFonts w:hint="eastAsia" w:ascii="宋体" w:hAnsi="宋体" w:cs="宋体"/>
          <w:szCs w:val="21"/>
        </w:rPr>
        <w:fldChar w:fldCharType="separate"/>
      </w:r>
      <w:r>
        <w:rPr>
          <w:rFonts w:hint="eastAsia" w:ascii="宋体" w:hAnsi="宋体" w:cs="宋体"/>
          <w:szCs w:val="24"/>
        </w:rPr>
        <w:t>二、评审标准</w:t>
      </w:r>
      <w:r>
        <w:rPr>
          <w:rFonts w:hint="eastAsia" w:ascii="宋体" w:hAnsi="宋体" w:cs="宋体"/>
          <w:szCs w:val="24"/>
          <w:lang w:eastAsia="zh-CN"/>
        </w:rPr>
        <w:t>（</w:t>
      </w:r>
      <w:r>
        <w:rPr>
          <w:rFonts w:hint="eastAsia" w:ascii="宋体" w:hAnsi="宋体" w:cs="宋体"/>
          <w:szCs w:val="24"/>
          <w:lang w:val="en-US" w:eastAsia="zh-CN"/>
        </w:rPr>
        <w:t>适用于包1</w:t>
      </w:r>
      <w:r>
        <w:rPr>
          <w:rFonts w:hint="eastAsia" w:ascii="微软雅黑" w:hAnsi="微软雅黑" w:eastAsia="微软雅黑" w:cs="微软雅黑"/>
          <w:szCs w:val="24"/>
          <w:lang w:val="en-US" w:eastAsia="zh-CN"/>
        </w:rPr>
        <w:t>～</w:t>
      </w:r>
      <w:r>
        <w:rPr>
          <w:rFonts w:hint="eastAsia" w:ascii="宋体" w:hAnsi="宋体" w:cs="宋体"/>
          <w:szCs w:val="24"/>
          <w:lang w:val="en-US" w:eastAsia="zh-CN"/>
        </w:rPr>
        <w:t>包5</w:t>
      </w:r>
      <w:r>
        <w:rPr>
          <w:rFonts w:hint="eastAsia" w:ascii="宋体" w:hAnsi="宋体" w:cs="宋体"/>
          <w:szCs w:val="24"/>
          <w:lang w:eastAsia="zh-CN"/>
        </w:rPr>
        <w:t>）</w:t>
      </w:r>
      <w:r>
        <w:tab/>
      </w:r>
      <w:r>
        <w:fldChar w:fldCharType="begin"/>
      </w:r>
      <w:r>
        <w:instrText xml:space="preserve"> PAGEREF _Toc12008 \h </w:instrText>
      </w:r>
      <w:r>
        <w:fldChar w:fldCharType="separate"/>
      </w:r>
      <w:r>
        <w:t>- 69 -</w:t>
      </w:r>
      <w:r>
        <w:fldChar w:fldCharType="end"/>
      </w:r>
      <w:r>
        <w:rPr>
          <w:rFonts w:hint="eastAsia" w:ascii="宋体" w:hAnsi="宋体" w:cs="宋体"/>
          <w:color w:val="auto"/>
          <w:szCs w:val="21"/>
        </w:rPr>
        <w:fldChar w:fldCharType="end"/>
      </w:r>
    </w:p>
    <w:p w14:paraId="6AEB00D5">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_Toc29793 </w:instrText>
      </w:r>
      <w:r>
        <w:rPr>
          <w:rFonts w:hint="eastAsia" w:ascii="宋体" w:hAnsi="宋体" w:cs="宋体"/>
          <w:szCs w:val="21"/>
        </w:rPr>
        <w:fldChar w:fldCharType="separate"/>
      </w:r>
      <w:r>
        <w:rPr>
          <w:rFonts w:hint="eastAsia" w:ascii="宋体" w:hAnsi="宋体" w:cs="宋体"/>
          <w:szCs w:val="24"/>
        </w:rPr>
        <w:t>三、无效响应</w:t>
      </w:r>
      <w:r>
        <w:tab/>
      </w:r>
      <w:r>
        <w:fldChar w:fldCharType="begin"/>
      </w:r>
      <w:r>
        <w:instrText xml:space="preserve"> PAGEREF _Toc29793 \h </w:instrText>
      </w:r>
      <w:r>
        <w:fldChar w:fldCharType="separate"/>
      </w:r>
      <w:r>
        <w:t>- 71 -</w:t>
      </w:r>
      <w:r>
        <w:fldChar w:fldCharType="end"/>
      </w:r>
      <w:r>
        <w:rPr>
          <w:rFonts w:hint="eastAsia" w:ascii="宋体" w:hAnsi="宋体" w:cs="宋体"/>
          <w:color w:val="auto"/>
          <w:szCs w:val="21"/>
        </w:rPr>
        <w:fldChar w:fldCharType="end"/>
      </w:r>
    </w:p>
    <w:p w14:paraId="095EF61A">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_Toc4437 </w:instrText>
      </w:r>
      <w:r>
        <w:rPr>
          <w:rFonts w:hint="eastAsia" w:ascii="宋体" w:hAnsi="宋体" w:cs="宋体"/>
          <w:szCs w:val="21"/>
        </w:rPr>
        <w:fldChar w:fldCharType="separate"/>
      </w:r>
      <w:r>
        <w:rPr>
          <w:rFonts w:hint="eastAsia" w:ascii="宋体" w:hAnsi="宋体" w:cs="宋体"/>
          <w:szCs w:val="24"/>
        </w:rPr>
        <w:t>四、采购终止</w:t>
      </w:r>
      <w:r>
        <w:tab/>
      </w:r>
      <w:r>
        <w:fldChar w:fldCharType="begin"/>
      </w:r>
      <w:r>
        <w:instrText xml:space="preserve"> PAGEREF _Toc4437 \h </w:instrText>
      </w:r>
      <w:r>
        <w:fldChar w:fldCharType="separate"/>
      </w:r>
      <w:r>
        <w:t>- 72 -</w:t>
      </w:r>
      <w:r>
        <w:fldChar w:fldCharType="end"/>
      </w:r>
      <w:r>
        <w:rPr>
          <w:rFonts w:hint="eastAsia" w:ascii="宋体" w:hAnsi="宋体" w:cs="宋体"/>
          <w:color w:val="auto"/>
          <w:szCs w:val="21"/>
        </w:rPr>
        <w:fldChar w:fldCharType="end"/>
      </w:r>
    </w:p>
    <w:p w14:paraId="52824E84">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_Toc4496 </w:instrText>
      </w:r>
      <w:r>
        <w:rPr>
          <w:rFonts w:hint="eastAsia" w:ascii="宋体" w:hAnsi="宋体" w:cs="宋体"/>
          <w:szCs w:val="21"/>
        </w:rPr>
        <w:fldChar w:fldCharType="separate"/>
      </w:r>
      <w:r>
        <w:rPr>
          <w:rFonts w:hint="eastAsia" w:ascii="宋体" w:hAnsi="宋体" w:eastAsia="宋体" w:cs="宋体"/>
          <w:szCs w:val="30"/>
        </w:rPr>
        <w:t>第五篇  供应商须知</w:t>
      </w:r>
      <w:r>
        <w:tab/>
      </w:r>
      <w:r>
        <w:fldChar w:fldCharType="begin"/>
      </w:r>
      <w:r>
        <w:instrText xml:space="preserve"> PAGEREF _Toc4496 \h </w:instrText>
      </w:r>
      <w:r>
        <w:fldChar w:fldCharType="separate"/>
      </w:r>
      <w:r>
        <w:t>- 73 -</w:t>
      </w:r>
      <w:r>
        <w:fldChar w:fldCharType="end"/>
      </w:r>
      <w:r>
        <w:rPr>
          <w:rFonts w:hint="eastAsia" w:ascii="宋体" w:hAnsi="宋体" w:cs="宋体"/>
          <w:color w:val="auto"/>
          <w:szCs w:val="21"/>
        </w:rPr>
        <w:fldChar w:fldCharType="end"/>
      </w:r>
    </w:p>
    <w:p w14:paraId="0EF0BD90">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_Toc28174 </w:instrText>
      </w:r>
      <w:r>
        <w:rPr>
          <w:rFonts w:hint="eastAsia" w:ascii="宋体" w:hAnsi="宋体" w:cs="宋体"/>
          <w:szCs w:val="21"/>
        </w:rPr>
        <w:fldChar w:fldCharType="separate"/>
      </w:r>
      <w:r>
        <w:rPr>
          <w:rFonts w:hint="eastAsia" w:ascii="宋体" w:hAnsi="宋体" w:eastAsia="宋体" w:cs="宋体"/>
        </w:rPr>
        <w:t>一、磋商费用</w:t>
      </w:r>
      <w:r>
        <w:tab/>
      </w:r>
      <w:r>
        <w:fldChar w:fldCharType="begin"/>
      </w:r>
      <w:r>
        <w:instrText xml:space="preserve"> PAGEREF _Toc28174 \h </w:instrText>
      </w:r>
      <w:r>
        <w:fldChar w:fldCharType="separate"/>
      </w:r>
      <w:r>
        <w:t>- 73 -</w:t>
      </w:r>
      <w:r>
        <w:fldChar w:fldCharType="end"/>
      </w:r>
      <w:r>
        <w:rPr>
          <w:rFonts w:hint="eastAsia" w:ascii="宋体" w:hAnsi="宋体" w:cs="宋体"/>
          <w:color w:val="auto"/>
          <w:szCs w:val="21"/>
        </w:rPr>
        <w:fldChar w:fldCharType="end"/>
      </w:r>
    </w:p>
    <w:p w14:paraId="588C227A">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_Toc22968 </w:instrText>
      </w:r>
      <w:r>
        <w:rPr>
          <w:rFonts w:hint="eastAsia" w:ascii="宋体" w:hAnsi="宋体" w:cs="宋体"/>
          <w:szCs w:val="21"/>
        </w:rPr>
        <w:fldChar w:fldCharType="separate"/>
      </w:r>
      <w:r>
        <w:rPr>
          <w:rFonts w:hint="eastAsia" w:ascii="宋体" w:hAnsi="宋体" w:eastAsia="宋体" w:cs="宋体"/>
        </w:rPr>
        <w:t>二、竞争性磋商文件</w:t>
      </w:r>
      <w:r>
        <w:tab/>
      </w:r>
      <w:r>
        <w:fldChar w:fldCharType="begin"/>
      </w:r>
      <w:r>
        <w:instrText xml:space="preserve"> PAGEREF _Toc22968 \h </w:instrText>
      </w:r>
      <w:r>
        <w:fldChar w:fldCharType="separate"/>
      </w:r>
      <w:r>
        <w:t>- 73 -</w:t>
      </w:r>
      <w:r>
        <w:fldChar w:fldCharType="end"/>
      </w:r>
      <w:r>
        <w:rPr>
          <w:rFonts w:hint="eastAsia" w:ascii="宋体" w:hAnsi="宋体" w:cs="宋体"/>
          <w:color w:val="auto"/>
          <w:szCs w:val="21"/>
        </w:rPr>
        <w:fldChar w:fldCharType="end"/>
      </w:r>
    </w:p>
    <w:p w14:paraId="013840AE">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_Toc2363 </w:instrText>
      </w:r>
      <w:r>
        <w:rPr>
          <w:rFonts w:hint="eastAsia" w:ascii="宋体" w:hAnsi="宋体" w:cs="宋体"/>
          <w:szCs w:val="21"/>
        </w:rPr>
        <w:fldChar w:fldCharType="separate"/>
      </w:r>
      <w:r>
        <w:rPr>
          <w:rFonts w:hint="eastAsia" w:ascii="宋体" w:hAnsi="宋体" w:eastAsia="宋体" w:cs="宋体"/>
        </w:rPr>
        <w:t>三、磋商要求</w:t>
      </w:r>
      <w:r>
        <w:tab/>
      </w:r>
      <w:r>
        <w:fldChar w:fldCharType="begin"/>
      </w:r>
      <w:r>
        <w:instrText xml:space="preserve"> PAGEREF _Toc2363 \h </w:instrText>
      </w:r>
      <w:r>
        <w:fldChar w:fldCharType="separate"/>
      </w:r>
      <w:r>
        <w:t>- 73 -</w:t>
      </w:r>
      <w:r>
        <w:fldChar w:fldCharType="end"/>
      </w:r>
      <w:r>
        <w:rPr>
          <w:rFonts w:hint="eastAsia" w:ascii="宋体" w:hAnsi="宋体" w:cs="宋体"/>
          <w:color w:val="auto"/>
          <w:szCs w:val="21"/>
        </w:rPr>
        <w:fldChar w:fldCharType="end"/>
      </w:r>
    </w:p>
    <w:p w14:paraId="45A4B9EB">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_Toc348 </w:instrText>
      </w:r>
      <w:r>
        <w:rPr>
          <w:rFonts w:hint="eastAsia" w:ascii="宋体" w:hAnsi="宋体" w:cs="宋体"/>
          <w:szCs w:val="21"/>
        </w:rPr>
        <w:fldChar w:fldCharType="separate"/>
      </w:r>
      <w:r>
        <w:rPr>
          <w:rFonts w:hint="eastAsia" w:ascii="宋体" w:hAnsi="宋体" w:eastAsia="宋体" w:cs="宋体"/>
        </w:rPr>
        <w:t>四、成交商的确认和变更</w:t>
      </w:r>
      <w:r>
        <w:tab/>
      </w:r>
      <w:r>
        <w:fldChar w:fldCharType="begin"/>
      </w:r>
      <w:r>
        <w:instrText xml:space="preserve"> PAGEREF _Toc348 \h </w:instrText>
      </w:r>
      <w:r>
        <w:fldChar w:fldCharType="separate"/>
      </w:r>
      <w:r>
        <w:t>- 74 -</w:t>
      </w:r>
      <w:r>
        <w:fldChar w:fldCharType="end"/>
      </w:r>
      <w:r>
        <w:rPr>
          <w:rFonts w:hint="eastAsia" w:ascii="宋体" w:hAnsi="宋体" w:cs="宋体"/>
          <w:color w:val="auto"/>
          <w:szCs w:val="21"/>
        </w:rPr>
        <w:fldChar w:fldCharType="end"/>
      </w:r>
    </w:p>
    <w:p w14:paraId="7BA97FD2">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_Toc10856 </w:instrText>
      </w:r>
      <w:r>
        <w:rPr>
          <w:rFonts w:hint="eastAsia" w:ascii="宋体" w:hAnsi="宋体" w:cs="宋体"/>
          <w:szCs w:val="21"/>
        </w:rPr>
        <w:fldChar w:fldCharType="separate"/>
      </w:r>
      <w:r>
        <w:rPr>
          <w:rFonts w:hint="eastAsia" w:ascii="宋体" w:hAnsi="宋体" w:eastAsia="宋体" w:cs="宋体"/>
        </w:rPr>
        <w:t>五、成交通知</w:t>
      </w:r>
      <w:r>
        <w:tab/>
      </w:r>
      <w:r>
        <w:fldChar w:fldCharType="begin"/>
      </w:r>
      <w:r>
        <w:instrText xml:space="preserve"> PAGEREF _Toc10856 \h </w:instrText>
      </w:r>
      <w:r>
        <w:fldChar w:fldCharType="separate"/>
      </w:r>
      <w:r>
        <w:t>- 74 -</w:t>
      </w:r>
      <w:r>
        <w:fldChar w:fldCharType="end"/>
      </w:r>
      <w:r>
        <w:rPr>
          <w:rFonts w:hint="eastAsia" w:ascii="宋体" w:hAnsi="宋体" w:cs="宋体"/>
          <w:color w:val="auto"/>
          <w:szCs w:val="21"/>
        </w:rPr>
        <w:fldChar w:fldCharType="end"/>
      </w:r>
    </w:p>
    <w:p w14:paraId="201905B9">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_Toc19108 </w:instrText>
      </w:r>
      <w:r>
        <w:rPr>
          <w:rFonts w:hint="eastAsia" w:ascii="宋体" w:hAnsi="宋体" w:cs="宋体"/>
          <w:szCs w:val="21"/>
        </w:rPr>
        <w:fldChar w:fldCharType="separate"/>
      </w:r>
      <w:r>
        <w:rPr>
          <w:rFonts w:hint="eastAsia" w:ascii="宋体" w:hAnsi="宋体" w:eastAsia="宋体" w:cs="宋体"/>
        </w:rPr>
        <w:t>六、关于质疑和投诉</w:t>
      </w:r>
      <w:r>
        <w:tab/>
      </w:r>
      <w:r>
        <w:fldChar w:fldCharType="begin"/>
      </w:r>
      <w:r>
        <w:instrText xml:space="preserve"> PAGEREF _Toc19108 \h </w:instrText>
      </w:r>
      <w:r>
        <w:fldChar w:fldCharType="separate"/>
      </w:r>
      <w:r>
        <w:t>- 74 -</w:t>
      </w:r>
      <w:r>
        <w:fldChar w:fldCharType="end"/>
      </w:r>
      <w:r>
        <w:rPr>
          <w:rFonts w:hint="eastAsia" w:ascii="宋体" w:hAnsi="宋体" w:cs="宋体"/>
          <w:color w:val="auto"/>
          <w:szCs w:val="21"/>
        </w:rPr>
        <w:fldChar w:fldCharType="end"/>
      </w:r>
    </w:p>
    <w:p w14:paraId="51CE2C3A">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_Toc26819 </w:instrText>
      </w:r>
      <w:r>
        <w:rPr>
          <w:rFonts w:hint="eastAsia" w:ascii="宋体" w:hAnsi="宋体" w:cs="宋体"/>
          <w:szCs w:val="21"/>
        </w:rPr>
        <w:fldChar w:fldCharType="separate"/>
      </w:r>
      <w:r>
        <w:rPr>
          <w:rFonts w:hint="eastAsia" w:ascii="宋体" w:hAnsi="宋体" w:eastAsia="宋体" w:cs="宋体"/>
        </w:rPr>
        <w:t>七、采购代理服务费</w:t>
      </w:r>
      <w:r>
        <w:tab/>
      </w:r>
      <w:r>
        <w:fldChar w:fldCharType="begin"/>
      </w:r>
      <w:r>
        <w:instrText xml:space="preserve"> PAGEREF _Toc26819 \h </w:instrText>
      </w:r>
      <w:r>
        <w:fldChar w:fldCharType="separate"/>
      </w:r>
      <w:r>
        <w:t>- 76 -</w:t>
      </w:r>
      <w:r>
        <w:fldChar w:fldCharType="end"/>
      </w:r>
      <w:r>
        <w:rPr>
          <w:rFonts w:hint="eastAsia" w:ascii="宋体" w:hAnsi="宋体" w:cs="宋体"/>
          <w:color w:val="auto"/>
          <w:szCs w:val="21"/>
        </w:rPr>
        <w:fldChar w:fldCharType="end"/>
      </w:r>
    </w:p>
    <w:p w14:paraId="5CDA2F8B">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_Toc24354 </w:instrText>
      </w:r>
      <w:r>
        <w:rPr>
          <w:rFonts w:hint="eastAsia" w:ascii="宋体" w:hAnsi="宋体" w:cs="宋体"/>
          <w:szCs w:val="21"/>
        </w:rPr>
        <w:fldChar w:fldCharType="separate"/>
      </w:r>
      <w:r>
        <w:rPr>
          <w:rFonts w:hint="eastAsia" w:ascii="宋体" w:hAnsi="宋体" w:eastAsia="宋体" w:cs="宋体"/>
        </w:rPr>
        <w:t>八、签订合同</w:t>
      </w:r>
      <w:r>
        <w:tab/>
      </w:r>
      <w:r>
        <w:fldChar w:fldCharType="begin"/>
      </w:r>
      <w:r>
        <w:instrText xml:space="preserve"> PAGEREF _Toc24354 \h </w:instrText>
      </w:r>
      <w:r>
        <w:fldChar w:fldCharType="separate"/>
      </w:r>
      <w:r>
        <w:t>- 76 -</w:t>
      </w:r>
      <w:r>
        <w:fldChar w:fldCharType="end"/>
      </w:r>
      <w:r>
        <w:rPr>
          <w:rFonts w:hint="eastAsia" w:ascii="宋体" w:hAnsi="宋体" w:cs="宋体"/>
          <w:color w:val="auto"/>
          <w:szCs w:val="21"/>
        </w:rPr>
        <w:fldChar w:fldCharType="end"/>
      </w:r>
    </w:p>
    <w:p w14:paraId="1E8D7BA4">
      <w:pPr>
        <w:pStyle w:val="47"/>
        <w:tabs>
          <w:tab w:val="right" w:leader="dot" w:pos="9412"/>
        </w:tabs>
        <w:ind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_Toc25155 </w:instrText>
      </w:r>
      <w:r>
        <w:rPr>
          <w:rFonts w:hint="eastAsia" w:ascii="宋体" w:hAnsi="宋体" w:cs="宋体"/>
          <w:szCs w:val="21"/>
        </w:rPr>
        <w:fldChar w:fldCharType="separate"/>
      </w:r>
      <w:r>
        <w:rPr>
          <w:rFonts w:hint="eastAsia" w:ascii="宋体" w:hAnsi="宋体" w:eastAsia="宋体" w:cs="宋体"/>
        </w:rPr>
        <w:t>九、项目验收</w:t>
      </w:r>
      <w:r>
        <w:tab/>
      </w:r>
      <w:r>
        <w:fldChar w:fldCharType="begin"/>
      </w:r>
      <w:r>
        <w:instrText xml:space="preserve"> PAGEREF _Toc25155 \h </w:instrText>
      </w:r>
      <w:r>
        <w:fldChar w:fldCharType="separate"/>
      </w:r>
      <w:r>
        <w:t>- 77 -</w:t>
      </w:r>
      <w:r>
        <w:fldChar w:fldCharType="end"/>
      </w:r>
      <w:r>
        <w:rPr>
          <w:rFonts w:hint="eastAsia" w:ascii="宋体" w:hAnsi="宋体" w:cs="宋体"/>
          <w:color w:val="auto"/>
          <w:szCs w:val="21"/>
        </w:rPr>
        <w:fldChar w:fldCharType="end"/>
      </w:r>
    </w:p>
    <w:p w14:paraId="748B3615">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_Toc23764 </w:instrText>
      </w:r>
      <w:r>
        <w:rPr>
          <w:rFonts w:hint="eastAsia" w:ascii="宋体" w:hAnsi="宋体" w:cs="宋体"/>
          <w:szCs w:val="21"/>
        </w:rPr>
        <w:fldChar w:fldCharType="separate"/>
      </w:r>
      <w:r>
        <w:rPr>
          <w:rFonts w:hint="eastAsia" w:ascii="宋体" w:hAnsi="宋体" w:eastAsia="宋体" w:cs="宋体"/>
          <w:szCs w:val="30"/>
          <w:lang w:val="en-US" w:eastAsia="zh-CN"/>
        </w:rPr>
        <w:t xml:space="preserve">第六篇  </w:t>
      </w:r>
      <w:r>
        <w:rPr>
          <w:rFonts w:hint="eastAsia" w:ascii="宋体" w:hAnsi="宋体" w:eastAsia="宋体" w:cs="宋体"/>
          <w:szCs w:val="30"/>
        </w:rPr>
        <w:t>采购合同</w:t>
      </w:r>
      <w:r>
        <w:tab/>
      </w:r>
      <w:r>
        <w:fldChar w:fldCharType="begin"/>
      </w:r>
      <w:r>
        <w:instrText xml:space="preserve"> PAGEREF _Toc23764 \h </w:instrText>
      </w:r>
      <w:r>
        <w:fldChar w:fldCharType="separate"/>
      </w:r>
      <w:r>
        <w:t>- 78 -</w:t>
      </w:r>
      <w:r>
        <w:fldChar w:fldCharType="end"/>
      </w:r>
      <w:r>
        <w:rPr>
          <w:rFonts w:hint="eastAsia" w:ascii="宋体" w:hAnsi="宋体" w:cs="宋体"/>
          <w:color w:val="auto"/>
          <w:szCs w:val="21"/>
        </w:rPr>
        <w:fldChar w:fldCharType="end"/>
      </w:r>
    </w:p>
    <w:p w14:paraId="3C6653C1">
      <w:pPr>
        <w:pStyle w:val="47"/>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_Toc22569 </w:instrText>
      </w:r>
      <w:r>
        <w:rPr>
          <w:rFonts w:hint="eastAsia" w:ascii="宋体" w:hAnsi="宋体" w:cs="宋体"/>
          <w:szCs w:val="21"/>
        </w:rPr>
        <w:fldChar w:fldCharType="separate"/>
      </w:r>
      <w:r>
        <w:rPr>
          <w:rFonts w:hint="eastAsia" w:ascii="宋体" w:hAnsi="宋体" w:eastAsia="宋体" w:cs="宋体"/>
          <w:szCs w:val="30"/>
        </w:rPr>
        <w:t>第七篇  响应文件编制要求</w:t>
      </w:r>
      <w:r>
        <w:tab/>
      </w:r>
      <w:r>
        <w:fldChar w:fldCharType="begin"/>
      </w:r>
      <w:r>
        <w:instrText xml:space="preserve"> PAGEREF _Toc22569 \h </w:instrText>
      </w:r>
      <w:r>
        <w:fldChar w:fldCharType="separate"/>
      </w:r>
      <w:r>
        <w:t>143</w:t>
      </w:r>
      <w:r>
        <w:fldChar w:fldCharType="end"/>
      </w:r>
      <w:r>
        <w:rPr>
          <w:rFonts w:hint="eastAsia" w:ascii="宋体" w:hAnsi="宋体" w:cs="宋体"/>
          <w:color w:val="auto"/>
          <w:szCs w:val="21"/>
        </w:rPr>
        <w:fldChar w:fldCharType="end"/>
      </w:r>
    </w:p>
    <w:p w14:paraId="0231760C">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_Toc3729 </w:instrText>
      </w:r>
      <w:r>
        <w:rPr>
          <w:rFonts w:hint="eastAsia" w:ascii="宋体" w:hAnsi="宋体" w:cs="宋体"/>
          <w:szCs w:val="21"/>
        </w:rPr>
        <w:fldChar w:fldCharType="separate"/>
      </w:r>
      <w:r>
        <w:rPr>
          <w:rFonts w:hint="eastAsia" w:ascii="宋体" w:hAnsi="宋体" w:cs="宋体"/>
          <w:bCs w:val="0"/>
          <w:szCs w:val="24"/>
        </w:rPr>
        <w:t>二、资格文件</w:t>
      </w:r>
      <w:r>
        <w:tab/>
      </w:r>
      <w:r>
        <w:fldChar w:fldCharType="begin"/>
      </w:r>
      <w:r>
        <w:instrText xml:space="preserve"> PAGEREF _Toc3729 \h </w:instrText>
      </w:r>
      <w:r>
        <w:fldChar w:fldCharType="separate"/>
      </w:r>
      <w:r>
        <w:t>143</w:t>
      </w:r>
      <w:r>
        <w:fldChar w:fldCharType="end"/>
      </w:r>
      <w:r>
        <w:rPr>
          <w:rFonts w:hint="eastAsia" w:ascii="宋体" w:hAnsi="宋体" w:cs="宋体"/>
          <w:color w:val="auto"/>
          <w:szCs w:val="21"/>
        </w:rPr>
        <w:fldChar w:fldCharType="end"/>
      </w:r>
    </w:p>
    <w:p w14:paraId="6CD63EDA">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_Toc25347 </w:instrText>
      </w:r>
      <w:r>
        <w:rPr>
          <w:rFonts w:hint="eastAsia" w:ascii="宋体" w:hAnsi="宋体" w:cs="宋体"/>
          <w:szCs w:val="21"/>
        </w:rPr>
        <w:fldChar w:fldCharType="separate"/>
      </w:r>
      <w:r>
        <w:rPr>
          <w:rFonts w:hint="eastAsia" w:ascii="宋体" w:hAnsi="宋体" w:cs="宋体"/>
          <w:bCs w:val="0"/>
          <w:szCs w:val="24"/>
        </w:rPr>
        <w:t>三、商务文件</w:t>
      </w:r>
      <w:r>
        <w:tab/>
      </w:r>
      <w:r>
        <w:fldChar w:fldCharType="begin"/>
      </w:r>
      <w:r>
        <w:instrText xml:space="preserve"> PAGEREF _Toc25347 \h </w:instrText>
      </w:r>
      <w:r>
        <w:fldChar w:fldCharType="separate"/>
      </w:r>
      <w:r>
        <w:t>143</w:t>
      </w:r>
      <w:r>
        <w:fldChar w:fldCharType="end"/>
      </w:r>
      <w:r>
        <w:rPr>
          <w:rFonts w:hint="eastAsia" w:ascii="宋体" w:hAnsi="宋体" w:cs="宋体"/>
          <w:color w:val="auto"/>
          <w:szCs w:val="21"/>
        </w:rPr>
        <w:fldChar w:fldCharType="end"/>
      </w:r>
    </w:p>
    <w:p w14:paraId="15A63AE1">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_Toc21921 </w:instrText>
      </w:r>
      <w:r>
        <w:rPr>
          <w:rFonts w:hint="eastAsia" w:ascii="宋体" w:hAnsi="宋体" w:cs="宋体"/>
          <w:szCs w:val="21"/>
        </w:rPr>
        <w:fldChar w:fldCharType="separate"/>
      </w:r>
      <w:r>
        <w:rPr>
          <w:rFonts w:hint="eastAsia" w:ascii="宋体" w:hAnsi="宋体" w:cs="宋体"/>
          <w:bCs w:val="0"/>
          <w:szCs w:val="24"/>
        </w:rPr>
        <w:t>四、技术文件</w:t>
      </w:r>
      <w:r>
        <w:tab/>
      </w:r>
      <w:r>
        <w:fldChar w:fldCharType="begin"/>
      </w:r>
      <w:r>
        <w:instrText xml:space="preserve"> PAGEREF _Toc21921 \h </w:instrText>
      </w:r>
      <w:r>
        <w:fldChar w:fldCharType="separate"/>
      </w:r>
      <w:r>
        <w:t>143</w:t>
      </w:r>
      <w:r>
        <w:fldChar w:fldCharType="end"/>
      </w:r>
      <w:r>
        <w:rPr>
          <w:rFonts w:hint="eastAsia" w:ascii="宋体" w:hAnsi="宋体" w:cs="宋体"/>
          <w:color w:val="auto"/>
          <w:szCs w:val="21"/>
        </w:rPr>
        <w:fldChar w:fldCharType="end"/>
      </w:r>
    </w:p>
    <w:p w14:paraId="2A732E25">
      <w:pPr>
        <w:pStyle w:val="29"/>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_Toc26905 </w:instrText>
      </w:r>
      <w:r>
        <w:rPr>
          <w:rFonts w:hint="eastAsia" w:ascii="宋体" w:hAnsi="宋体" w:cs="宋体"/>
          <w:szCs w:val="21"/>
        </w:rPr>
        <w:fldChar w:fldCharType="separate"/>
      </w:r>
      <w:r>
        <w:rPr>
          <w:rFonts w:hint="eastAsia" w:ascii="宋体" w:hAnsi="宋体" w:cs="宋体"/>
          <w:bCs w:val="0"/>
          <w:szCs w:val="24"/>
        </w:rPr>
        <w:t>五、其他</w:t>
      </w:r>
      <w:r>
        <w:tab/>
      </w:r>
      <w:r>
        <w:fldChar w:fldCharType="begin"/>
      </w:r>
      <w:r>
        <w:instrText xml:space="preserve"> PAGEREF _Toc26905 \h </w:instrText>
      </w:r>
      <w:r>
        <w:fldChar w:fldCharType="separate"/>
      </w:r>
      <w:r>
        <w:t>143</w:t>
      </w:r>
      <w:r>
        <w:fldChar w:fldCharType="end"/>
      </w:r>
      <w:r>
        <w:rPr>
          <w:rFonts w:hint="eastAsia" w:ascii="宋体" w:hAnsi="宋体" w:cs="宋体"/>
          <w:color w:val="auto"/>
          <w:szCs w:val="21"/>
        </w:rPr>
        <w:fldChar w:fldCharType="end"/>
      </w:r>
    </w:p>
    <w:p w14:paraId="4289CFA0">
      <w:pPr>
        <w:pStyle w:val="47"/>
        <w:tabs>
          <w:tab w:val="right" w:leader="dot" w:pos="9402"/>
        </w:tabs>
        <w:spacing w:line="480" w:lineRule="exact"/>
        <w:ind w:left="560"/>
        <w:jc w:val="center"/>
        <w:rPr>
          <w:rFonts w:ascii="宋体" w:hAnsi="宋体" w:cs="宋体"/>
          <w:color w:val="auto"/>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r>
        <w:rPr>
          <w:rFonts w:hint="eastAsia" w:ascii="宋体" w:hAnsi="宋体" w:cs="宋体"/>
          <w:color w:val="auto"/>
          <w:szCs w:val="21"/>
        </w:rPr>
        <w:fldChar w:fldCharType="end"/>
      </w:r>
    </w:p>
    <w:p w14:paraId="417472A2">
      <w:pPr>
        <w:pStyle w:val="2"/>
        <w:jc w:val="center"/>
        <w:rPr>
          <w:rFonts w:hAnsi="宋体" w:cs="宋体"/>
          <w:color w:val="auto"/>
          <w:szCs w:val="30"/>
        </w:rPr>
      </w:pPr>
      <w:bookmarkStart w:id="0" w:name="_Toc11641050"/>
      <w:bookmarkStart w:id="1" w:name="_Toc12789052"/>
      <w:bookmarkStart w:id="2" w:name="_Toc5666"/>
      <w:bookmarkStart w:id="3" w:name="_Toc13736"/>
      <w:bookmarkStart w:id="4" w:name="_Toc9323"/>
      <w:r>
        <w:rPr>
          <w:rFonts w:hint="eastAsia"/>
          <w:color w:val="auto"/>
          <w:sz w:val="32"/>
          <w:szCs w:val="32"/>
        </w:rPr>
        <w:t>第一篇</w:t>
      </w:r>
      <w:r>
        <w:rPr>
          <w:color w:val="auto"/>
          <w:sz w:val="32"/>
          <w:szCs w:val="32"/>
        </w:rPr>
        <w:t xml:space="preserve">  </w:t>
      </w:r>
      <w:r>
        <w:rPr>
          <w:rFonts w:hint="eastAsia"/>
          <w:color w:val="auto"/>
          <w:sz w:val="32"/>
          <w:szCs w:val="32"/>
        </w:rPr>
        <w:t>采购邀请书</w:t>
      </w:r>
      <w:bookmarkEnd w:id="0"/>
      <w:bookmarkEnd w:id="1"/>
      <w:bookmarkEnd w:id="2"/>
      <w:bookmarkEnd w:id="3"/>
      <w:bookmarkEnd w:id="4"/>
    </w:p>
    <w:p w14:paraId="491806B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中捷通信有限</w:t>
      </w:r>
      <w:r>
        <w:rPr>
          <w:rFonts w:ascii="宋体" w:hAnsi="宋体" w:cs="宋体"/>
          <w:color w:val="auto"/>
          <w:sz w:val="24"/>
          <w:szCs w:val="24"/>
        </w:rPr>
        <w:t>公司受重庆文理学院的委托，对</w:t>
      </w:r>
      <w:r>
        <w:rPr>
          <w:rFonts w:hint="eastAsia" w:ascii="宋体" w:hAnsi="宋体" w:cs="宋体"/>
          <w:color w:val="auto"/>
          <w:sz w:val="24"/>
          <w:szCs w:val="24"/>
        </w:rPr>
        <w:t>重庆文理学院食堂委托经营项目进行竞争性磋商采购。欢迎有资格的供应商前来参与磋商。</w:t>
      </w:r>
    </w:p>
    <w:p w14:paraId="4F5339F4">
      <w:pPr>
        <w:pStyle w:val="3"/>
        <w:spacing w:line="400" w:lineRule="exact"/>
        <w:rPr>
          <w:b w:val="0"/>
          <w:color w:val="auto"/>
          <w:sz w:val="28"/>
          <w:szCs w:val="28"/>
        </w:rPr>
      </w:pPr>
      <w:bookmarkStart w:id="5" w:name="_Toc4695"/>
      <w:bookmarkStart w:id="6" w:name="_Toc317775175"/>
      <w:bookmarkStart w:id="7" w:name="_Toc1382"/>
      <w:bookmarkStart w:id="8" w:name="_Toc313893526"/>
      <w:bookmarkStart w:id="9" w:name="_Toc23596"/>
      <w:r>
        <w:rPr>
          <w:rFonts w:hint="eastAsia"/>
          <w:b w:val="0"/>
          <w:color w:val="auto"/>
          <w:sz w:val="28"/>
          <w:szCs w:val="28"/>
        </w:rPr>
        <w:t>一、竞争性磋商内容</w:t>
      </w:r>
      <w:bookmarkEnd w:id="5"/>
      <w:bookmarkEnd w:id="6"/>
      <w:bookmarkEnd w:id="7"/>
      <w:bookmarkEnd w:id="8"/>
      <w:bookmarkEnd w:id="9"/>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12"/>
        <w:gridCol w:w="1269"/>
        <w:gridCol w:w="1277"/>
        <w:gridCol w:w="931"/>
        <w:gridCol w:w="2483"/>
      </w:tblGrid>
      <w:tr w14:paraId="2458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8" w:type="dxa"/>
            <w:vAlign w:val="center"/>
          </w:tcPr>
          <w:p w14:paraId="6F977118">
            <w:pPr>
              <w:spacing w:line="320" w:lineRule="exact"/>
              <w:jc w:val="center"/>
              <w:rPr>
                <w:rFonts w:ascii="宋体" w:hAnsi="宋体" w:cs="宋体"/>
                <w:color w:val="auto"/>
                <w:sz w:val="21"/>
                <w:szCs w:val="21"/>
              </w:rPr>
            </w:pPr>
            <w:r>
              <w:rPr>
                <w:rFonts w:hint="eastAsia" w:ascii="宋体" w:hAnsi="宋体" w:cs="宋体"/>
                <w:color w:val="auto"/>
                <w:sz w:val="21"/>
                <w:szCs w:val="21"/>
              </w:rPr>
              <w:t>包号</w:t>
            </w:r>
          </w:p>
        </w:tc>
        <w:tc>
          <w:tcPr>
            <w:tcW w:w="2612" w:type="dxa"/>
            <w:vAlign w:val="center"/>
          </w:tcPr>
          <w:p w14:paraId="3C0BAE4B">
            <w:pPr>
              <w:spacing w:line="320" w:lineRule="exact"/>
              <w:jc w:val="center"/>
              <w:rPr>
                <w:rFonts w:ascii="宋体" w:hAnsi="宋体" w:cs="宋体"/>
                <w:color w:val="auto"/>
                <w:sz w:val="21"/>
                <w:szCs w:val="21"/>
              </w:rPr>
            </w:pPr>
            <w:r>
              <w:rPr>
                <w:rFonts w:hint="eastAsia" w:ascii="宋体" w:hAnsi="宋体" w:cs="宋体"/>
                <w:color w:val="auto"/>
                <w:sz w:val="21"/>
                <w:szCs w:val="21"/>
              </w:rPr>
              <w:t>项目名称</w:t>
            </w:r>
          </w:p>
        </w:tc>
        <w:tc>
          <w:tcPr>
            <w:tcW w:w="1269" w:type="dxa"/>
            <w:shd w:val="clear" w:color="auto" w:fill="auto"/>
            <w:vAlign w:val="center"/>
          </w:tcPr>
          <w:p w14:paraId="090923F3">
            <w:pPr>
              <w:jc w:val="center"/>
              <w:rPr>
                <w:rFonts w:ascii="宋体" w:hAnsi="宋体" w:cs="宋体"/>
                <w:color w:val="auto"/>
                <w:sz w:val="21"/>
                <w:szCs w:val="21"/>
              </w:rPr>
            </w:pPr>
            <w:r>
              <w:rPr>
                <w:rFonts w:hint="eastAsia" w:ascii="宋体" w:hAnsi="宋体" w:cs="宋体"/>
                <w:color w:val="auto"/>
                <w:sz w:val="21"/>
                <w:szCs w:val="21"/>
              </w:rPr>
              <w:t>磋商保证金</w:t>
            </w:r>
          </w:p>
          <w:p w14:paraId="073CF5B3">
            <w:pPr>
              <w:jc w:val="center"/>
              <w:rPr>
                <w:rFonts w:ascii="宋体" w:hAnsi="宋体" w:cs="宋体"/>
                <w:color w:val="auto"/>
                <w:sz w:val="21"/>
                <w:szCs w:val="21"/>
              </w:rPr>
            </w:pPr>
            <w:r>
              <w:rPr>
                <w:rFonts w:hint="eastAsia" w:ascii="宋体" w:hAnsi="宋体" w:cs="宋体"/>
                <w:color w:val="auto"/>
                <w:sz w:val="21"/>
                <w:szCs w:val="21"/>
              </w:rPr>
              <w:t>（万元）</w:t>
            </w:r>
          </w:p>
        </w:tc>
        <w:tc>
          <w:tcPr>
            <w:tcW w:w="1277" w:type="dxa"/>
            <w:shd w:val="clear" w:color="auto" w:fill="auto"/>
            <w:vAlign w:val="center"/>
          </w:tcPr>
          <w:p w14:paraId="691286E9">
            <w:pPr>
              <w:jc w:val="center"/>
              <w:rPr>
                <w:rFonts w:ascii="宋体" w:hAnsi="宋体" w:cs="宋体"/>
                <w:color w:val="auto"/>
                <w:sz w:val="21"/>
                <w:szCs w:val="21"/>
              </w:rPr>
            </w:pPr>
            <w:r>
              <w:rPr>
                <w:rFonts w:hint="eastAsia" w:ascii="宋体" w:hAnsi="宋体" w:cs="宋体"/>
                <w:color w:val="auto"/>
                <w:sz w:val="21"/>
                <w:szCs w:val="21"/>
              </w:rPr>
              <w:t>履约保证金</w:t>
            </w:r>
          </w:p>
          <w:p w14:paraId="399D35B6">
            <w:pPr>
              <w:ind w:left="-48" w:leftChars="-17" w:right="-81" w:rightChars="-29"/>
              <w:jc w:val="center"/>
              <w:rPr>
                <w:rFonts w:ascii="宋体" w:hAnsi="宋体" w:cs="宋体"/>
                <w:color w:val="auto"/>
                <w:sz w:val="21"/>
                <w:szCs w:val="21"/>
              </w:rPr>
            </w:pPr>
            <w:r>
              <w:rPr>
                <w:rFonts w:hint="eastAsia" w:ascii="宋体" w:hAnsi="宋体" w:cs="宋体"/>
                <w:color w:val="auto"/>
                <w:sz w:val="21"/>
                <w:szCs w:val="21"/>
              </w:rPr>
              <w:t>（万元）</w:t>
            </w:r>
          </w:p>
        </w:tc>
        <w:tc>
          <w:tcPr>
            <w:tcW w:w="931" w:type="dxa"/>
            <w:shd w:val="clear" w:color="auto" w:fill="auto"/>
            <w:vAlign w:val="center"/>
          </w:tcPr>
          <w:p w14:paraId="4877CF67">
            <w:pPr>
              <w:jc w:val="center"/>
              <w:rPr>
                <w:rFonts w:ascii="宋体" w:hAnsi="宋体" w:cs="宋体"/>
                <w:color w:val="auto"/>
                <w:sz w:val="21"/>
                <w:szCs w:val="21"/>
              </w:rPr>
            </w:pPr>
            <w:r>
              <w:rPr>
                <w:rFonts w:hint="eastAsia" w:ascii="宋体" w:hAnsi="宋体" w:cs="宋体"/>
                <w:color w:val="auto"/>
                <w:sz w:val="21"/>
                <w:szCs w:val="21"/>
              </w:rPr>
              <w:t>成交服务商</w:t>
            </w:r>
          </w:p>
        </w:tc>
        <w:tc>
          <w:tcPr>
            <w:tcW w:w="2483" w:type="dxa"/>
            <w:vAlign w:val="center"/>
          </w:tcPr>
          <w:p w14:paraId="2AEA3834">
            <w:pPr>
              <w:spacing w:line="320" w:lineRule="exact"/>
              <w:jc w:val="center"/>
              <w:rPr>
                <w:rFonts w:ascii="宋体" w:hAnsi="宋体" w:cs="宋体"/>
                <w:color w:val="auto"/>
                <w:sz w:val="21"/>
                <w:szCs w:val="21"/>
              </w:rPr>
            </w:pPr>
            <w:r>
              <w:rPr>
                <w:rFonts w:hint="eastAsia" w:ascii="宋体" w:hAnsi="宋体" w:cs="宋体"/>
                <w:color w:val="auto"/>
                <w:sz w:val="21"/>
                <w:szCs w:val="21"/>
              </w:rPr>
              <w:t>建筑面积（㎡）</w:t>
            </w:r>
          </w:p>
        </w:tc>
      </w:tr>
      <w:tr w14:paraId="5107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8" w:type="dxa"/>
            <w:vAlign w:val="center"/>
          </w:tcPr>
          <w:p w14:paraId="3BCB89CA">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1</w:t>
            </w:r>
          </w:p>
        </w:tc>
        <w:tc>
          <w:tcPr>
            <w:tcW w:w="2612" w:type="dxa"/>
            <w:shd w:val="clear" w:color="auto" w:fill="auto"/>
            <w:vAlign w:val="center"/>
          </w:tcPr>
          <w:p w14:paraId="6AF4DE35">
            <w:pPr>
              <w:jc w:val="center"/>
              <w:rPr>
                <w:rFonts w:ascii="宋体" w:hAnsi="宋体"/>
                <w:color w:val="auto"/>
                <w:sz w:val="21"/>
                <w:szCs w:val="21"/>
              </w:rPr>
            </w:pPr>
            <w:r>
              <w:rPr>
                <w:rFonts w:hint="eastAsia" w:ascii="宋体" w:hAnsi="宋体"/>
                <w:color w:val="auto"/>
                <w:sz w:val="21"/>
                <w:szCs w:val="21"/>
              </w:rPr>
              <w:t>红河</w:t>
            </w:r>
            <w:r>
              <w:rPr>
                <w:rFonts w:ascii="宋体" w:hAnsi="宋体"/>
                <w:color w:val="auto"/>
                <w:sz w:val="21"/>
                <w:szCs w:val="21"/>
              </w:rPr>
              <w:t>B区知</w:t>
            </w:r>
            <w:r>
              <w:rPr>
                <w:rFonts w:hint="eastAsia" w:ascii="宋体" w:hAnsi="宋体"/>
                <w:color w:val="auto"/>
                <w:sz w:val="21"/>
                <w:szCs w:val="21"/>
              </w:rPr>
              <w:t>味楼一楼委托经营</w:t>
            </w:r>
          </w:p>
        </w:tc>
        <w:tc>
          <w:tcPr>
            <w:tcW w:w="1269" w:type="dxa"/>
            <w:vAlign w:val="center"/>
          </w:tcPr>
          <w:p w14:paraId="0391936B">
            <w:pPr>
              <w:spacing w:line="320" w:lineRule="exact"/>
              <w:jc w:val="center"/>
              <w:rPr>
                <w:rFonts w:ascii="宋体" w:hAnsi="宋体" w:cs="宋体"/>
                <w:color w:val="auto"/>
                <w:sz w:val="21"/>
                <w:szCs w:val="21"/>
              </w:rPr>
            </w:pPr>
            <w:r>
              <w:rPr>
                <w:rFonts w:ascii="宋体" w:hAnsi="宋体" w:cs="宋体"/>
                <w:color w:val="auto"/>
                <w:sz w:val="21"/>
                <w:szCs w:val="21"/>
              </w:rPr>
              <w:t>20</w:t>
            </w:r>
          </w:p>
        </w:tc>
        <w:tc>
          <w:tcPr>
            <w:tcW w:w="1277" w:type="dxa"/>
            <w:vAlign w:val="center"/>
          </w:tcPr>
          <w:p w14:paraId="34053C3A">
            <w:pPr>
              <w:spacing w:line="320" w:lineRule="exact"/>
              <w:jc w:val="center"/>
              <w:rPr>
                <w:rFonts w:ascii="宋体" w:hAnsi="宋体" w:cs="宋体"/>
                <w:color w:val="auto"/>
                <w:sz w:val="21"/>
                <w:szCs w:val="21"/>
              </w:rPr>
            </w:pPr>
            <w:r>
              <w:rPr>
                <w:rFonts w:ascii="宋体" w:hAnsi="宋体" w:cs="宋体"/>
                <w:color w:val="auto"/>
                <w:sz w:val="21"/>
                <w:szCs w:val="21"/>
              </w:rPr>
              <w:t>100</w:t>
            </w:r>
          </w:p>
        </w:tc>
        <w:tc>
          <w:tcPr>
            <w:tcW w:w="931" w:type="dxa"/>
            <w:vAlign w:val="center"/>
          </w:tcPr>
          <w:p w14:paraId="6538403A">
            <w:pPr>
              <w:spacing w:line="320" w:lineRule="exact"/>
              <w:jc w:val="center"/>
              <w:rPr>
                <w:rFonts w:ascii="宋体" w:hAnsi="宋体" w:cs="宋体"/>
                <w:color w:val="auto"/>
                <w:sz w:val="21"/>
                <w:szCs w:val="21"/>
              </w:rPr>
            </w:pPr>
            <w:r>
              <w:rPr>
                <w:rFonts w:ascii="宋体" w:hAnsi="宋体" w:cs="宋体"/>
                <w:color w:val="auto"/>
                <w:sz w:val="21"/>
                <w:szCs w:val="21"/>
              </w:rPr>
              <w:t>1名</w:t>
            </w:r>
          </w:p>
        </w:tc>
        <w:tc>
          <w:tcPr>
            <w:tcW w:w="2483" w:type="dxa"/>
            <w:vAlign w:val="center"/>
          </w:tcPr>
          <w:p w14:paraId="2CEA404E">
            <w:pPr>
              <w:spacing w:line="240" w:lineRule="exact"/>
              <w:jc w:val="center"/>
              <w:rPr>
                <w:rFonts w:ascii="宋体" w:hAnsi="宋体" w:cs="宋体"/>
                <w:color w:val="auto"/>
                <w:sz w:val="21"/>
                <w:szCs w:val="21"/>
              </w:rPr>
            </w:pPr>
            <w:r>
              <w:rPr>
                <w:rFonts w:ascii="宋体" w:hAnsi="宋体" w:cs="宋体"/>
                <w:color w:val="auto"/>
                <w:sz w:val="21"/>
                <w:szCs w:val="21"/>
              </w:rPr>
              <w:t>3266m</w:t>
            </w:r>
            <w:r>
              <w:rPr>
                <w:rFonts w:ascii="宋体" w:hAnsi="宋体" w:cs="宋体"/>
                <w:color w:val="auto"/>
                <w:sz w:val="21"/>
                <w:szCs w:val="21"/>
                <w:vertAlign w:val="superscript"/>
              </w:rPr>
              <w:t>2</w:t>
            </w:r>
            <w:r>
              <w:rPr>
                <w:rFonts w:hint="eastAsia" w:ascii="宋体" w:hAnsi="宋体"/>
                <w:color w:val="auto"/>
                <w:sz w:val="21"/>
                <w:szCs w:val="21"/>
              </w:rPr>
              <w:t>（以实际勘察为准）</w:t>
            </w:r>
          </w:p>
        </w:tc>
      </w:tr>
      <w:tr w14:paraId="63CB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8" w:type="dxa"/>
            <w:vAlign w:val="center"/>
          </w:tcPr>
          <w:p w14:paraId="4FB41A3C">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2</w:t>
            </w:r>
          </w:p>
        </w:tc>
        <w:tc>
          <w:tcPr>
            <w:tcW w:w="2612" w:type="dxa"/>
            <w:shd w:val="clear" w:color="auto" w:fill="auto"/>
            <w:vAlign w:val="center"/>
          </w:tcPr>
          <w:p w14:paraId="1CD61A74">
            <w:pPr>
              <w:jc w:val="center"/>
              <w:rPr>
                <w:rFonts w:ascii="宋体" w:hAnsi="宋体"/>
                <w:color w:val="auto"/>
                <w:sz w:val="21"/>
                <w:szCs w:val="21"/>
              </w:rPr>
            </w:pPr>
            <w:r>
              <w:rPr>
                <w:rFonts w:hint="eastAsia" w:ascii="宋体" w:hAnsi="宋体"/>
                <w:color w:val="auto"/>
                <w:sz w:val="21"/>
                <w:szCs w:val="21"/>
              </w:rPr>
              <w:t>红河</w:t>
            </w:r>
            <w:r>
              <w:rPr>
                <w:rFonts w:ascii="宋体" w:hAnsi="宋体"/>
                <w:color w:val="auto"/>
                <w:sz w:val="21"/>
                <w:szCs w:val="21"/>
              </w:rPr>
              <w:t>B区知味楼二楼特色食堂（含二楼教工餐厅）、三楼接待餐厅委托经营</w:t>
            </w:r>
          </w:p>
        </w:tc>
        <w:tc>
          <w:tcPr>
            <w:tcW w:w="1269" w:type="dxa"/>
            <w:shd w:val="clear" w:color="auto" w:fill="auto"/>
            <w:vAlign w:val="center"/>
          </w:tcPr>
          <w:p w14:paraId="5DED8733">
            <w:pPr>
              <w:spacing w:line="320" w:lineRule="exact"/>
              <w:jc w:val="center"/>
              <w:rPr>
                <w:rFonts w:ascii="宋体" w:hAnsi="宋体" w:cs="宋体"/>
                <w:color w:val="auto"/>
                <w:sz w:val="21"/>
                <w:szCs w:val="21"/>
              </w:rPr>
            </w:pPr>
            <w:r>
              <w:rPr>
                <w:rFonts w:ascii="宋体" w:hAnsi="宋体" w:cs="宋体"/>
                <w:color w:val="auto"/>
                <w:sz w:val="21"/>
                <w:szCs w:val="21"/>
              </w:rPr>
              <w:t>20</w:t>
            </w:r>
          </w:p>
        </w:tc>
        <w:tc>
          <w:tcPr>
            <w:tcW w:w="1277" w:type="dxa"/>
            <w:shd w:val="clear" w:color="auto" w:fill="auto"/>
            <w:vAlign w:val="center"/>
          </w:tcPr>
          <w:p w14:paraId="236A5596">
            <w:pPr>
              <w:spacing w:line="320" w:lineRule="exact"/>
              <w:jc w:val="center"/>
              <w:rPr>
                <w:rFonts w:ascii="宋体" w:hAnsi="宋体" w:cs="宋体"/>
                <w:color w:val="auto"/>
                <w:sz w:val="21"/>
                <w:szCs w:val="21"/>
              </w:rPr>
            </w:pPr>
            <w:r>
              <w:rPr>
                <w:rFonts w:ascii="宋体" w:hAnsi="宋体" w:cs="宋体"/>
                <w:color w:val="auto"/>
                <w:sz w:val="21"/>
                <w:szCs w:val="21"/>
              </w:rPr>
              <w:t>100</w:t>
            </w:r>
          </w:p>
        </w:tc>
        <w:tc>
          <w:tcPr>
            <w:tcW w:w="931" w:type="dxa"/>
            <w:shd w:val="clear" w:color="auto" w:fill="auto"/>
            <w:vAlign w:val="center"/>
          </w:tcPr>
          <w:p w14:paraId="7DB78020">
            <w:pPr>
              <w:spacing w:line="320" w:lineRule="exact"/>
              <w:jc w:val="center"/>
              <w:rPr>
                <w:rFonts w:ascii="宋体" w:hAnsi="宋体" w:cs="宋体"/>
                <w:color w:val="auto"/>
                <w:sz w:val="21"/>
                <w:szCs w:val="21"/>
              </w:rPr>
            </w:pPr>
            <w:r>
              <w:rPr>
                <w:rFonts w:ascii="宋体" w:hAnsi="宋体" w:cs="宋体"/>
                <w:color w:val="auto"/>
                <w:sz w:val="21"/>
                <w:szCs w:val="21"/>
              </w:rPr>
              <w:t>1名</w:t>
            </w:r>
          </w:p>
        </w:tc>
        <w:tc>
          <w:tcPr>
            <w:tcW w:w="2483" w:type="dxa"/>
            <w:shd w:val="clear" w:color="auto" w:fill="auto"/>
            <w:vAlign w:val="center"/>
          </w:tcPr>
          <w:p w14:paraId="7B0A616A">
            <w:pPr>
              <w:spacing w:line="240" w:lineRule="exact"/>
              <w:jc w:val="center"/>
              <w:rPr>
                <w:rFonts w:ascii="宋体" w:hAnsi="宋体" w:cs="宋体"/>
                <w:color w:val="auto"/>
                <w:sz w:val="21"/>
                <w:szCs w:val="21"/>
              </w:rPr>
            </w:pPr>
            <w:r>
              <w:rPr>
                <w:rFonts w:ascii="宋体" w:hAnsi="宋体" w:cs="宋体"/>
                <w:color w:val="auto"/>
                <w:sz w:val="21"/>
                <w:szCs w:val="21"/>
              </w:rPr>
              <w:t>4000m</w:t>
            </w:r>
            <w:r>
              <w:rPr>
                <w:rFonts w:ascii="宋体" w:hAnsi="宋体" w:cs="宋体"/>
                <w:color w:val="auto"/>
                <w:sz w:val="21"/>
                <w:szCs w:val="21"/>
                <w:vertAlign w:val="superscript"/>
              </w:rPr>
              <w:t>2</w:t>
            </w:r>
            <w:r>
              <w:rPr>
                <w:rFonts w:hint="eastAsia" w:ascii="宋体" w:hAnsi="宋体"/>
                <w:color w:val="auto"/>
                <w:sz w:val="21"/>
                <w:szCs w:val="21"/>
              </w:rPr>
              <w:t>（以实际勘察为准）</w:t>
            </w:r>
          </w:p>
        </w:tc>
      </w:tr>
      <w:tr w14:paraId="38BC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8" w:type="dxa"/>
            <w:vAlign w:val="center"/>
          </w:tcPr>
          <w:p w14:paraId="59F99BAC">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3</w:t>
            </w:r>
          </w:p>
        </w:tc>
        <w:tc>
          <w:tcPr>
            <w:tcW w:w="2612" w:type="dxa"/>
            <w:shd w:val="clear" w:color="auto" w:fill="auto"/>
            <w:vAlign w:val="center"/>
          </w:tcPr>
          <w:p w14:paraId="3D182C84">
            <w:pPr>
              <w:jc w:val="center"/>
              <w:rPr>
                <w:rFonts w:ascii="宋体" w:hAnsi="宋体"/>
                <w:color w:val="auto"/>
                <w:sz w:val="21"/>
                <w:szCs w:val="21"/>
              </w:rPr>
            </w:pPr>
            <w:r>
              <w:rPr>
                <w:rFonts w:hint="eastAsia" w:ascii="宋体" w:hAnsi="宋体"/>
                <w:color w:val="auto"/>
                <w:sz w:val="21"/>
                <w:szCs w:val="21"/>
              </w:rPr>
              <w:t>红河</w:t>
            </w:r>
            <w:r>
              <w:rPr>
                <w:rFonts w:ascii="宋体" w:hAnsi="宋体"/>
                <w:color w:val="auto"/>
                <w:sz w:val="21"/>
                <w:szCs w:val="21"/>
              </w:rPr>
              <w:t>A</w:t>
            </w:r>
            <w:r>
              <w:rPr>
                <w:rFonts w:hint="eastAsia" w:ascii="宋体" w:hAnsi="宋体"/>
                <w:color w:val="auto"/>
                <w:sz w:val="21"/>
                <w:szCs w:val="21"/>
              </w:rPr>
              <w:t>区知善楼一、二楼食堂委托经营</w:t>
            </w:r>
          </w:p>
        </w:tc>
        <w:tc>
          <w:tcPr>
            <w:tcW w:w="1269" w:type="dxa"/>
            <w:shd w:val="clear" w:color="auto" w:fill="auto"/>
            <w:vAlign w:val="center"/>
          </w:tcPr>
          <w:p w14:paraId="6FB82583">
            <w:pPr>
              <w:spacing w:line="320" w:lineRule="exact"/>
              <w:jc w:val="center"/>
              <w:rPr>
                <w:rFonts w:ascii="宋体" w:hAnsi="宋体" w:cs="宋体"/>
                <w:color w:val="auto"/>
                <w:sz w:val="21"/>
                <w:szCs w:val="21"/>
              </w:rPr>
            </w:pPr>
            <w:r>
              <w:rPr>
                <w:rFonts w:ascii="宋体" w:hAnsi="宋体" w:cs="宋体"/>
                <w:color w:val="auto"/>
                <w:sz w:val="21"/>
                <w:szCs w:val="21"/>
              </w:rPr>
              <w:t>20</w:t>
            </w:r>
          </w:p>
        </w:tc>
        <w:tc>
          <w:tcPr>
            <w:tcW w:w="1277" w:type="dxa"/>
            <w:shd w:val="clear" w:color="auto" w:fill="auto"/>
            <w:vAlign w:val="center"/>
          </w:tcPr>
          <w:p w14:paraId="0F1D28F1">
            <w:pPr>
              <w:spacing w:line="320" w:lineRule="exact"/>
              <w:jc w:val="center"/>
              <w:rPr>
                <w:rFonts w:ascii="宋体" w:hAnsi="宋体" w:cs="宋体"/>
                <w:color w:val="auto"/>
                <w:sz w:val="21"/>
                <w:szCs w:val="21"/>
              </w:rPr>
            </w:pPr>
            <w:r>
              <w:rPr>
                <w:rFonts w:ascii="宋体" w:hAnsi="宋体" w:cs="宋体"/>
                <w:color w:val="auto"/>
                <w:sz w:val="21"/>
                <w:szCs w:val="21"/>
              </w:rPr>
              <w:t>100</w:t>
            </w:r>
          </w:p>
        </w:tc>
        <w:tc>
          <w:tcPr>
            <w:tcW w:w="931" w:type="dxa"/>
            <w:shd w:val="clear" w:color="auto" w:fill="auto"/>
            <w:vAlign w:val="center"/>
          </w:tcPr>
          <w:p w14:paraId="06474252">
            <w:pPr>
              <w:spacing w:line="320" w:lineRule="exact"/>
              <w:jc w:val="center"/>
              <w:rPr>
                <w:rFonts w:ascii="宋体" w:hAnsi="宋体" w:cs="宋体"/>
                <w:color w:val="auto"/>
                <w:sz w:val="21"/>
                <w:szCs w:val="21"/>
              </w:rPr>
            </w:pPr>
            <w:r>
              <w:rPr>
                <w:rFonts w:ascii="宋体" w:hAnsi="宋体" w:cs="宋体"/>
                <w:color w:val="auto"/>
                <w:sz w:val="21"/>
                <w:szCs w:val="21"/>
              </w:rPr>
              <w:t>1名</w:t>
            </w:r>
          </w:p>
        </w:tc>
        <w:tc>
          <w:tcPr>
            <w:tcW w:w="2483" w:type="dxa"/>
            <w:vAlign w:val="center"/>
          </w:tcPr>
          <w:p w14:paraId="2AACC4A6">
            <w:pPr>
              <w:spacing w:line="240" w:lineRule="exact"/>
              <w:jc w:val="center"/>
              <w:rPr>
                <w:rFonts w:ascii="宋体" w:hAnsi="宋体" w:cs="宋体"/>
                <w:color w:val="auto"/>
                <w:sz w:val="21"/>
                <w:szCs w:val="21"/>
              </w:rPr>
            </w:pPr>
            <w:r>
              <w:rPr>
                <w:rFonts w:ascii="宋体" w:hAnsi="宋体"/>
                <w:color w:val="auto"/>
                <w:sz w:val="21"/>
                <w:szCs w:val="21"/>
              </w:rPr>
              <w:t>6400</w:t>
            </w:r>
            <w:r>
              <w:rPr>
                <w:rFonts w:hint="eastAsia" w:ascii="宋体" w:hAnsi="宋体" w:cs="宋体"/>
                <w:color w:val="auto"/>
                <w:sz w:val="21"/>
                <w:szCs w:val="21"/>
              </w:rPr>
              <w:t>㎡</w:t>
            </w:r>
            <w:r>
              <w:rPr>
                <w:rFonts w:hint="eastAsia" w:ascii="宋体" w:hAnsi="宋体"/>
                <w:color w:val="auto"/>
                <w:sz w:val="21"/>
                <w:szCs w:val="21"/>
              </w:rPr>
              <w:t>（以实际勘察为准）</w:t>
            </w:r>
          </w:p>
        </w:tc>
      </w:tr>
      <w:tr w14:paraId="5B0C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08" w:type="dxa"/>
            <w:vAlign w:val="center"/>
          </w:tcPr>
          <w:p w14:paraId="1CF093AA">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4</w:t>
            </w:r>
          </w:p>
        </w:tc>
        <w:tc>
          <w:tcPr>
            <w:tcW w:w="2612" w:type="dxa"/>
            <w:vAlign w:val="center"/>
          </w:tcPr>
          <w:p w14:paraId="7DDAAF0B">
            <w:pPr>
              <w:jc w:val="center"/>
              <w:rPr>
                <w:rFonts w:ascii="宋体" w:hAnsi="宋体"/>
                <w:color w:val="auto"/>
                <w:sz w:val="21"/>
                <w:szCs w:val="21"/>
              </w:rPr>
            </w:pPr>
            <w:r>
              <w:rPr>
                <w:rFonts w:hint="eastAsia" w:ascii="宋体" w:hAnsi="宋体"/>
                <w:color w:val="auto"/>
                <w:sz w:val="21"/>
                <w:szCs w:val="21"/>
              </w:rPr>
              <w:t>红河</w:t>
            </w:r>
            <w:r>
              <w:rPr>
                <w:rFonts w:ascii="宋体" w:hAnsi="宋体"/>
                <w:color w:val="auto"/>
                <w:sz w:val="21"/>
                <w:szCs w:val="21"/>
              </w:rPr>
              <w:t>A校区三食堂（含教工餐厅）委托经营</w:t>
            </w:r>
          </w:p>
        </w:tc>
        <w:tc>
          <w:tcPr>
            <w:tcW w:w="1269" w:type="dxa"/>
            <w:vAlign w:val="center"/>
          </w:tcPr>
          <w:p w14:paraId="66F36DD4">
            <w:pPr>
              <w:jc w:val="center"/>
              <w:rPr>
                <w:rFonts w:ascii="宋体" w:hAnsi="宋体" w:cs="宋体"/>
                <w:color w:val="auto"/>
                <w:sz w:val="21"/>
                <w:szCs w:val="21"/>
              </w:rPr>
            </w:pPr>
            <w:r>
              <w:rPr>
                <w:rFonts w:ascii="宋体" w:hAnsi="宋体" w:cs="宋体"/>
                <w:color w:val="auto"/>
                <w:sz w:val="21"/>
                <w:szCs w:val="21"/>
              </w:rPr>
              <w:t>20</w:t>
            </w:r>
          </w:p>
        </w:tc>
        <w:tc>
          <w:tcPr>
            <w:tcW w:w="1277" w:type="dxa"/>
            <w:vAlign w:val="center"/>
          </w:tcPr>
          <w:p w14:paraId="5DACA514">
            <w:pPr>
              <w:jc w:val="center"/>
              <w:rPr>
                <w:rFonts w:ascii="宋体" w:hAnsi="宋体" w:cs="宋体"/>
                <w:color w:val="auto"/>
                <w:sz w:val="21"/>
                <w:szCs w:val="21"/>
              </w:rPr>
            </w:pPr>
            <w:r>
              <w:rPr>
                <w:rFonts w:ascii="宋体" w:hAnsi="宋体" w:cs="宋体"/>
                <w:color w:val="auto"/>
                <w:sz w:val="21"/>
                <w:szCs w:val="21"/>
              </w:rPr>
              <w:t>100</w:t>
            </w:r>
          </w:p>
        </w:tc>
        <w:tc>
          <w:tcPr>
            <w:tcW w:w="931" w:type="dxa"/>
            <w:vAlign w:val="center"/>
          </w:tcPr>
          <w:p w14:paraId="5240F5A2">
            <w:pPr>
              <w:jc w:val="center"/>
              <w:rPr>
                <w:rFonts w:ascii="宋体" w:hAnsi="宋体" w:cs="宋体"/>
                <w:color w:val="auto"/>
                <w:sz w:val="21"/>
                <w:szCs w:val="21"/>
              </w:rPr>
            </w:pPr>
            <w:r>
              <w:rPr>
                <w:rFonts w:ascii="宋体" w:hAnsi="宋体" w:cs="宋体"/>
                <w:color w:val="auto"/>
                <w:sz w:val="21"/>
                <w:szCs w:val="21"/>
              </w:rPr>
              <w:t>1名</w:t>
            </w:r>
          </w:p>
        </w:tc>
        <w:tc>
          <w:tcPr>
            <w:tcW w:w="2483" w:type="dxa"/>
            <w:vAlign w:val="center"/>
          </w:tcPr>
          <w:p w14:paraId="2D9B7602">
            <w:pPr>
              <w:spacing w:line="240" w:lineRule="exact"/>
              <w:jc w:val="center"/>
              <w:rPr>
                <w:rFonts w:ascii="宋体" w:hAnsi="宋体" w:cs="宋体"/>
                <w:color w:val="auto"/>
                <w:sz w:val="21"/>
                <w:szCs w:val="21"/>
              </w:rPr>
            </w:pPr>
            <w:r>
              <w:rPr>
                <w:rFonts w:ascii="宋体" w:hAnsi="宋体" w:cs="宋体"/>
                <w:color w:val="auto"/>
                <w:sz w:val="21"/>
                <w:szCs w:val="21"/>
              </w:rPr>
              <w:t>5000㎡</w:t>
            </w:r>
            <w:r>
              <w:rPr>
                <w:rFonts w:hint="eastAsia" w:ascii="宋体" w:hAnsi="宋体"/>
                <w:color w:val="auto"/>
                <w:sz w:val="21"/>
                <w:szCs w:val="21"/>
              </w:rPr>
              <w:t>（以实际勘察为准）</w:t>
            </w:r>
          </w:p>
          <w:p w14:paraId="71046FA6">
            <w:pPr>
              <w:spacing w:line="240" w:lineRule="exact"/>
              <w:jc w:val="center"/>
              <w:rPr>
                <w:rFonts w:ascii="宋体" w:hAnsi="宋体" w:cs="宋体"/>
                <w:color w:val="auto"/>
                <w:sz w:val="21"/>
                <w:szCs w:val="21"/>
              </w:rPr>
            </w:pPr>
          </w:p>
        </w:tc>
      </w:tr>
      <w:tr w14:paraId="3010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08" w:type="dxa"/>
            <w:vAlign w:val="center"/>
          </w:tcPr>
          <w:p w14:paraId="34B125AE">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5</w:t>
            </w:r>
          </w:p>
        </w:tc>
        <w:tc>
          <w:tcPr>
            <w:tcW w:w="2612" w:type="dxa"/>
            <w:vAlign w:val="center"/>
          </w:tcPr>
          <w:p w14:paraId="3BBE1456">
            <w:pPr>
              <w:jc w:val="center"/>
              <w:rPr>
                <w:rFonts w:ascii="宋体" w:hAnsi="宋体"/>
                <w:color w:val="auto"/>
                <w:sz w:val="21"/>
                <w:szCs w:val="21"/>
              </w:rPr>
            </w:pPr>
            <w:r>
              <w:rPr>
                <w:rFonts w:hint="eastAsia" w:ascii="宋体" w:hAnsi="宋体"/>
                <w:color w:val="auto"/>
                <w:sz w:val="21"/>
                <w:szCs w:val="21"/>
              </w:rPr>
              <w:t>星湖校区知和楼一、二楼食堂（含教工餐厅）及学聚苑食堂委托经营</w:t>
            </w:r>
          </w:p>
        </w:tc>
        <w:tc>
          <w:tcPr>
            <w:tcW w:w="1269" w:type="dxa"/>
            <w:shd w:val="clear" w:color="auto" w:fill="auto"/>
            <w:vAlign w:val="center"/>
          </w:tcPr>
          <w:p w14:paraId="4D4AFFFD">
            <w:pPr>
              <w:jc w:val="center"/>
              <w:rPr>
                <w:rFonts w:ascii="宋体" w:hAnsi="宋体" w:cs="宋体"/>
                <w:color w:val="auto"/>
                <w:sz w:val="21"/>
                <w:szCs w:val="21"/>
              </w:rPr>
            </w:pPr>
            <w:r>
              <w:rPr>
                <w:rFonts w:ascii="宋体" w:hAnsi="宋体" w:cs="宋体"/>
                <w:color w:val="auto"/>
                <w:sz w:val="21"/>
                <w:szCs w:val="21"/>
              </w:rPr>
              <w:t>20</w:t>
            </w:r>
          </w:p>
        </w:tc>
        <w:tc>
          <w:tcPr>
            <w:tcW w:w="1277" w:type="dxa"/>
            <w:shd w:val="clear" w:color="auto" w:fill="auto"/>
            <w:vAlign w:val="center"/>
          </w:tcPr>
          <w:p w14:paraId="36AAF127">
            <w:pPr>
              <w:jc w:val="center"/>
              <w:rPr>
                <w:rFonts w:ascii="宋体" w:hAnsi="宋体" w:cs="宋体"/>
                <w:color w:val="auto"/>
                <w:sz w:val="21"/>
                <w:szCs w:val="21"/>
              </w:rPr>
            </w:pPr>
            <w:r>
              <w:rPr>
                <w:rFonts w:ascii="宋体" w:hAnsi="宋体" w:cs="宋体"/>
                <w:color w:val="auto"/>
                <w:sz w:val="21"/>
                <w:szCs w:val="21"/>
              </w:rPr>
              <w:t>100</w:t>
            </w:r>
          </w:p>
        </w:tc>
        <w:tc>
          <w:tcPr>
            <w:tcW w:w="931" w:type="dxa"/>
            <w:shd w:val="clear" w:color="auto" w:fill="auto"/>
            <w:vAlign w:val="center"/>
          </w:tcPr>
          <w:p w14:paraId="0942D1DF">
            <w:pPr>
              <w:jc w:val="center"/>
              <w:rPr>
                <w:rFonts w:ascii="宋体" w:hAnsi="宋体" w:cs="宋体"/>
                <w:color w:val="auto"/>
                <w:sz w:val="21"/>
                <w:szCs w:val="21"/>
              </w:rPr>
            </w:pPr>
            <w:r>
              <w:rPr>
                <w:rFonts w:ascii="宋体" w:hAnsi="宋体" w:cs="宋体"/>
                <w:color w:val="auto"/>
                <w:sz w:val="21"/>
                <w:szCs w:val="21"/>
              </w:rPr>
              <w:t>1名</w:t>
            </w:r>
          </w:p>
        </w:tc>
        <w:tc>
          <w:tcPr>
            <w:tcW w:w="2483" w:type="dxa"/>
            <w:vAlign w:val="center"/>
          </w:tcPr>
          <w:p w14:paraId="32509D73">
            <w:pPr>
              <w:spacing w:line="240" w:lineRule="exact"/>
              <w:jc w:val="center"/>
              <w:rPr>
                <w:rFonts w:ascii="宋体" w:hAnsi="宋体"/>
                <w:color w:val="auto"/>
                <w:sz w:val="21"/>
                <w:szCs w:val="21"/>
              </w:rPr>
            </w:pPr>
            <w:r>
              <w:rPr>
                <w:rFonts w:ascii="宋体" w:hAnsi="宋体" w:cs="宋体"/>
                <w:color w:val="auto"/>
                <w:sz w:val="21"/>
                <w:szCs w:val="21"/>
              </w:rPr>
              <w:t>6052㎡</w:t>
            </w:r>
          </w:p>
          <w:p w14:paraId="35EE93F4">
            <w:pPr>
              <w:spacing w:line="240" w:lineRule="exact"/>
              <w:jc w:val="center"/>
              <w:rPr>
                <w:rFonts w:ascii="宋体" w:hAnsi="宋体"/>
                <w:color w:val="auto"/>
                <w:sz w:val="21"/>
                <w:szCs w:val="21"/>
              </w:rPr>
            </w:pPr>
            <w:r>
              <w:rPr>
                <w:rFonts w:hint="eastAsia" w:ascii="宋体" w:hAnsi="宋体"/>
                <w:color w:val="auto"/>
                <w:sz w:val="21"/>
                <w:szCs w:val="21"/>
              </w:rPr>
              <w:t>其中，星湖校区知和楼一二楼食堂</w:t>
            </w:r>
            <w:r>
              <w:rPr>
                <w:rFonts w:ascii="宋体" w:hAnsi="宋体"/>
                <w:color w:val="auto"/>
                <w:sz w:val="21"/>
                <w:szCs w:val="21"/>
              </w:rPr>
              <w:t>5200</w:t>
            </w:r>
            <w:r>
              <w:rPr>
                <w:rFonts w:hint="eastAsia" w:ascii="宋体" w:hAnsi="宋体" w:cs="宋体"/>
                <w:color w:val="auto"/>
                <w:sz w:val="21"/>
                <w:szCs w:val="21"/>
              </w:rPr>
              <w:t>㎡</w:t>
            </w:r>
            <w:r>
              <w:rPr>
                <w:rFonts w:hint="eastAsia" w:ascii="宋体" w:hAnsi="宋体"/>
                <w:color w:val="auto"/>
                <w:sz w:val="21"/>
                <w:szCs w:val="21"/>
              </w:rPr>
              <w:t>，学聚苑食堂</w:t>
            </w:r>
            <w:r>
              <w:rPr>
                <w:rFonts w:ascii="宋体" w:hAnsi="宋体"/>
                <w:color w:val="auto"/>
                <w:sz w:val="21"/>
                <w:szCs w:val="21"/>
              </w:rPr>
              <w:t>852</w:t>
            </w:r>
            <w:r>
              <w:rPr>
                <w:rFonts w:hint="eastAsia" w:ascii="宋体" w:hAnsi="宋体" w:cs="宋体"/>
                <w:color w:val="auto"/>
                <w:sz w:val="21"/>
                <w:szCs w:val="21"/>
              </w:rPr>
              <w:t>㎡</w:t>
            </w:r>
            <w:r>
              <w:rPr>
                <w:rFonts w:ascii="宋体" w:hAnsi="宋体"/>
                <w:color w:val="auto"/>
                <w:sz w:val="21"/>
                <w:szCs w:val="21"/>
              </w:rPr>
              <w:t>,（以实际勘察为准）</w:t>
            </w:r>
          </w:p>
        </w:tc>
      </w:tr>
    </w:tbl>
    <w:p w14:paraId="65014CBD">
      <w:pPr>
        <w:rPr>
          <w:rFonts w:ascii="宋体" w:hAnsi="宋体" w:cs="宋体"/>
          <w:color w:val="auto"/>
          <w:sz w:val="24"/>
          <w:szCs w:val="24"/>
        </w:rPr>
      </w:pPr>
      <w:r>
        <w:rPr>
          <w:rFonts w:hint="eastAsia" w:ascii="宋体" w:hAnsi="宋体" w:cs="宋体"/>
          <w:color w:val="auto"/>
          <w:sz w:val="24"/>
          <w:szCs w:val="24"/>
        </w:rPr>
        <w:t>注：（一）本项目无图纸，需现场勘察自行制作图纸。</w:t>
      </w:r>
    </w:p>
    <w:p w14:paraId="5A1064B2">
      <w:pPr>
        <w:ind w:firstLine="480" w:firstLineChars="200"/>
        <w:rPr>
          <w:rFonts w:ascii="宋体" w:hAnsi="宋体" w:cs="宋体"/>
          <w:color w:val="auto"/>
        </w:rPr>
      </w:pPr>
      <w:r>
        <w:rPr>
          <w:rFonts w:hint="eastAsia" w:ascii="宋体" w:hAnsi="宋体" w:cs="宋体"/>
          <w:color w:val="auto"/>
          <w:sz w:val="24"/>
          <w:szCs w:val="24"/>
        </w:rPr>
        <w:t>（二）供应商在勘探现场时需注意的是上述经营面积可能与现场实际经营场地有出入，主要以采购人指定区域为准。</w:t>
      </w:r>
    </w:p>
    <w:p w14:paraId="708E950C">
      <w:pPr>
        <w:pStyle w:val="3"/>
        <w:spacing w:line="360" w:lineRule="exact"/>
        <w:rPr>
          <w:b w:val="0"/>
          <w:color w:val="auto"/>
          <w:sz w:val="28"/>
          <w:szCs w:val="28"/>
        </w:rPr>
      </w:pPr>
      <w:bookmarkStart w:id="10" w:name="_Toc6137"/>
      <w:bookmarkStart w:id="11" w:name="_Toc19985"/>
      <w:bookmarkStart w:id="12" w:name="_Toc2668"/>
      <w:bookmarkStart w:id="13" w:name="_Toc373860293"/>
      <w:bookmarkStart w:id="14" w:name="_Toc317775178"/>
      <w:r>
        <w:rPr>
          <w:rFonts w:hint="eastAsia"/>
          <w:b w:val="0"/>
          <w:color w:val="auto"/>
          <w:sz w:val="28"/>
          <w:szCs w:val="28"/>
        </w:rPr>
        <w:t>二、供应商资格条件</w:t>
      </w:r>
      <w:bookmarkEnd w:id="10"/>
      <w:bookmarkEnd w:id="11"/>
      <w:bookmarkEnd w:id="12"/>
    </w:p>
    <w:p w14:paraId="55769981">
      <w:pPr>
        <w:spacing w:line="400" w:lineRule="exact"/>
        <w:ind w:firstLine="480" w:firstLineChars="200"/>
        <w:rPr>
          <w:rFonts w:ascii="宋体" w:hAnsi="宋体" w:cs="宋体"/>
          <w:color w:val="auto"/>
          <w:sz w:val="24"/>
          <w:szCs w:val="24"/>
        </w:rPr>
      </w:pPr>
      <w:bookmarkStart w:id="15" w:name="_Toc11257"/>
      <w:r>
        <w:rPr>
          <w:rFonts w:hint="eastAsia" w:ascii="宋体" w:hAnsi="宋体" w:cs="宋体"/>
          <w:color w:val="auto"/>
          <w:sz w:val="24"/>
          <w:szCs w:val="24"/>
        </w:rPr>
        <w:t>（一）满足《中华人民共和国政府采购法》第二十二条规定的六项基本资格条件；</w:t>
      </w:r>
    </w:p>
    <w:p w14:paraId="1205E1D4">
      <w:pPr>
        <w:spacing w:line="400" w:lineRule="exact"/>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具有独立承担民事责任的能力；</w:t>
      </w:r>
    </w:p>
    <w:p w14:paraId="1C90AF7C">
      <w:pPr>
        <w:spacing w:line="400" w:lineRule="exact"/>
        <w:ind w:firstLine="480" w:firstLineChars="200"/>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具有良好的商业信誉和健全的财务会计制度；</w:t>
      </w:r>
    </w:p>
    <w:p w14:paraId="1B55796E">
      <w:pPr>
        <w:spacing w:line="400" w:lineRule="exact"/>
        <w:ind w:firstLine="480" w:firstLineChars="200"/>
        <w:rPr>
          <w:rFonts w:ascii="宋体" w:hAnsi="宋体" w:cs="宋体"/>
          <w:color w:val="auto"/>
          <w:sz w:val="24"/>
          <w:szCs w:val="24"/>
        </w:rPr>
      </w:pPr>
      <w:r>
        <w:rPr>
          <w:rFonts w:ascii="宋体" w:hAnsi="宋体" w:cs="宋体"/>
          <w:color w:val="auto"/>
          <w:sz w:val="24"/>
          <w:szCs w:val="24"/>
        </w:rPr>
        <w:t>3.具有履行合同所必需的设备和专业技术能力；</w:t>
      </w:r>
    </w:p>
    <w:p w14:paraId="26471FA1">
      <w:pPr>
        <w:spacing w:line="400" w:lineRule="exact"/>
        <w:ind w:firstLine="480" w:firstLineChars="200"/>
        <w:rPr>
          <w:rFonts w:ascii="宋体" w:hAnsi="宋体" w:cs="宋体"/>
          <w:color w:val="auto"/>
          <w:sz w:val="24"/>
          <w:szCs w:val="24"/>
        </w:rPr>
      </w:pPr>
      <w:r>
        <w:rPr>
          <w:rFonts w:ascii="宋体" w:hAnsi="宋体" w:cs="宋体"/>
          <w:color w:val="auto"/>
          <w:sz w:val="24"/>
          <w:szCs w:val="24"/>
        </w:rPr>
        <w:t>4.有依法缴纳税收和社会保障资金的良好记录；</w:t>
      </w:r>
    </w:p>
    <w:p w14:paraId="3AAADCA7">
      <w:pPr>
        <w:spacing w:line="400" w:lineRule="exact"/>
        <w:ind w:firstLine="480" w:firstLineChars="200"/>
        <w:rPr>
          <w:rFonts w:ascii="宋体" w:hAnsi="宋体" w:cs="宋体"/>
          <w:color w:val="auto"/>
          <w:sz w:val="24"/>
          <w:szCs w:val="24"/>
        </w:rPr>
      </w:pPr>
      <w:r>
        <w:rPr>
          <w:rFonts w:ascii="宋体" w:hAnsi="宋体" w:cs="宋体"/>
          <w:color w:val="auto"/>
          <w:sz w:val="24"/>
          <w:szCs w:val="24"/>
        </w:rPr>
        <w:t>5.近三年内，在经营活动中没有重大违法记录；</w:t>
      </w:r>
    </w:p>
    <w:p w14:paraId="62E03D5D">
      <w:pPr>
        <w:spacing w:line="400" w:lineRule="exact"/>
        <w:ind w:firstLine="480" w:firstLineChars="200"/>
        <w:rPr>
          <w:rFonts w:ascii="宋体" w:hAnsi="宋体" w:cs="宋体"/>
          <w:color w:val="auto"/>
          <w:sz w:val="24"/>
          <w:szCs w:val="24"/>
        </w:rPr>
      </w:pPr>
      <w:r>
        <w:rPr>
          <w:rFonts w:ascii="宋体" w:hAnsi="宋体" w:cs="宋体"/>
          <w:color w:val="auto"/>
          <w:sz w:val="24"/>
          <w:szCs w:val="24"/>
        </w:rPr>
        <w:t>6.法律、行政法规规定的其他条件。</w:t>
      </w:r>
    </w:p>
    <w:p w14:paraId="1654193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（二）本项目的特定资格要求：</w:t>
      </w:r>
    </w:p>
    <w:p w14:paraId="021ADDB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1.供应商须持有有效的市场监督管理局颁发的食品经营许可证且经营范围必须包括餐饮服务（提供证书复印件并加盖鲜章，原件备查）；</w:t>
      </w:r>
    </w:p>
    <w:p w14:paraId="16B2CCA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2.供应商2020年1月1日以来至投标截止时间（以合同签订时间为准），具有单个合同经营面积2000m</w:t>
      </w:r>
      <w:r>
        <w:rPr>
          <w:rFonts w:hint="eastAsia" w:ascii="宋体" w:hAnsi="宋体" w:cs="宋体"/>
          <w:color w:val="auto"/>
          <w:sz w:val="24"/>
          <w:szCs w:val="24"/>
          <w:vertAlign w:val="superscript"/>
        </w:rPr>
        <w:t>2</w:t>
      </w:r>
      <w:r>
        <w:rPr>
          <w:rFonts w:hint="eastAsia" w:ascii="宋体" w:hAnsi="宋体" w:cs="宋体"/>
          <w:color w:val="auto"/>
          <w:sz w:val="24"/>
          <w:szCs w:val="24"/>
        </w:rPr>
        <w:t>及以上（必须是合同中明确的经营面积）的高校食堂经营业绩1个，提供合同复印件并加盖投标人公章（原件备查）。</w:t>
      </w:r>
    </w:p>
    <w:bookmarkEnd w:id="13"/>
    <w:bookmarkEnd w:id="14"/>
    <w:bookmarkEnd w:id="15"/>
    <w:p w14:paraId="436066D8">
      <w:pPr>
        <w:pStyle w:val="3"/>
        <w:spacing w:line="360" w:lineRule="exact"/>
        <w:rPr>
          <w:b w:val="0"/>
          <w:color w:val="auto"/>
        </w:rPr>
      </w:pPr>
      <w:bookmarkStart w:id="16" w:name="_Toc30383"/>
      <w:bookmarkStart w:id="17" w:name="_Toc4438"/>
      <w:r>
        <w:rPr>
          <w:rFonts w:hint="eastAsia"/>
          <w:b w:val="0"/>
          <w:color w:val="auto"/>
        </w:rPr>
        <w:t>三、磋商有关说明</w:t>
      </w:r>
      <w:bookmarkEnd w:id="16"/>
      <w:bookmarkEnd w:id="17"/>
    </w:p>
    <w:p w14:paraId="5984222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（一）供应商需通过“行采家”平台（</w:t>
      </w:r>
      <w:r>
        <w:rPr>
          <w:rFonts w:ascii="宋体" w:hAnsi="宋体" w:cs="宋体"/>
          <w:color w:val="auto"/>
          <w:sz w:val="24"/>
          <w:szCs w:val="24"/>
        </w:rPr>
        <w:t>http://www.gec123.com）进行注册，成为正式</w:t>
      </w:r>
      <w:r>
        <w:rPr>
          <w:rFonts w:hint="eastAsia" w:ascii="宋体" w:hAnsi="宋体" w:cs="宋体"/>
          <w:color w:val="auto"/>
          <w:sz w:val="24"/>
          <w:szCs w:val="24"/>
        </w:rPr>
        <w:t>供应商方能参与采购活动。</w:t>
      </w:r>
    </w:p>
    <w:p w14:paraId="2A89265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（二）凡有意参加磋商的供应商，请在“行采家”平台（</w:t>
      </w:r>
      <w:r>
        <w:rPr>
          <w:rFonts w:ascii="宋体" w:hAnsi="宋体" w:cs="宋体"/>
          <w:color w:val="auto"/>
          <w:sz w:val="24"/>
          <w:szCs w:val="24"/>
        </w:rPr>
        <w:t>http://www.gec123.com）下载或到采购代理机构处领取本项目竞争性磋商文件以及图纸、澄清等磋商前公布的所有项目资料，无论供应商下载或领取与否，均视为已知晓所有磋商实质性要求内容。</w:t>
      </w:r>
    </w:p>
    <w:p w14:paraId="05E66AC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（三）竞争性磋商公告期限：自采购公告发布之日起三个工作日。</w:t>
      </w:r>
    </w:p>
    <w:p w14:paraId="7D4F5C3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w:t>
      </w:r>
      <w:r>
        <w:rPr>
          <w:color w:val="auto"/>
        </w:rPr>
        <w:fldChar w:fldCharType="begin"/>
      </w:r>
      <w:r>
        <w:rPr>
          <w:color w:val="auto"/>
        </w:rPr>
        <w:instrText xml:space="preserve"> HYPERLINK "mailto:2.报名方式在磋商文件发售期内，供应商将《报名表》（加盖供应商公章）扫描后发送至1245997864@qq.com（邮箱）。" </w:instrText>
      </w:r>
      <w:r>
        <w:rPr>
          <w:color w:val="auto"/>
        </w:rPr>
        <w:fldChar w:fldCharType="separate"/>
      </w:r>
      <w:r>
        <w:rPr>
          <w:rFonts w:hint="eastAsia" w:ascii="宋体" w:hAnsi="宋体" w:cs="宋体"/>
          <w:color w:val="auto"/>
          <w:sz w:val="24"/>
          <w:szCs w:val="24"/>
        </w:rPr>
        <w:t>报名方式：无需报名。</w:t>
      </w:r>
      <w:r>
        <w:rPr>
          <w:rFonts w:hint="eastAsia" w:ascii="宋体" w:hAnsi="宋体" w:cs="宋体"/>
          <w:color w:val="auto"/>
          <w:sz w:val="24"/>
          <w:szCs w:val="24"/>
        </w:rPr>
        <w:fldChar w:fldCharType="end"/>
      </w:r>
    </w:p>
    <w:p w14:paraId="43DA8CA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竞争性磋商文件售价：人民币</w:t>
      </w:r>
      <w:r>
        <w:rPr>
          <w:rFonts w:ascii="宋体" w:hAnsi="宋体" w:cs="宋体"/>
          <w:color w:val="auto"/>
          <w:sz w:val="24"/>
          <w:szCs w:val="24"/>
        </w:rPr>
        <w:t>1000元/包（磋商当日开标现场缴纳）。</w:t>
      </w:r>
    </w:p>
    <w:p w14:paraId="2694B39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（五）递交响应文件地点：重庆文理学院恪勤楼203室（重庆市永川区红河大道319号）</w:t>
      </w:r>
      <w:r>
        <w:rPr>
          <w:rFonts w:ascii="宋体" w:hAnsi="宋体" w:cs="宋体"/>
          <w:color w:val="auto"/>
          <w:sz w:val="24"/>
          <w:szCs w:val="24"/>
        </w:rPr>
        <w:t>。</w:t>
      </w:r>
    </w:p>
    <w:p w14:paraId="50D1FDE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（六）递交响应文件开始时间：</w:t>
      </w:r>
      <w:r>
        <w:rPr>
          <w:rFonts w:ascii="宋体" w:hAnsi="宋体" w:cs="宋体"/>
          <w:color w:val="auto"/>
          <w:sz w:val="24"/>
          <w:szCs w:val="24"/>
        </w:rPr>
        <w:t>2025年</w:t>
      </w:r>
      <w:r>
        <w:rPr>
          <w:rFonts w:hint="eastAsia" w:ascii="宋体" w:hAnsi="宋体" w:cs="宋体"/>
          <w:color w:val="auto"/>
          <w:sz w:val="24"/>
          <w:szCs w:val="24"/>
          <w:lang w:val="en-US" w:eastAsia="zh-CN"/>
        </w:rPr>
        <w:t>7</w:t>
      </w:r>
      <w:r>
        <w:rPr>
          <w:rFonts w:ascii="宋体" w:hAnsi="宋体" w:cs="宋体"/>
          <w:color w:val="auto"/>
          <w:sz w:val="24"/>
          <w:szCs w:val="24"/>
        </w:rPr>
        <w:t>月</w:t>
      </w:r>
      <w:r>
        <w:rPr>
          <w:rFonts w:hint="eastAsia" w:ascii="宋体" w:hAnsi="宋体" w:cs="宋体"/>
          <w:color w:val="auto"/>
          <w:sz w:val="24"/>
          <w:szCs w:val="24"/>
          <w:lang w:val="en-US" w:eastAsia="zh-CN"/>
        </w:rPr>
        <w:t>8</w:t>
      </w:r>
      <w:r>
        <w:rPr>
          <w:rFonts w:ascii="宋体" w:hAnsi="宋体" w:cs="宋体"/>
          <w:color w:val="auto"/>
          <w:sz w:val="24"/>
          <w:szCs w:val="24"/>
        </w:rPr>
        <w:t>日北京时间9:00</w:t>
      </w:r>
    </w:p>
    <w:p w14:paraId="13DE498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（七）递交响应文件截止时间：</w:t>
      </w:r>
      <w:r>
        <w:rPr>
          <w:rFonts w:ascii="宋体" w:hAnsi="宋体" w:cs="宋体"/>
          <w:color w:val="auto"/>
          <w:sz w:val="24"/>
          <w:szCs w:val="24"/>
        </w:rPr>
        <w:t>202</w:t>
      </w:r>
      <w:r>
        <w:rPr>
          <w:rFonts w:hint="eastAsia" w:ascii="宋体" w:hAnsi="宋体" w:cs="宋体"/>
          <w:color w:val="auto"/>
          <w:sz w:val="24"/>
          <w:szCs w:val="24"/>
          <w:lang w:val="en-US" w:eastAsia="zh-CN"/>
        </w:rPr>
        <w:t>5</w:t>
      </w:r>
      <w:r>
        <w:rPr>
          <w:rFonts w:ascii="宋体" w:hAnsi="宋体" w:cs="宋体"/>
          <w:color w:val="auto"/>
          <w:sz w:val="24"/>
          <w:szCs w:val="24"/>
        </w:rPr>
        <w:t>年</w:t>
      </w:r>
      <w:r>
        <w:rPr>
          <w:rFonts w:hint="eastAsia" w:ascii="宋体" w:hAnsi="宋体" w:cs="宋体"/>
          <w:color w:val="auto"/>
          <w:sz w:val="24"/>
          <w:szCs w:val="24"/>
          <w:lang w:val="en-US" w:eastAsia="zh-CN"/>
        </w:rPr>
        <w:t>7</w:t>
      </w:r>
      <w:r>
        <w:rPr>
          <w:rFonts w:ascii="宋体" w:hAnsi="宋体" w:cs="宋体"/>
          <w:color w:val="auto"/>
          <w:sz w:val="24"/>
          <w:szCs w:val="24"/>
        </w:rPr>
        <w:t>月</w:t>
      </w:r>
      <w:r>
        <w:rPr>
          <w:rFonts w:hint="eastAsia" w:ascii="宋体" w:hAnsi="宋体" w:cs="宋体"/>
          <w:color w:val="auto"/>
          <w:sz w:val="24"/>
          <w:szCs w:val="24"/>
          <w:lang w:val="en-US" w:eastAsia="zh-CN"/>
        </w:rPr>
        <w:t>8</w:t>
      </w:r>
      <w:r>
        <w:rPr>
          <w:rFonts w:ascii="宋体" w:hAnsi="宋体" w:cs="宋体"/>
          <w:color w:val="auto"/>
          <w:sz w:val="24"/>
          <w:szCs w:val="24"/>
        </w:rPr>
        <w:t>日北京时间9:30</w:t>
      </w:r>
    </w:p>
    <w:p w14:paraId="7E27AA1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（八）磋商开始时间：</w:t>
      </w:r>
      <w:r>
        <w:rPr>
          <w:rFonts w:ascii="宋体" w:hAnsi="宋体" w:cs="宋体"/>
          <w:color w:val="auto"/>
          <w:sz w:val="24"/>
          <w:szCs w:val="24"/>
        </w:rPr>
        <w:t>202</w:t>
      </w:r>
      <w:r>
        <w:rPr>
          <w:rFonts w:hint="eastAsia" w:ascii="宋体" w:hAnsi="宋体" w:cs="宋体"/>
          <w:color w:val="auto"/>
          <w:sz w:val="24"/>
          <w:szCs w:val="24"/>
          <w:lang w:val="en-US" w:eastAsia="zh-CN"/>
        </w:rPr>
        <w:t>5</w:t>
      </w:r>
      <w:r>
        <w:rPr>
          <w:rFonts w:ascii="宋体" w:hAnsi="宋体" w:cs="宋体"/>
          <w:color w:val="auto"/>
          <w:sz w:val="24"/>
          <w:szCs w:val="24"/>
        </w:rPr>
        <w:t>年</w:t>
      </w:r>
      <w:r>
        <w:rPr>
          <w:rFonts w:hint="eastAsia" w:ascii="宋体" w:hAnsi="宋体" w:cs="宋体"/>
          <w:color w:val="auto"/>
          <w:sz w:val="24"/>
          <w:szCs w:val="24"/>
          <w:lang w:val="en-US" w:eastAsia="zh-CN"/>
        </w:rPr>
        <w:t>7</w:t>
      </w:r>
      <w:r>
        <w:rPr>
          <w:rFonts w:ascii="宋体" w:hAnsi="宋体" w:cs="宋体"/>
          <w:color w:val="auto"/>
          <w:sz w:val="24"/>
          <w:szCs w:val="24"/>
        </w:rPr>
        <w:t>月</w:t>
      </w:r>
      <w:r>
        <w:rPr>
          <w:rFonts w:hint="eastAsia" w:ascii="宋体" w:hAnsi="宋体" w:cs="宋体"/>
          <w:color w:val="auto"/>
          <w:sz w:val="24"/>
          <w:szCs w:val="24"/>
          <w:lang w:val="en-US" w:eastAsia="zh-CN"/>
        </w:rPr>
        <w:t>8</w:t>
      </w:r>
      <w:r>
        <w:rPr>
          <w:rFonts w:ascii="宋体" w:hAnsi="宋体" w:cs="宋体"/>
          <w:color w:val="auto"/>
          <w:sz w:val="24"/>
          <w:szCs w:val="24"/>
        </w:rPr>
        <w:t xml:space="preserve">日北京时间9:30 </w:t>
      </w:r>
    </w:p>
    <w:p w14:paraId="02E9FA16">
      <w:pPr>
        <w:pStyle w:val="3"/>
        <w:spacing w:line="360" w:lineRule="exact"/>
        <w:rPr>
          <w:b w:val="0"/>
          <w:color w:val="auto"/>
        </w:rPr>
      </w:pPr>
      <w:bookmarkStart w:id="18" w:name="_Toc4629"/>
      <w:bookmarkStart w:id="19" w:name="_Toc934"/>
      <w:bookmarkStart w:id="20" w:name="_Toc111824338"/>
      <w:bookmarkStart w:id="21" w:name="_Toc480466699"/>
      <w:bookmarkStart w:id="22" w:name="_Toc76462322"/>
      <w:r>
        <w:rPr>
          <w:rFonts w:hint="eastAsia"/>
          <w:b w:val="0"/>
          <w:color w:val="auto"/>
        </w:rPr>
        <w:t>四、磋商保证金</w:t>
      </w:r>
      <w:bookmarkEnd w:id="18"/>
      <w:bookmarkEnd w:id="19"/>
      <w:bookmarkEnd w:id="20"/>
    </w:p>
    <w:p w14:paraId="3723D859">
      <w:pPr>
        <w:snapToGrid w:val="0"/>
        <w:spacing w:line="380" w:lineRule="exact"/>
        <w:ind w:firstLine="480" w:firstLineChars="200"/>
        <w:rPr>
          <w:rFonts w:ascii="宋体" w:hAnsi="宋体" w:cs="宋体"/>
          <w:color w:val="auto"/>
          <w:sz w:val="24"/>
          <w:szCs w:val="24"/>
        </w:rPr>
      </w:pPr>
      <w:bookmarkStart w:id="23" w:name="_Toc1475"/>
      <w:r>
        <w:rPr>
          <w:rFonts w:hint="eastAsia" w:ascii="宋体" w:hAnsi="宋体" w:cs="宋体"/>
          <w:color w:val="auto"/>
          <w:sz w:val="24"/>
          <w:szCs w:val="24"/>
        </w:rPr>
        <w:t>（一）磋商保证金递交</w:t>
      </w:r>
    </w:p>
    <w:p w14:paraId="394F7CA4">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1.供应商应足额交纳磋商保证金（保证金金额详见本篇“一、竞争性磋商内容”），并汇至以下任一开户行账户，</w:t>
      </w:r>
      <w:r>
        <w:rPr>
          <w:rFonts w:hint="eastAsia" w:ascii="宋体" w:hAnsi="宋体" w:cs="宋体"/>
          <w:bCs/>
          <w:color w:val="auto"/>
          <w:sz w:val="24"/>
          <w:szCs w:val="24"/>
        </w:rPr>
        <w:t>磋商保证金的到账截止时间同响应文件递交截止时间。</w:t>
      </w:r>
    </w:p>
    <w:p w14:paraId="35E9CA5C">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磋商保证金账户：</w:t>
      </w:r>
    </w:p>
    <w:p w14:paraId="2956508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户名：中捷通信有限公司</w:t>
      </w:r>
    </w:p>
    <w:p w14:paraId="2672E982">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开户银行：中信银行广州花园支行</w:t>
      </w:r>
    </w:p>
    <w:p w14:paraId="6EA532C0">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保证金账号：3110910043850052406</w:t>
      </w:r>
      <w:r>
        <w:rPr>
          <w:rFonts w:ascii="宋体" w:hAnsi="宋体" w:cs="宋体"/>
          <w:color w:val="auto"/>
          <w:sz w:val="24"/>
          <w:szCs w:val="24"/>
        </w:rPr>
        <w:t xml:space="preserve">   </w:t>
      </w:r>
    </w:p>
    <w:p w14:paraId="47F1CFC8">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2.缴纳磋商保证金的单位名称必须与供应商名称相同，只有按规定交纳磋商保证金后，才</w:t>
      </w:r>
      <w:r>
        <w:rPr>
          <w:rFonts w:hint="eastAsia" w:ascii="宋体" w:hAnsi="宋体" w:cs="宋体"/>
          <w:color w:val="auto"/>
          <w:sz w:val="24"/>
          <w:szCs w:val="24"/>
        </w:rPr>
        <w:t>具备磋商资格。</w:t>
      </w:r>
    </w:p>
    <w:p w14:paraId="774538F5">
      <w:pPr>
        <w:snapToGrid w:val="0"/>
        <w:spacing w:line="360" w:lineRule="auto"/>
        <w:ind w:firstLine="480" w:firstLineChars="200"/>
        <w:rPr>
          <w:rFonts w:ascii="宋体" w:hAnsi="宋体" w:cs="宋体"/>
          <w:color w:val="auto"/>
          <w:sz w:val="24"/>
          <w:szCs w:val="24"/>
        </w:rPr>
      </w:pPr>
      <w:r>
        <w:rPr>
          <w:rFonts w:ascii="宋体" w:hAnsi="宋体" w:cs="宋体"/>
          <w:bCs/>
          <w:color w:val="auto"/>
          <w:sz w:val="24"/>
          <w:szCs w:val="24"/>
        </w:rPr>
        <w:t>3.凡有意向参与本项目的潜在供应商，请通过</w:t>
      </w:r>
      <w:r>
        <w:rPr>
          <w:rFonts w:hint="eastAsia" w:ascii="宋体" w:hAnsi="宋体" w:cs="宋体"/>
          <w:bCs/>
          <w:color w:val="auto"/>
          <w:sz w:val="24"/>
          <w:szCs w:val="24"/>
        </w:rPr>
        <w:t>中捷通信有限公司招投标平台（网址：https://zjzb.chinaccsscm.cn）</w:t>
      </w:r>
      <w:r>
        <w:rPr>
          <w:rFonts w:ascii="宋体" w:hAnsi="宋体" w:cs="宋体"/>
          <w:bCs/>
          <w:color w:val="auto"/>
          <w:sz w:val="24"/>
          <w:szCs w:val="24"/>
        </w:rPr>
        <w:t>完成供应商的注册，未注册成功的供应商保证金退还时间将受影响。</w:t>
      </w:r>
    </w:p>
    <w:p w14:paraId="69B18972">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4.磋商保证金必须从供应商的企业基本账户</w:t>
      </w:r>
      <w:r>
        <w:rPr>
          <w:rFonts w:hint="eastAsia" w:ascii="宋体" w:hAnsi="宋体" w:cs="宋体"/>
          <w:color w:val="auto"/>
          <w:sz w:val="24"/>
          <w:szCs w:val="24"/>
        </w:rPr>
        <w:t>通过网银转账方式或电汇方式直接划付到提供的以上银行账户，缴、退磋商保证金的手续费均由供应商承担。</w:t>
      </w:r>
    </w:p>
    <w:p w14:paraId="22B85E2B">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5.在磋商文件规定的磋商保证金截止时间之前，本项目专用账户收到的磋商保证金为有效磋商保证金。应自行考虑汇入时间风险，如同城汇入、异地汇入、跨行汇入的时间要求。因银行等原因造成的磋商保证金入账确认时间延迟，采购机构不承担任何责任。</w:t>
      </w:r>
    </w:p>
    <w:p w14:paraId="5152B78C">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6.磋商保证金的有效期限在响应文件有效期过后30天内继续有效。</w:t>
      </w:r>
    </w:p>
    <w:p w14:paraId="0364A0A3">
      <w:pPr>
        <w:snapToGrid w:val="0"/>
        <w:spacing w:line="360" w:lineRule="auto"/>
        <w:ind w:firstLine="480" w:firstLineChars="200"/>
        <w:rPr>
          <w:rFonts w:ascii="宋体" w:hAnsi="宋体" w:cs="宋体"/>
          <w:color w:val="auto"/>
          <w:sz w:val="24"/>
          <w:szCs w:val="24"/>
        </w:rPr>
      </w:pPr>
      <w:r>
        <w:rPr>
          <w:rFonts w:hint="eastAsia" w:ascii="宋体" w:hAnsi="宋体" w:cs="宋体"/>
          <w:bCs/>
          <w:color w:val="auto"/>
          <w:sz w:val="24"/>
          <w:szCs w:val="24"/>
        </w:rPr>
        <w:t>注意事项：未在规定的时间内足额缴纳磋商保证金的，磋商保证金未从供应商单位基本账户缴入的，磋商保证金缴入账号错误的，磋商保证金来款账户名称与供应商基本账户名称不一致的，其磋商文件将被拒收。</w:t>
      </w:r>
    </w:p>
    <w:p w14:paraId="15616141">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（二）磋商保证金的退还方式：</w:t>
      </w:r>
    </w:p>
    <w:p w14:paraId="7CD2911A">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通过网上程序将磋商保证金退还到供应商的基本账户。</w:t>
      </w:r>
    </w:p>
    <w:p w14:paraId="28BDAFE6">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1.在《成交通知书》发出后五个工作日内，按资金来款渠道直接退还未成交人的磋商保证金；在采购合同签订后五个工作日内，按资金来款渠道直接退还成交人的磋商保证金。</w:t>
      </w:r>
    </w:p>
    <w:p w14:paraId="2340E834">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2.出现流标、</w:t>
      </w:r>
      <w:r>
        <w:rPr>
          <w:rFonts w:hint="eastAsia" w:ascii="宋体" w:hAnsi="宋体" w:cs="宋体"/>
          <w:color w:val="auto"/>
          <w:sz w:val="24"/>
          <w:szCs w:val="24"/>
        </w:rPr>
        <w:t>废标情况，流标、废标公告发布后三个工作日内向供应商办理保证金退还手续。同一项目采购公告再次发布后，供应商须按规定重新缴纳磋商保证金。</w:t>
      </w:r>
    </w:p>
    <w:p w14:paraId="5ED78C26">
      <w:pPr>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3.如因供应商自身原因，磋商保证金未缴入本项目专用账户导致的磋商保证金退还延迟，由供应商自行负责。</w:t>
      </w:r>
    </w:p>
    <w:p w14:paraId="143CC26F">
      <w:pPr>
        <w:pStyle w:val="3"/>
        <w:spacing w:line="360" w:lineRule="exact"/>
        <w:rPr>
          <w:b w:val="0"/>
          <w:color w:val="auto"/>
        </w:rPr>
      </w:pPr>
      <w:bookmarkStart w:id="24" w:name="_Toc14762"/>
      <w:r>
        <w:rPr>
          <w:rFonts w:hint="eastAsia"/>
          <w:b w:val="0"/>
          <w:color w:val="auto"/>
        </w:rPr>
        <w:t>五、其它有关规定</w:t>
      </w:r>
      <w:bookmarkEnd w:id="21"/>
      <w:bookmarkEnd w:id="22"/>
      <w:bookmarkEnd w:id="23"/>
      <w:bookmarkEnd w:id="24"/>
    </w:p>
    <w:p w14:paraId="3FF4A4F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（一）单位负责人为同一人或者存在直接控股、管理关系的不同供应商，不得参加同一合同项（包）下的政府采购活动，否则均为无效响应。</w:t>
      </w:r>
    </w:p>
    <w:p w14:paraId="0CD2490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5CE61F8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（三）本项目的澄清文件（如果有）一律在“行采家”平台（</w:t>
      </w:r>
      <w:r>
        <w:rPr>
          <w:rFonts w:ascii="宋体" w:hAnsi="宋体" w:cs="宋体"/>
          <w:color w:val="auto"/>
          <w:sz w:val="24"/>
          <w:szCs w:val="24"/>
        </w:rPr>
        <w:t>http://www.gec123.com）上发布，请各供应商注意下载或到采购代理机构处领取；无论供应商下载或领取与否，均视同供应商已知晓本项目澄清文件（如果有）的内容。</w:t>
      </w:r>
    </w:p>
    <w:p w14:paraId="7194D24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7567B31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（五）磋商费用：无论磋商结果如何，供应商参与本项目磋商的所有费用均应由供应商自行承担。</w:t>
      </w:r>
    </w:p>
    <w:p w14:paraId="2EBDECDE">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（六）本项目不接受联合体参与磋商，否则按无效处理。</w:t>
      </w:r>
    </w:p>
    <w:p w14:paraId="3C31905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（七）同一供应商最多可投</w:t>
      </w:r>
      <w:r>
        <w:rPr>
          <w:rFonts w:hint="default" w:ascii="宋体" w:hAnsi="宋体" w:cs="宋体"/>
          <w:color w:val="auto"/>
          <w:sz w:val="24"/>
          <w:szCs w:val="24"/>
          <w:lang w:val="en-US"/>
        </w:rPr>
        <w:t>3</w:t>
      </w:r>
      <w:r>
        <w:rPr>
          <w:rFonts w:ascii="宋体" w:hAnsi="宋体" w:cs="宋体"/>
          <w:color w:val="auto"/>
          <w:sz w:val="24"/>
          <w:szCs w:val="24"/>
        </w:rPr>
        <w:t>个包，但最多只能中标1个包。</w:t>
      </w:r>
    </w:p>
    <w:p w14:paraId="3BBE585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（八）本项目不接受合同分包转包，否则按无效处理。</w:t>
      </w:r>
    </w:p>
    <w:p w14:paraId="5B87FFD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（九）按照《财政部关于在政府采购活动中查询及使用信用记录有关问题的通知》财库〔</w:t>
      </w:r>
      <w:r>
        <w:rPr>
          <w:rFonts w:ascii="宋体" w:hAnsi="宋体" w:cs="宋体"/>
          <w:color w:val="auto"/>
          <w:sz w:val="24"/>
          <w:szCs w:val="24"/>
        </w:rPr>
        <w:t>2016〕125号，供应商列入失信被执行人、</w:t>
      </w:r>
      <w:r>
        <w:rPr>
          <w:rFonts w:hint="eastAsia" w:ascii="宋体" w:hAnsi="宋体" w:cs="宋体"/>
          <w:color w:val="auto"/>
          <w:sz w:val="24"/>
          <w:szCs w:val="24"/>
        </w:rPr>
        <w:t>发生过重大食品安全事故、</w:t>
      </w:r>
      <w:r>
        <w:rPr>
          <w:rFonts w:ascii="宋体" w:hAnsi="宋体" w:cs="宋体"/>
          <w:color w:val="auto"/>
          <w:sz w:val="24"/>
          <w:szCs w:val="24"/>
        </w:rPr>
        <w:t>重大税收违法案件当事人名单、政府采购严重违法失信行为记录名单及其他不符合《中华人民共和国政府采购法》第二十二条规定条件的供应商，将拒绝其参与政府采购活动。</w:t>
      </w:r>
    </w:p>
    <w:p w14:paraId="38329D6A">
      <w:pPr>
        <w:pStyle w:val="3"/>
        <w:spacing w:line="360" w:lineRule="exact"/>
        <w:rPr>
          <w:rFonts w:hint="eastAsia"/>
          <w:b w:val="0"/>
          <w:color w:val="auto"/>
        </w:rPr>
      </w:pPr>
      <w:bookmarkStart w:id="25" w:name="_Toc14617"/>
      <w:bookmarkStart w:id="26" w:name="_Toc14425"/>
      <w:bookmarkStart w:id="27" w:name="_Toc13008"/>
      <w:r>
        <w:rPr>
          <w:rFonts w:hint="eastAsia"/>
          <w:b w:val="0"/>
          <w:color w:val="auto"/>
          <w:lang w:val="en-US" w:eastAsia="zh-CN"/>
        </w:rPr>
        <w:t>六</w:t>
      </w:r>
      <w:r>
        <w:rPr>
          <w:rFonts w:hint="eastAsia"/>
          <w:b w:val="0"/>
          <w:color w:val="auto"/>
        </w:rPr>
        <w:t>、联系方式</w:t>
      </w:r>
      <w:bookmarkEnd w:id="25"/>
      <w:bookmarkEnd w:id="26"/>
      <w:bookmarkEnd w:id="27"/>
    </w:p>
    <w:p w14:paraId="0A28B18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（一）采购代理机构：中捷通信有限公司</w:t>
      </w:r>
    </w:p>
    <w:p w14:paraId="631330A4">
      <w:pPr>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联系人：谭稼彬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黄伟、彭跃川</w:t>
      </w:r>
    </w:p>
    <w:p w14:paraId="4F26CBFA">
      <w:pPr>
        <w:snapToGrid w:val="0"/>
        <w:spacing w:line="38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电</w:t>
      </w:r>
      <w:r>
        <w:rPr>
          <w:rFonts w:ascii="宋体" w:hAnsi="宋体" w:cs="宋体"/>
          <w:color w:val="auto"/>
          <w:sz w:val="24"/>
          <w:szCs w:val="24"/>
        </w:rPr>
        <w:t xml:space="preserve">  </w:t>
      </w:r>
      <w:r>
        <w:rPr>
          <w:rFonts w:hint="eastAsia" w:ascii="宋体" w:hAnsi="宋体" w:cs="宋体"/>
          <w:color w:val="auto"/>
          <w:sz w:val="24"/>
          <w:szCs w:val="24"/>
        </w:rPr>
        <w:t>话：</w:t>
      </w:r>
      <w:r>
        <w:rPr>
          <w:rFonts w:hint="eastAsia" w:ascii="宋体" w:hAnsi="宋体" w:cs="宋体"/>
          <w:color w:val="auto"/>
          <w:sz w:val="24"/>
          <w:szCs w:val="24"/>
          <w:lang w:val="en-US" w:eastAsia="zh-CN"/>
        </w:rPr>
        <w:t>15730407055</w:t>
      </w:r>
    </w:p>
    <w:p w14:paraId="12DC57E4">
      <w:pPr>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址：重庆市渝北区黄山大道中段67号信达国际B栋804</w:t>
      </w:r>
    </w:p>
    <w:p w14:paraId="0505F10F">
      <w:pPr>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（二）采购人：重庆文理学院</w:t>
      </w:r>
    </w:p>
    <w:p w14:paraId="26D87F07">
      <w:pPr>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联系人：周老师</w:t>
      </w:r>
      <w:r>
        <w:rPr>
          <w:rFonts w:ascii="宋体" w:hAnsi="宋体" w:cs="宋体"/>
          <w:color w:val="auto"/>
          <w:sz w:val="24"/>
          <w:szCs w:val="24"/>
        </w:rPr>
        <w:t xml:space="preserve">  </w:t>
      </w:r>
      <w:r>
        <w:rPr>
          <w:rFonts w:hint="eastAsia" w:ascii="宋体" w:hAnsi="宋体" w:cs="宋体"/>
          <w:color w:val="auto"/>
          <w:sz w:val="24"/>
          <w:szCs w:val="24"/>
        </w:rPr>
        <w:t>宫老师</w:t>
      </w:r>
    </w:p>
    <w:p w14:paraId="4E32740D">
      <w:pPr>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电</w:t>
      </w:r>
      <w:r>
        <w:rPr>
          <w:rFonts w:ascii="宋体" w:hAnsi="宋体" w:cs="宋体"/>
          <w:color w:val="auto"/>
          <w:sz w:val="24"/>
          <w:szCs w:val="24"/>
        </w:rPr>
        <w:t xml:space="preserve">  </w:t>
      </w:r>
      <w:r>
        <w:rPr>
          <w:rFonts w:hint="eastAsia" w:ascii="宋体" w:hAnsi="宋体" w:cs="宋体"/>
          <w:color w:val="auto"/>
          <w:sz w:val="24"/>
          <w:szCs w:val="24"/>
        </w:rPr>
        <w:t>话：</w:t>
      </w:r>
      <w:r>
        <w:rPr>
          <w:rFonts w:ascii="宋体" w:hAnsi="宋体" w:cs="宋体"/>
          <w:color w:val="auto"/>
          <w:sz w:val="24"/>
          <w:szCs w:val="24"/>
        </w:rPr>
        <w:t>023-49891782</w:t>
      </w:r>
    </w:p>
    <w:p w14:paraId="0448B7C3">
      <w:pPr>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w:t>
      </w:r>
      <w:r>
        <w:rPr>
          <w:rFonts w:ascii="宋体" w:hAnsi="宋体" w:cs="宋体"/>
          <w:color w:val="auto"/>
          <w:sz w:val="24"/>
          <w:szCs w:val="24"/>
        </w:rPr>
        <w:t xml:space="preserve"> </w:t>
      </w:r>
      <w:r>
        <w:rPr>
          <w:rFonts w:hint="eastAsia" w:ascii="宋体" w:hAnsi="宋体" w:cs="宋体"/>
          <w:color w:val="auto"/>
          <w:sz w:val="24"/>
          <w:szCs w:val="24"/>
        </w:rPr>
        <w:t>重庆市永川区红河大道</w:t>
      </w:r>
      <w:r>
        <w:rPr>
          <w:rFonts w:ascii="宋体" w:hAnsi="宋体" w:cs="宋体"/>
          <w:color w:val="auto"/>
          <w:sz w:val="24"/>
          <w:szCs w:val="24"/>
        </w:rPr>
        <w:t>319号</w:t>
      </w:r>
    </w:p>
    <w:p w14:paraId="1AEEE99F">
      <w:pPr>
        <w:rPr>
          <w:rFonts w:ascii="宋体" w:hAnsi="宋体" w:cs="宋体"/>
          <w:color w:val="auto"/>
        </w:rPr>
      </w:pPr>
      <w:r>
        <w:rPr>
          <w:rFonts w:ascii="宋体" w:hAnsi="宋体" w:cs="宋体"/>
          <w:color w:val="auto"/>
        </w:rPr>
        <w:br w:type="page"/>
      </w:r>
    </w:p>
    <w:p w14:paraId="62E85E4D">
      <w:pPr>
        <w:pStyle w:val="42"/>
        <w:rPr>
          <w:rFonts w:ascii="宋体" w:hAnsi="宋体" w:cs="宋体"/>
          <w:color w:val="auto"/>
          <w:highlight w:val="yellow"/>
        </w:rPr>
        <w:sectPr>
          <w:headerReference r:id="rId8" w:type="default"/>
          <w:footerReference r:id="rId9" w:type="default"/>
          <w:pgSz w:w="11907" w:h="16840"/>
          <w:pgMar w:top="1134" w:right="1418" w:bottom="1134" w:left="1418" w:header="964" w:footer="992" w:gutter="0"/>
          <w:pgNumType w:fmt="numberInDash"/>
          <w:cols w:space="720" w:num="1"/>
          <w:docGrid w:linePitch="312" w:charSpace="0"/>
        </w:sectPr>
      </w:pPr>
    </w:p>
    <w:p w14:paraId="4C35F74C">
      <w:pPr>
        <w:pStyle w:val="2"/>
        <w:jc w:val="center"/>
        <w:rPr>
          <w:color w:val="auto"/>
          <w:sz w:val="32"/>
          <w:szCs w:val="32"/>
        </w:rPr>
      </w:pPr>
      <w:bookmarkStart w:id="28" w:name="_Toc13255"/>
      <w:bookmarkStart w:id="29" w:name="_Toc29642"/>
      <w:bookmarkStart w:id="30" w:name="_Toc20289"/>
      <w:r>
        <w:rPr>
          <w:rFonts w:hint="eastAsia"/>
          <w:color w:val="auto"/>
          <w:sz w:val="32"/>
          <w:szCs w:val="32"/>
        </w:rPr>
        <w:t>第二篇</w:t>
      </w:r>
      <w:r>
        <w:rPr>
          <w:color w:val="auto"/>
          <w:sz w:val="32"/>
          <w:szCs w:val="32"/>
        </w:rPr>
        <w:t xml:space="preserve">  </w:t>
      </w:r>
      <w:r>
        <w:rPr>
          <w:rFonts w:hint="eastAsia"/>
          <w:color w:val="auto"/>
          <w:sz w:val="32"/>
          <w:szCs w:val="32"/>
        </w:rPr>
        <w:t>采购服务需求</w:t>
      </w:r>
      <w:bookmarkEnd w:id="28"/>
      <w:bookmarkEnd w:id="29"/>
      <w:bookmarkEnd w:id="30"/>
    </w:p>
    <w:p w14:paraId="3E0F2C13">
      <w:pPr>
        <w:spacing w:line="400" w:lineRule="exact"/>
        <w:ind w:firstLine="480" w:firstLineChars="200"/>
        <w:rPr>
          <w:rFonts w:ascii="宋体" w:hAnsi="宋体" w:cs="宋体"/>
          <w:color w:val="auto"/>
          <w:sz w:val="24"/>
          <w:szCs w:val="24"/>
        </w:rPr>
      </w:pPr>
      <w:bookmarkStart w:id="31" w:name="_Toc76462325"/>
      <w:r>
        <w:rPr>
          <w:rFonts w:hint="eastAsia" w:ascii="宋体" w:hAnsi="宋体" w:cs="宋体"/>
          <w:color w:val="auto"/>
          <w:sz w:val="24"/>
          <w:szCs w:val="24"/>
        </w:rPr>
        <w:t>“</w:t>
      </w:r>
      <w:r>
        <w:rPr>
          <w:rFonts w:ascii="宋体" w:hAnsi="宋体" w:cs="宋体"/>
          <w:color w:val="auto"/>
          <w:sz w:val="24"/>
          <w:szCs w:val="24"/>
        </w:rPr>
        <w:t>*”标注的服务需求为符合性审查中的实质性要求，若不</w:t>
      </w:r>
      <w:r>
        <w:rPr>
          <w:rFonts w:hint="eastAsia" w:ascii="宋体" w:hAnsi="宋体" w:cs="宋体"/>
          <w:color w:val="auto"/>
          <w:sz w:val="24"/>
          <w:szCs w:val="24"/>
        </w:rPr>
        <w:t>满足按无效投标处理。</w:t>
      </w:r>
    </w:p>
    <w:bookmarkEnd w:id="31"/>
    <w:p w14:paraId="341C0ADE">
      <w:pPr>
        <w:rPr>
          <w:rFonts w:ascii="宋体" w:hAnsi="宋体" w:cs="宋体"/>
          <w:color w:val="auto"/>
        </w:rPr>
      </w:pPr>
    </w:p>
    <w:p w14:paraId="217B5293">
      <w:pPr>
        <w:pStyle w:val="3"/>
        <w:spacing w:line="400" w:lineRule="exact"/>
        <w:rPr>
          <w:b w:val="0"/>
          <w:color w:val="auto"/>
        </w:rPr>
      </w:pPr>
      <w:bookmarkStart w:id="32" w:name="_Toc27083"/>
      <w:bookmarkStart w:id="33" w:name="_Toc3558"/>
      <w:bookmarkStart w:id="34" w:name="_Toc3350"/>
      <w:bookmarkStart w:id="35" w:name="_Toc2393"/>
      <w:bookmarkStart w:id="36" w:name="_Toc12789058"/>
      <w:bookmarkStart w:id="37" w:name="_Toc23813"/>
      <w:r>
        <w:rPr>
          <w:rFonts w:hint="eastAsia"/>
          <w:b w:val="0"/>
          <w:color w:val="auto"/>
        </w:rPr>
        <w:t>一、项目基本概况介绍</w:t>
      </w:r>
      <w:bookmarkEnd w:id="32"/>
      <w:bookmarkEnd w:id="33"/>
    </w:p>
    <w:p w14:paraId="4E0E0A1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项目名称：重庆文理学院学生食堂委托经营</w:t>
      </w:r>
    </w:p>
    <w:tbl>
      <w:tblPr>
        <w:tblStyle w:val="59"/>
        <w:tblW w:w="3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510"/>
        <w:gridCol w:w="2282"/>
        <w:gridCol w:w="2132"/>
      </w:tblGrid>
      <w:tr w14:paraId="43D4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5" w:type="dxa"/>
            <w:vAlign w:val="center"/>
          </w:tcPr>
          <w:p w14:paraId="0693A205">
            <w:pPr>
              <w:spacing w:line="320" w:lineRule="exact"/>
              <w:jc w:val="center"/>
              <w:rPr>
                <w:rFonts w:ascii="宋体" w:hAnsi="宋体" w:cs="宋体"/>
                <w:color w:val="auto"/>
                <w:sz w:val="21"/>
                <w:szCs w:val="21"/>
              </w:rPr>
            </w:pPr>
            <w:r>
              <w:rPr>
                <w:rFonts w:hint="eastAsia" w:ascii="宋体" w:hAnsi="宋体" w:cs="宋体"/>
                <w:color w:val="auto"/>
                <w:sz w:val="21"/>
                <w:szCs w:val="21"/>
              </w:rPr>
              <w:t>包号</w:t>
            </w:r>
          </w:p>
        </w:tc>
        <w:tc>
          <w:tcPr>
            <w:tcW w:w="2510" w:type="dxa"/>
            <w:vAlign w:val="center"/>
          </w:tcPr>
          <w:p w14:paraId="5BF749E1">
            <w:pPr>
              <w:spacing w:line="320" w:lineRule="exact"/>
              <w:jc w:val="center"/>
              <w:rPr>
                <w:rFonts w:ascii="宋体" w:hAnsi="宋体" w:cs="宋体"/>
                <w:color w:val="auto"/>
                <w:sz w:val="21"/>
                <w:szCs w:val="21"/>
              </w:rPr>
            </w:pPr>
            <w:r>
              <w:rPr>
                <w:rFonts w:hint="eastAsia" w:ascii="宋体" w:hAnsi="宋体" w:cs="宋体"/>
                <w:color w:val="auto"/>
                <w:sz w:val="21"/>
                <w:szCs w:val="21"/>
              </w:rPr>
              <w:t>项目名称</w:t>
            </w:r>
          </w:p>
        </w:tc>
        <w:tc>
          <w:tcPr>
            <w:tcW w:w="2282" w:type="dxa"/>
            <w:vAlign w:val="center"/>
          </w:tcPr>
          <w:p w14:paraId="73CF6BAC">
            <w:pPr>
              <w:spacing w:line="320" w:lineRule="exact"/>
              <w:jc w:val="center"/>
              <w:rPr>
                <w:rFonts w:ascii="宋体" w:hAnsi="宋体" w:cs="宋体"/>
                <w:color w:val="auto"/>
                <w:sz w:val="21"/>
                <w:szCs w:val="21"/>
              </w:rPr>
            </w:pPr>
            <w:r>
              <w:rPr>
                <w:rFonts w:hint="eastAsia" w:ascii="宋体" w:hAnsi="宋体" w:cs="宋体"/>
                <w:color w:val="auto"/>
                <w:sz w:val="21"/>
                <w:szCs w:val="21"/>
              </w:rPr>
              <w:t>建筑面积</w:t>
            </w:r>
          </w:p>
          <w:p w14:paraId="790EC6B2">
            <w:pPr>
              <w:spacing w:line="320" w:lineRule="exact"/>
              <w:jc w:val="center"/>
              <w:rPr>
                <w:rFonts w:ascii="宋体" w:hAnsi="宋体" w:cs="宋体"/>
                <w:color w:val="auto"/>
                <w:sz w:val="21"/>
                <w:szCs w:val="21"/>
              </w:rPr>
            </w:pPr>
            <w:r>
              <w:rPr>
                <w:rFonts w:hint="eastAsia" w:ascii="宋体" w:hAnsi="宋体" w:cs="宋体"/>
                <w:color w:val="auto"/>
                <w:sz w:val="21"/>
                <w:szCs w:val="21"/>
              </w:rPr>
              <w:t>（㎡）</w:t>
            </w:r>
          </w:p>
        </w:tc>
        <w:tc>
          <w:tcPr>
            <w:tcW w:w="2132" w:type="dxa"/>
            <w:vAlign w:val="center"/>
          </w:tcPr>
          <w:p w14:paraId="2EBA5CBF">
            <w:pPr>
              <w:spacing w:line="320" w:lineRule="exact"/>
              <w:jc w:val="center"/>
              <w:rPr>
                <w:rFonts w:ascii="宋体" w:hAnsi="宋体" w:cs="宋体"/>
                <w:color w:val="auto"/>
                <w:sz w:val="21"/>
                <w:szCs w:val="21"/>
              </w:rPr>
            </w:pPr>
            <w:r>
              <w:rPr>
                <w:rFonts w:hint="eastAsia" w:ascii="宋体" w:hAnsi="宋体"/>
                <w:color w:val="auto"/>
                <w:sz w:val="21"/>
                <w:szCs w:val="21"/>
              </w:rPr>
              <w:t>委托经营</w:t>
            </w:r>
            <w:r>
              <w:rPr>
                <w:rFonts w:hint="eastAsia" w:ascii="宋体" w:hAnsi="宋体" w:cs="宋体"/>
                <w:color w:val="auto"/>
                <w:sz w:val="21"/>
                <w:szCs w:val="21"/>
              </w:rPr>
              <w:t>期限</w:t>
            </w:r>
          </w:p>
          <w:p w14:paraId="5182D894">
            <w:pPr>
              <w:spacing w:line="320" w:lineRule="exact"/>
              <w:jc w:val="center"/>
              <w:rPr>
                <w:rFonts w:ascii="宋体" w:hAnsi="宋体" w:cs="宋体"/>
                <w:color w:val="auto"/>
                <w:sz w:val="21"/>
                <w:szCs w:val="21"/>
              </w:rPr>
            </w:pPr>
            <w:r>
              <w:rPr>
                <w:rFonts w:hint="eastAsia" w:ascii="宋体" w:hAnsi="宋体" w:cs="宋体"/>
                <w:color w:val="auto"/>
                <w:sz w:val="21"/>
                <w:szCs w:val="21"/>
              </w:rPr>
              <w:t>（截止日期）</w:t>
            </w:r>
          </w:p>
        </w:tc>
      </w:tr>
      <w:tr w14:paraId="51BF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5" w:type="dxa"/>
            <w:vAlign w:val="center"/>
          </w:tcPr>
          <w:p w14:paraId="20333617">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1</w:t>
            </w:r>
          </w:p>
        </w:tc>
        <w:tc>
          <w:tcPr>
            <w:tcW w:w="2510" w:type="dxa"/>
            <w:shd w:val="clear" w:color="auto" w:fill="auto"/>
            <w:vAlign w:val="center"/>
          </w:tcPr>
          <w:p w14:paraId="31446347">
            <w:pPr>
              <w:jc w:val="center"/>
              <w:rPr>
                <w:rFonts w:ascii="宋体" w:hAnsi="宋体"/>
                <w:color w:val="auto"/>
                <w:sz w:val="21"/>
                <w:szCs w:val="21"/>
              </w:rPr>
            </w:pPr>
            <w:r>
              <w:rPr>
                <w:rFonts w:hint="eastAsia" w:ascii="宋体" w:hAnsi="宋体"/>
                <w:color w:val="auto"/>
                <w:sz w:val="21"/>
                <w:szCs w:val="21"/>
              </w:rPr>
              <w:t>红河</w:t>
            </w:r>
            <w:r>
              <w:rPr>
                <w:rFonts w:ascii="宋体" w:hAnsi="宋体"/>
                <w:color w:val="auto"/>
                <w:sz w:val="21"/>
                <w:szCs w:val="21"/>
              </w:rPr>
              <w:t>B区</w:t>
            </w:r>
            <w:r>
              <w:rPr>
                <w:rFonts w:hint="eastAsia" w:ascii="宋体" w:hAnsi="宋体"/>
                <w:color w:val="auto"/>
                <w:sz w:val="21"/>
                <w:szCs w:val="21"/>
              </w:rPr>
              <w:t>知味楼一楼食堂委托经营</w:t>
            </w:r>
          </w:p>
        </w:tc>
        <w:tc>
          <w:tcPr>
            <w:tcW w:w="2282" w:type="dxa"/>
            <w:vAlign w:val="center"/>
          </w:tcPr>
          <w:p w14:paraId="3CC17969">
            <w:pPr>
              <w:spacing w:line="320" w:lineRule="exact"/>
              <w:jc w:val="center"/>
              <w:rPr>
                <w:rFonts w:ascii="宋体" w:hAnsi="宋体" w:cs="宋体"/>
                <w:color w:val="auto"/>
                <w:sz w:val="21"/>
                <w:szCs w:val="21"/>
              </w:rPr>
            </w:pPr>
            <w:r>
              <w:rPr>
                <w:rFonts w:ascii="宋体" w:hAnsi="宋体" w:cs="宋体"/>
                <w:color w:val="auto"/>
                <w:sz w:val="21"/>
                <w:szCs w:val="21"/>
              </w:rPr>
              <w:t>3266m</w:t>
            </w:r>
            <w:r>
              <w:rPr>
                <w:rFonts w:ascii="宋体" w:hAnsi="宋体" w:cs="宋体"/>
                <w:color w:val="auto"/>
                <w:sz w:val="21"/>
                <w:szCs w:val="21"/>
                <w:vertAlign w:val="superscript"/>
              </w:rPr>
              <w:t>2</w:t>
            </w:r>
            <w:r>
              <w:rPr>
                <w:rFonts w:hint="eastAsia" w:ascii="宋体" w:hAnsi="宋体"/>
                <w:color w:val="auto"/>
                <w:sz w:val="21"/>
                <w:szCs w:val="21"/>
              </w:rPr>
              <w:t>（以实际勘察为准）</w:t>
            </w:r>
          </w:p>
        </w:tc>
        <w:tc>
          <w:tcPr>
            <w:tcW w:w="2132" w:type="dxa"/>
            <w:vAlign w:val="center"/>
          </w:tcPr>
          <w:p w14:paraId="550DD6F6">
            <w:pPr>
              <w:spacing w:line="320" w:lineRule="exact"/>
              <w:jc w:val="center"/>
              <w:rPr>
                <w:rFonts w:ascii="宋体" w:hAnsi="宋体" w:cs="宋体"/>
                <w:color w:val="auto"/>
                <w:sz w:val="21"/>
                <w:szCs w:val="21"/>
              </w:rPr>
            </w:pPr>
            <w:r>
              <w:rPr>
                <w:rFonts w:ascii="宋体" w:hAnsi="宋体" w:cs="宋体"/>
                <w:color w:val="auto"/>
                <w:sz w:val="21"/>
                <w:szCs w:val="21"/>
              </w:rPr>
              <w:t>2030年7月10日</w:t>
            </w:r>
          </w:p>
        </w:tc>
      </w:tr>
      <w:tr w14:paraId="5D1F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5" w:type="dxa"/>
            <w:vAlign w:val="center"/>
          </w:tcPr>
          <w:p w14:paraId="717F56A9">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2</w:t>
            </w:r>
          </w:p>
        </w:tc>
        <w:tc>
          <w:tcPr>
            <w:tcW w:w="2510" w:type="dxa"/>
            <w:shd w:val="clear" w:color="auto" w:fill="auto"/>
            <w:vAlign w:val="center"/>
          </w:tcPr>
          <w:p w14:paraId="38DAB20C">
            <w:pPr>
              <w:jc w:val="center"/>
              <w:rPr>
                <w:rFonts w:ascii="宋体" w:hAnsi="宋体"/>
                <w:color w:val="auto"/>
                <w:sz w:val="21"/>
                <w:szCs w:val="21"/>
              </w:rPr>
            </w:pPr>
            <w:r>
              <w:rPr>
                <w:rFonts w:hint="eastAsia" w:ascii="宋体" w:hAnsi="宋体"/>
                <w:color w:val="auto"/>
                <w:sz w:val="21"/>
                <w:szCs w:val="21"/>
              </w:rPr>
              <w:t>红河</w:t>
            </w:r>
            <w:r>
              <w:rPr>
                <w:rFonts w:ascii="宋体" w:hAnsi="宋体"/>
                <w:color w:val="auto"/>
                <w:sz w:val="21"/>
                <w:szCs w:val="21"/>
              </w:rPr>
              <w:t>B区知味楼二楼特色食堂（含二楼教工餐厅）、三楼接待餐厅委托经营</w:t>
            </w:r>
          </w:p>
        </w:tc>
        <w:tc>
          <w:tcPr>
            <w:tcW w:w="2282" w:type="dxa"/>
            <w:vAlign w:val="center"/>
          </w:tcPr>
          <w:p w14:paraId="4EAB040D">
            <w:pPr>
              <w:spacing w:line="320" w:lineRule="exact"/>
              <w:jc w:val="center"/>
              <w:rPr>
                <w:rFonts w:ascii="宋体" w:hAnsi="宋体" w:cs="宋体"/>
                <w:color w:val="auto"/>
                <w:sz w:val="21"/>
                <w:szCs w:val="21"/>
              </w:rPr>
            </w:pPr>
            <w:r>
              <w:rPr>
                <w:rFonts w:ascii="宋体" w:hAnsi="宋体" w:cs="宋体"/>
                <w:color w:val="auto"/>
                <w:sz w:val="21"/>
                <w:szCs w:val="21"/>
              </w:rPr>
              <w:t>4000m</w:t>
            </w:r>
            <w:r>
              <w:rPr>
                <w:rFonts w:ascii="宋体" w:hAnsi="宋体" w:cs="宋体"/>
                <w:color w:val="auto"/>
                <w:sz w:val="21"/>
                <w:szCs w:val="21"/>
                <w:vertAlign w:val="superscript"/>
              </w:rPr>
              <w:t>2</w:t>
            </w:r>
            <w:r>
              <w:rPr>
                <w:rFonts w:hint="eastAsia" w:ascii="宋体" w:hAnsi="宋体"/>
                <w:color w:val="auto"/>
                <w:sz w:val="21"/>
                <w:szCs w:val="21"/>
              </w:rPr>
              <w:t>（以实际勘察为准）</w:t>
            </w:r>
          </w:p>
        </w:tc>
        <w:tc>
          <w:tcPr>
            <w:tcW w:w="2132" w:type="dxa"/>
            <w:shd w:val="clear" w:color="auto" w:fill="auto"/>
            <w:vAlign w:val="center"/>
          </w:tcPr>
          <w:p w14:paraId="629B4B1D">
            <w:pPr>
              <w:spacing w:line="320" w:lineRule="exact"/>
              <w:jc w:val="center"/>
              <w:rPr>
                <w:rFonts w:ascii="宋体" w:hAnsi="宋体" w:cs="宋体"/>
                <w:color w:val="auto"/>
                <w:sz w:val="21"/>
                <w:szCs w:val="21"/>
              </w:rPr>
            </w:pPr>
            <w:r>
              <w:rPr>
                <w:rFonts w:ascii="宋体" w:hAnsi="宋体" w:cs="宋体"/>
                <w:color w:val="auto"/>
                <w:sz w:val="21"/>
                <w:szCs w:val="21"/>
              </w:rPr>
              <w:t>2030年7月10日</w:t>
            </w:r>
          </w:p>
        </w:tc>
      </w:tr>
      <w:tr w14:paraId="14F2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5" w:type="dxa"/>
            <w:vAlign w:val="center"/>
          </w:tcPr>
          <w:p w14:paraId="7CE07270">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3</w:t>
            </w:r>
          </w:p>
        </w:tc>
        <w:tc>
          <w:tcPr>
            <w:tcW w:w="2510" w:type="dxa"/>
            <w:shd w:val="clear" w:color="auto" w:fill="auto"/>
            <w:vAlign w:val="center"/>
          </w:tcPr>
          <w:p w14:paraId="794A89FD">
            <w:pPr>
              <w:jc w:val="center"/>
              <w:rPr>
                <w:rFonts w:ascii="宋体" w:hAnsi="宋体"/>
                <w:color w:val="auto"/>
                <w:sz w:val="21"/>
                <w:szCs w:val="21"/>
              </w:rPr>
            </w:pPr>
            <w:r>
              <w:rPr>
                <w:rFonts w:hint="eastAsia" w:ascii="宋体" w:hAnsi="宋体"/>
                <w:color w:val="auto"/>
                <w:sz w:val="21"/>
                <w:szCs w:val="21"/>
              </w:rPr>
              <w:t>红河</w:t>
            </w:r>
            <w:r>
              <w:rPr>
                <w:rFonts w:ascii="宋体" w:hAnsi="宋体"/>
                <w:color w:val="auto"/>
                <w:sz w:val="21"/>
                <w:szCs w:val="21"/>
              </w:rPr>
              <w:t>A</w:t>
            </w:r>
            <w:r>
              <w:rPr>
                <w:rFonts w:hint="eastAsia" w:ascii="宋体" w:hAnsi="宋体"/>
                <w:color w:val="auto"/>
                <w:sz w:val="21"/>
                <w:szCs w:val="21"/>
              </w:rPr>
              <w:t>区知善楼一、二楼食堂委托经营</w:t>
            </w:r>
          </w:p>
        </w:tc>
        <w:tc>
          <w:tcPr>
            <w:tcW w:w="2282" w:type="dxa"/>
            <w:shd w:val="clear" w:color="auto" w:fill="auto"/>
            <w:vAlign w:val="center"/>
          </w:tcPr>
          <w:p w14:paraId="42AFAA78">
            <w:pPr>
              <w:spacing w:line="320" w:lineRule="exact"/>
              <w:jc w:val="center"/>
              <w:rPr>
                <w:rFonts w:ascii="宋体" w:hAnsi="宋体"/>
                <w:color w:val="auto"/>
                <w:sz w:val="21"/>
                <w:szCs w:val="21"/>
              </w:rPr>
            </w:pPr>
            <w:r>
              <w:rPr>
                <w:rFonts w:ascii="宋体" w:hAnsi="宋体"/>
                <w:color w:val="auto"/>
                <w:sz w:val="21"/>
                <w:szCs w:val="21"/>
              </w:rPr>
              <w:t>6400</w:t>
            </w:r>
            <w:r>
              <w:rPr>
                <w:rFonts w:ascii="宋体" w:hAnsi="宋体" w:cs="宋体"/>
                <w:color w:val="auto"/>
                <w:sz w:val="21"/>
                <w:szCs w:val="21"/>
              </w:rPr>
              <w:t>m</w:t>
            </w:r>
            <w:r>
              <w:rPr>
                <w:rFonts w:ascii="宋体" w:hAnsi="宋体" w:cs="宋体"/>
                <w:color w:val="auto"/>
                <w:sz w:val="21"/>
                <w:szCs w:val="21"/>
                <w:vertAlign w:val="superscript"/>
              </w:rPr>
              <w:t>2</w:t>
            </w:r>
          </w:p>
          <w:p w14:paraId="73FB048D">
            <w:pPr>
              <w:jc w:val="center"/>
              <w:rPr>
                <w:rFonts w:ascii="宋体" w:hAnsi="宋体"/>
                <w:color w:val="auto"/>
                <w:sz w:val="21"/>
                <w:szCs w:val="21"/>
                <w:vertAlign w:val="superscript"/>
              </w:rPr>
            </w:pPr>
            <w:r>
              <w:rPr>
                <w:rFonts w:hint="eastAsia" w:ascii="宋体" w:hAnsi="宋体"/>
                <w:color w:val="auto"/>
                <w:sz w:val="21"/>
                <w:szCs w:val="21"/>
              </w:rPr>
              <w:t>（其中</w:t>
            </w:r>
            <w:r>
              <w:rPr>
                <w:rFonts w:ascii="宋体" w:hAnsi="宋体"/>
                <w:color w:val="auto"/>
                <w:sz w:val="21"/>
                <w:szCs w:val="21"/>
              </w:rPr>
              <w:t>A</w:t>
            </w:r>
            <w:r>
              <w:rPr>
                <w:rFonts w:hint="eastAsia" w:ascii="宋体" w:hAnsi="宋体"/>
                <w:color w:val="auto"/>
                <w:sz w:val="21"/>
                <w:szCs w:val="21"/>
              </w:rPr>
              <w:t>区知善楼一二楼食堂</w:t>
            </w:r>
            <w:r>
              <w:rPr>
                <w:rFonts w:ascii="宋体" w:hAnsi="宋体"/>
                <w:color w:val="auto"/>
                <w:sz w:val="21"/>
                <w:szCs w:val="21"/>
              </w:rPr>
              <w:t>6400</w:t>
            </w:r>
            <w:r>
              <w:rPr>
                <w:rFonts w:ascii="宋体" w:hAnsi="宋体" w:cs="宋体"/>
                <w:color w:val="auto"/>
                <w:sz w:val="21"/>
                <w:szCs w:val="21"/>
              </w:rPr>
              <w:t>m</w:t>
            </w:r>
            <w:r>
              <w:rPr>
                <w:rFonts w:ascii="宋体" w:hAnsi="宋体" w:cs="宋体"/>
                <w:color w:val="auto"/>
                <w:sz w:val="21"/>
                <w:szCs w:val="21"/>
                <w:vertAlign w:val="superscript"/>
              </w:rPr>
              <w:t>2</w:t>
            </w:r>
            <w:r>
              <w:rPr>
                <w:rFonts w:ascii="宋体" w:hAnsi="宋体"/>
                <w:color w:val="auto"/>
                <w:sz w:val="21"/>
                <w:szCs w:val="21"/>
                <w:vertAlign w:val="superscript"/>
              </w:rPr>
              <w:t xml:space="preserve"> </w:t>
            </w:r>
          </w:p>
          <w:p w14:paraId="2EA64E27">
            <w:pPr>
              <w:spacing w:line="320" w:lineRule="exact"/>
              <w:jc w:val="center"/>
              <w:rPr>
                <w:rFonts w:ascii="宋体" w:hAnsi="宋体" w:cs="宋体"/>
                <w:color w:val="auto"/>
                <w:sz w:val="21"/>
                <w:szCs w:val="21"/>
              </w:rPr>
            </w:pPr>
            <w:r>
              <w:rPr>
                <w:rFonts w:hint="eastAsia" w:ascii="宋体" w:hAnsi="宋体"/>
                <w:color w:val="auto"/>
                <w:sz w:val="21"/>
                <w:szCs w:val="21"/>
              </w:rPr>
              <w:t>（以实际勘察为准）</w:t>
            </w:r>
          </w:p>
        </w:tc>
        <w:tc>
          <w:tcPr>
            <w:tcW w:w="2132" w:type="dxa"/>
            <w:vAlign w:val="center"/>
          </w:tcPr>
          <w:p w14:paraId="716BEE75">
            <w:pPr>
              <w:spacing w:line="320" w:lineRule="exact"/>
              <w:jc w:val="center"/>
              <w:rPr>
                <w:rFonts w:ascii="宋体" w:hAnsi="宋体" w:cs="宋体"/>
                <w:color w:val="auto"/>
                <w:sz w:val="21"/>
                <w:szCs w:val="21"/>
              </w:rPr>
            </w:pPr>
            <w:r>
              <w:rPr>
                <w:rFonts w:ascii="宋体" w:hAnsi="宋体" w:cs="宋体"/>
                <w:color w:val="auto"/>
                <w:sz w:val="21"/>
                <w:szCs w:val="21"/>
              </w:rPr>
              <w:t>2030年7月10日</w:t>
            </w:r>
          </w:p>
        </w:tc>
      </w:tr>
      <w:tr w14:paraId="607D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45" w:type="dxa"/>
            <w:vAlign w:val="center"/>
          </w:tcPr>
          <w:p w14:paraId="18E6A1F4">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4</w:t>
            </w:r>
          </w:p>
        </w:tc>
        <w:tc>
          <w:tcPr>
            <w:tcW w:w="2510" w:type="dxa"/>
            <w:vAlign w:val="center"/>
          </w:tcPr>
          <w:p w14:paraId="48A03616">
            <w:pPr>
              <w:jc w:val="center"/>
              <w:rPr>
                <w:rFonts w:ascii="宋体" w:hAnsi="宋体"/>
                <w:color w:val="auto"/>
                <w:sz w:val="21"/>
                <w:szCs w:val="21"/>
              </w:rPr>
            </w:pPr>
            <w:r>
              <w:rPr>
                <w:rFonts w:hint="eastAsia" w:ascii="宋体" w:hAnsi="宋体"/>
                <w:color w:val="auto"/>
                <w:sz w:val="21"/>
                <w:szCs w:val="21"/>
              </w:rPr>
              <w:t>红河</w:t>
            </w:r>
            <w:r>
              <w:rPr>
                <w:rFonts w:ascii="宋体" w:hAnsi="宋体"/>
                <w:color w:val="auto"/>
                <w:sz w:val="21"/>
                <w:szCs w:val="21"/>
              </w:rPr>
              <w:t>A校区三食堂（含教工餐厅）委托经营</w:t>
            </w:r>
          </w:p>
        </w:tc>
        <w:tc>
          <w:tcPr>
            <w:tcW w:w="2282" w:type="dxa"/>
            <w:vAlign w:val="center"/>
          </w:tcPr>
          <w:p w14:paraId="6D95B029">
            <w:pPr>
              <w:spacing w:line="240" w:lineRule="exact"/>
              <w:jc w:val="center"/>
              <w:rPr>
                <w:rFonts w:ascii="宋体" w:hAnsi="宋体" w:cs="宋体"/>
                <w:color w:val="auto"/>
                <w:sz w:val="21"/>
                <w:szCs w:val="21"/>
              </w:rPr>
            </w:pPr>
            <w:r>
              <w:rPr>
                <w:rFonts w:ascii="宋体" w:hAnsi="宋体" w:cs="宋体"/>
                <w:color w:val="auto"/>
                <w:sz w:val="21"/>
                <w:szCs w:val="21"/>
              </w:rPr>
              <w:t>5000㎡</w:t>
            </w:r>
            <w:r>
              <w:rPr>
                <w:rFonts w:hint="eastAsia" w:ascii="宋体" w:hAnsi="宋体"/>
                <w:color w:val="auto"/>
                <w:sz w:val="21"/>
                <w:szCs w:val="21"/>
              </w:rPr>
              <w:t>（以实际勘察为准）</w:t>
            </w:r>
          </w:p>
          <w:p w14:paraId="344E226F">
            <w:pPr>
              <w:spacing w:line="240" w:lineRule="exact"/>
              <w:jc w:val="center"/>
              <w:rPr>
                <w:rFonts w:ascii="宋体" w:hAnsi="宋体" w:cs="宋体"/>
                <w:color w:val="auto"/>
                <w:sz w:val="21"/>
                <w:szCs w:val="21"/>
              </w:rPr>
            </w:pPr>
          </w:p>
        </w:tc>
        <w:tc>
          <w:tcPr>
            <w:tcW w:w="2132" w:type="dxa"/>
            <w:vAlign w:val="center"/>
          </w:tcPr>
          <w:p w14:paraId="35CC431C">
            <w:pPr>
              <w:spacing w:line="320" w:lineRule="exact"/>
              <w:jc w:val="center"/>
              <w:rPr>
                <w:rFonts w:ascii="宋体" w:hAnsi="宋体" w:cs="宋体"/>
                <w:color w:val="auto"/>
                <w:sz w:val="21"/>
                <w:szCs w:val="21"/>
              </w:rPr>
            </w:pPr>
            <w:r>
              <w:rPr>
                <w:rFonts w:ascii="宋体" w:hAnsi="宋体" w:cs="宋体"/>
                <w:color w:val="auto"/>
                <w:sz w:val="21"/>
                <w:szCs w:val="21"/>
              </w:rPr>
              <w:t>2030年7月10日</w:t>
            </w:r>
          </w:p>
        </w:tc>
      </w:tr>
      <w:tr w14:paraId="7496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745" w:type="dxa"/>
            <w:vAlign w:val="center"/>
          </w:tcPr>
          <w:p w14:paraId="0DD912DA">
            <w:pPr>
              <w:spacing w:line="320" w:lineRule="exact"/>
              <w:jc w:val="center"/>
              <w:rPr>
                <w:rFonts w:ascii="宋体" w:hAnsi="宋体" w:cs="宋体"/>
                <w:color w:val="auto"/>
                <w:sz w:val="21"/>
                <w:szCs w:val="21"/>
              </w:rPr>
            </w:pPr>
            <w:r>
              <w:rPr>
                <w:rFonts w:hint="eastAsia" w:ascii="宋体" w:hAnsi="宋体" w:cs="宋体"/>
                <w:color w:val="auto"/>
                <w:sz w:val="21"/>
                <w:szCs w:val="21"/>
              </w:rPr>
              <w:t>包</w:t>
            </w:r>
            <w:r>
              <w:rPr>
                <w:rFonts w:ascii="宋体" w:hAnsi="宋体" w:cs="宋体"/>
                <w:color w:val="auto"/>
                <w:sz w:val="21"/>
                <w:szCs w:val="21"/>
              </w:rPr>
              <w:t>5</w:t>
            </w:r>
          </w:p>
        </w:tc>
        <w:tc>
          <w:tcPr>
            <w:tcW w:w="2510" w:type="dxa"/>
            <w:vAlign w:val="center"/>
          </w:tcPr>
          <w:p w14:paraId="78FA64A4">
            <w:pPr>
              <w:jc w:val="center"/>
              <w:rPr>
                <w:rFonts w:ascii="宋体" w:hAnsi="宋体"/>
                <w:color w:val="auto"/>
                <w:sz w:val="21"/>
                <w:szCs w:val="21"/>
              </w:rPr>
            </w:pPr>
            <w:r>
              <w:rPr>
                <w:rFonts w:hint="eastAsia" w:ascii="宋体" w:hAnsi="宋体"/>
                <w:color w:val="auto"/>
                <w:sz w:val="21"/>
                <w:szCs w:val="21"/>
              </w:rPr>
              <w:t>星湖校区知和楼一、二楼食堂（含教工餐厅）及学聚苑食堂委托经营</w:t>
            </w:r>
          </w:p>
        </w:tc>
        <w:tc>
          <w:tcPr>
            <w:tcW w:w="2282" w:type="dxa"/>
            <w:vAlign w:val="center"/>
          </w:tcPr>
          <w:p w14:paraId="3F1299E2">
            <w:pPr>
              <w:spacing w:line="240" w:lineRule="exact"/>
              <w:jc w:val="center"/>
              <w:rPr>
                <w:rFonts w:ascii="宋体" w:hAnsi="宋体"/>
                <w:color w:val="auto"/>
                <w:sz w:val="21"/>
                <w:szCs w:val="21"/>
              </w:rPr>
            </w:pPr>
            <w:r>
              <w:rPr>
                <w:rFonts w:ascii="宋体" w:hAnsi="宋体" w:cs="宋体"/>
                <w:color w:val="auto"/>
                <w:sz w:val="21"/>
                <w:szCs w:val="21"/>
              </w:rPr>
              <w:t>6052㎡</w:t>
            </w:r>
          </w:p>
          <w:p w14:paraId="0645AAEF">
            <w:pPr>
              <w:spacing w:line="240" w:lineRule="exact"/>
              <w:jc w:val="center"/>
              <w:rPr>
                <w:rFonts w:ascii="宋体" w:hAnsi="宋体"/>
                <w:color w:val="auto"/>
                <w:sz w:val="21"/>
                <w:szCs w:val="21"/>
              </w:rPr>
            </w:pPr>
            <w:r>
              <w:rPr>
                <w:rFonts w:hint="eastAsia" w:ascii="宋体" w:hAnsi="宋体"/>
                <w:color w:val="auto"/>
                <w:sz w:val="21"/>
                <w:szCs w:val="21"/>
              </w:rPr>
              <w:t>其中，星湖校区知和楼一二楼食堂</w:t>
            </w:r>
            <w:r>
              <w:rPr>
                <w:rFonts w:ascii="宋体" w:hAnsi="宋体"/>
                <w:color w:val="auto"/>
                <w:sz w:val="21"/>
                <w:szCs w:val="21"/>
              </w:rPr>
              <w:t>5200</w:t>
            </w:r>
            <w:r>
              <w:rPr>
                <w:rFonts w:hint="eastAsia" w:ascii="宋体" w:hAnsi="宋体" w:cs="宋体"/>
                <w:color w:val="auto"/>
                <w:sz w:val="21"/>
                <w:szCs w:val="21"/>
              </w:rPr>
              <w:t>㎡</w:t>
            </w:r>
            <w:r>
              <w:rPr>
                <w:rFonts w:hint="eastAsia" w:ascii="宋体" w:hAnsi="宋体"/>
                <w:color w:val="auto"/>
                <w:sz w:val="21"/>
                <w:szCs w:val="21"/>
              </w:rPr>
              <w:t>，学聚苑食堂</w:t>
            </w:r>
            <w:r>
              <w:rPr>
                <w:rFonts w:ascii="宋体" w:hAnsi="宋体"/>
                <w:color w:val="auto"/>
                <w:sz w:val="21"/>
                <w:szCs w:val="21"/>
              </w:rPr>
              <w:t>852</w:t>
            </w:r>
            <w:r>
              <w:rPr>
                <w:rFonts w:hint="eastAsia" w:ascii="宋体" w:hAnsi="宋体" w:cs="宋体"/>
                <w:color w:val="auto"/>
                <w:sz w:val="21"/>
                <w:szCs w:val="21"/>
              </w:rPr>
              <w:t>㎡</w:t>
            </w:r>
            <w:r>
              <w:rPr>
                <w:rFonts w:ascii="宋体" w:hAnsi="宋体"/>
                <w:color w:val="auto"/>
                <w:sz w:val="21"/>
                <w:szCs w:val="21"/>
              </w:rPr>
              <w:t>,（以实际勘察为准）</w:t>
            </w:r>
          </w:p>
        </w:tc>
        <w:tc>
          <w:tcPr>
            <w:tcW w:w="2132" w:type="dxa"/>
            <w:vAlign w:val="center"/>
          </w:tcPr>
          <w:p w14:paraId="1A9660B2">
            <w:pPr>
              <w:spacing w:line="320" w:lineRule="exact"/>
              <w:jc w:val="center"/>
              <w:rPr>
                <w:rFonts w:ascii="宋体" w:hAnsi="宋体" w:cs="宋体"/>
                <w:color w:val="auto"/>
                <w:sz w:val="21"/>
                <w:szCs w:val="21"/>
              </w:rPr>
            </w:pPr>
            <w:r>
              <w:rPr>
                <w:rFonts w:ascii="宋体" w:hAnsi="宋体" w:cs="宋体"/>
                <w:color w:val="auto"/>
                <w:sz w:val="21"/>
                <w:szCs w:val="21"/>
              </w:rPr>
              <w:t>2030年7月10日</w:t>
            </w:r>
          </w:p>
        </w:tc>
      </w:tr>
    </w:tbl>
    <w:p w14:paraId="0AB0B52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注</w:t>
      </w:r>
      <w:r>
        <w:rPr>
          <w:rFonts w:ascii="宋体" w:hAnsi="宋体" w:cs="宋体"/>
          <w:color w:val="auto"/>
          <w:sz w:val="24"/>
          <w:szCs w:val="24"/>
        </w:rPr>
        <w:t>:建筑面积为估算值，具体区域面积以采购人指定区域为准。</w:t>
      </w:r>
    </w:p>
    <w:p w14:paraId="0FFA1123">
      <w:pPr>
        <w:pStyle w:val="3"/>
        <w:spacing w:line="400" w:lineRule="exact"/>
        <w:rPr>
          <w:rFonts w:ascii="宋体" w:hAnsi="宋体" w:eastAsia="宋体" w:cs="宋体"/>
          <w:b w:val="0"/>
          <w:bCs/>
          <w:color w:val="auto"/>
          <w:szCs w:val="32"/>
        </w:rPr>
      </w:pPr>
      <w:bookmarkStart w:id="38" w:name="_Toc344475116"/>
      <w:bookmarkStart w:id="39" w:name="_Toc313536013"/>
      <w:bookmarkStart w:id="40" w:name="_Toc16755"/>
      <w:bookmarkStart w:id="41" w:name="_Toc9346"/>
      <w:r>
        <w:rPr>
          <w:rFonts w:hint="eastAsia"/>
          <w:b w:val="0"/>
          <w:color w:val="auto"/>
        </w:rPr>
        <w:t>二、</w:t>
      </w:r>
      <w:bookmarkEnd w:id="38"/>
      <w:bookmarkEnd w:id="39"/>
      <w:r>
        <w:rPr>
          <w:rFonts w:hint="eastAsia"/>
          <w:b w:val="0"/>
          <w:color w:val="auto"/>
        </w:rPr>
        <w:t>委托经营时间</w:t>
      </w:r>
      <w:bookmarkEnd w:id="40"/>
      <w:bookmarkEnd w:id="41"/>
    </w:p>
    <w:p w14:paraId="6990D1AD">
      <w:pPr>
        <w:ind w:firstLine="480"/>
        <w:jc w:val="left"/>
        <w:rPr>
          <w:rFonts w:ascii="宋体" w:hAnsi="宋体" w:cs="宋体"/>
          <w:color w:val="auto"/>
          <w:sz w:val="24"/>
          <w:szCs w:val="24"/>
        </w:rPr>
      </w:pPr>
      <w:r>
        <w:rPr>
          <w:rFonts w:ascii="宋体" w:hAnsi="宋体" w:cs="宋体"/>
          <w:color w:val="auto"/>
          <w:sz w:val="24"/>
          <w:szCs w:val="24"/>
        </w:rPr>
        <w:t>2030年7月10日截止。</w:t>
      </w:r>
    </w:p>
    <w:p w14:paraId="3570083C">
      <w:pPr>
        <w:pStyle w:val="3"/>
        <w:spacing w:line="400" w:lineRule="exact"/>
        <w:rPr>
          <w:b w:val="0"/>
          <w:color w:val="auto"/>
        </w:rPr>
      </w:pPr>
      <w:bookmarkStart w:id="42" w:name="_Toc11166"/>
      <w:bookmarkStart w:id="43" w:name="_Toc42780312"/>
      <w:bookmarkStart w:id="44" w:name="_Toc41986732"/>
      <w:bookmarkStart w:id="45" w:name="_Toc21981"/>
      <w:r>
        <w:rPr>
          <w:rFonts w:hint="eastAsia"/>
          <w:b w:val="0"/>
          <w:color w:val="auto"/>
        </w:rPr>
        <w:t>三、招标项目基本情况</w:t>
      </w:r>
      <w:bookmarkEnd w:id="42"/>
    </w:p>
    <w:p w14:paraId="5F05916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为满足师生员工多样化、个性化的后勤餐饮服务需求，丰富校园特色风味餐饮，同时通过食堂数智化管理和运营，实现资源的高效利用和环境保护。各包需引入经济实力强、社会信誉好、经营管理服务好的餐饮管理类企业建设数智生态环保食堂，参与学校后勤供餐保障服务。目前红河</w:t>
      </w:r>
      <w:r>
        <w:rPr>
          <w:rFonts w:ascii="宋体" w:hAnsi="宋体" w:cs="宋体"/>
          <w:color w:val="auto"/>
          <w:sz w:val="24"/>
          <w:szCs w:val="24"/>
        </w:rPr>
        <w:t>A区约11000名学生，红河B区约7000名学生，星湖校区（含校外公寓约1400名学生）约5000名学生。</w:t>
      </w:r>
    </w:p>
    <w:p w14:paraId="5CB270C4">
      <w:pPr>
        <w:pStyle w:val="3"/>
        <w:spacing w:line="400" w:lineRule="exact"/>
        <w:rPr>
          <w:b w:val="0"/>
          <w:color w:val="auto"/>
        </w:rPr>
      </w:pPr>
      <w:bookmarkStart w:id="46" w:name="_Toc32602"/>
      <w:r>
        <w:rPr>
          <w:b w:val="0"/>
          <w:color w:val="auto"/>
        </w:rPr>
        <w:t>*</w:t>
      </w:r>
      <w:r>
        <w:rPr>
          <w:rFonts w:hint="eastAsia"/>
          <w:b w:val="0"/>
          <w:color w:val="auto"/>
        </w:rPr>
        <w:t>四、招标项目服务需求</w:t>
      </w:r>
      <w:bookmarkEnd w:id="46"/>
    </w:p>
    <w:p w14:paraId="40C4ED87">
      <w:pPr>
        <w:pStyle w:val="4"/>
        <w:spacing w:line="400" w:lineRule="exact"/>
        <w:rPr>
          <w:rFonts w:ascii="宋体" w:hAnsi="宋体" w:cs="宋体"/>
          <w:b w:val="0"/>
          <w:color w:val="auto"/>
          <w:szCs w:val="28"/>
        </w:rPr>
      </w:pPr>
      <w:bookmarkStart w:id="47" w:name="_Toc11099"/>
      <w:r>
        <w:rPr>
          <w:rFonts w:hint="eastAsia"/>
          <w:b w:val="0"/>
          <w:color w:val="auto"/>
        </w:rPr>
        <w:t>（一）项目总体要求</w:t>
      </w:r>
      <w:bookmarkEnd w:id="47"/>
    </w:p>
    <w:p w14:paraId="424DDA40">
      <w:pPr>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1.食堂实行场地“零租赁”、免收管理费，中标人需结合经营场地的实际情况以及学校内涵建设，提供食堂环境改善方案，自行负责装修、设备设施购置、安装与管理、维护。采购人每月按月营业收入的3‰收取餐饮公司</w:t>
      </w:r>
      <w:r>
        <w:rPr>
          <w:rFonts w:hint="eastAsia" w:ascii="宋体" w:hAnsi="宋体" w:cs="宋体"/>
          <w:color w:val="auto"/>
          <w:sz w:val="24"/>
          <w:szCs w:val="24"/>
        </w:rPr>
        <w:t>一卡通使用维护费用和营业收入的</w:t>
      </w:r>
      <w:r>
        <w:rPr>
          <w:rFonts w:ascii="宋体" w:hAnsi="宋体" w:cs="宋体"/>
          <w:color w:val="auto"/>
          <w:sz w:val="24"/>
          <w:szCs w:val="24"/>
        </w:rPr>
        <w:t>7‰收取餐饮公司物业费（</w:t>
      </w:r>
      <w:r>
        <w:rPr>
          <w:rFonts w:hint="eastAsia" w:ascii="宋体" w:hAnsi="宋体" w:cs="宋体"/>
          <w:color w:val="auto"/>
          <w:sz w:val="24"/>
          <w:szCs w:val="24"/>
        </w:rPr>
        <w:t>含生活垃圾处置费）及按营业收入的一定比例暂扣考核费。</w:t>
      </w:r>
      <w:r>
        <w:rPr>
          <w:rFonts w:ascii="宋体" w:hAnsi="宋体" w:cs="宋体"/>
          <w:color w:val="auto"/>
          <w:sz w:val="24"/>
          <w:szCs w:val="24"/>
        </w:rPr>
        <w:t xml:space="preserve"> </w:t>
      </w:r>
      <w:r>
        <w:rPr>
          <w:rFonts w:hint="eastAsia" w:ascii="宋体" w:hAnsi="宋体" w:cs="宋体"/>
          <w:color w:val="auto"/>
          <w:sz w:val="24"/>
          <w:szCs w:val="24"/>
        </w:rPr>
        <w:t>成交商必须合法经营，诚信经营，自负盈亏，并在合同规定的范围内开展经营活动，开展经营所需的工商、税务、餐饮服务许可证、环保、文化、卫生等高校食堂经营所必须具备的相关手续由成交商自行办理，所产生的费用由成交商自行承担，采购人配合成交商办理，上述证件的原件交由采购人管理保存。</w:t>
      </w:r>
      <w:r>
        <w:rPr>
          <w:rFonts w:ascii="宋体" w:hAnsi="宋体" w:cs="宋体"/>
          <w:color w:val="auto"/>
          <w:sz w:val="24"/>
          <w:szCs w:val="24"/>
        </w:rPr>
        <w:t xml:space="preserve"> </w:t>
      </w:r>
    </w:p>
    <w:p w14:paraId="0A5EFA55">
      <w:pPr>
        <w:spacing w:line="400" w:lineRule="exact"/>
        <w:ind w:firstLine="480" w:firstLineChars="200"/>
        <w:rPr>
          <w:rFonts w:ascii="宋体" w:hAnsi="宋体" w:cs="宋体"/>
          <w:color w:val="auto"/>
          <w:sz w:val="24"/>
          <w:szCs w:val="24"/>
        </w:rPr>
      </w:pPr>
      <w:r>
        <w:rPr>
          <w:rFonts w:ascii="宋体" w:hAnsi="宋体" w:cs="宋体"/>
          <w:color w:val="auto"/>
          <w:sz w:val="24"/>
          <w:szCs w:val="24"/>
        </w:rPr>
        <w:t>2.委托经营地点:包1为重庆文理学院红河B区</w:t>
      </w:r>
      <w:r>
        <w:rPr>
          <w:rFonts w:hint="eastAsia" w:ascii="宋体" w:hAnsi="宋体" w:cs="宋体"/>
          <w:color w:val="auto"/>
          <w:sz w:val="24"/>
          <w:szCs w:val="24"/>
        </w:rPr>
        <w:t>知味楼一楼食堂；包</w:t>
      </w:r>
      <w:r>
        <w:rPr>
          <w:rFonts w:ascii="宋体" w:hAnsi="宋体" w:cs="宋体"/>
          <w:color w:val="auto"/>
          <w:sz w:val="24"/>
          <w:szCs w:val="24"/>
        </w:rPr>
        <w:t>2为重庆文理学院红河B区知味楼二楼特色食堂（含二楼教工餐厅）、三楼接待餐厅；包3为重庆文理学院红河A</w:t>
      </w:r>
      <w:r>
        <w:rPr>
          <w:rFonts w:hint="eastAsia" w:ascii="宋体" w:hAnsi="宋体" w:cs="宋体"/>
          <w:color w:val="auto"/>
          <w:sz w:val="24"/>
          <w:szCs w:val="24"/>
        </w:rPr>
        <w:t>区知善楼一、二楼食堂；包</w:t>
      </w:r>
      <w:r>
        <w:rPr>
          <w:rFonts w:ascii="宋体" w:hAnsi="宋体" w:cs="宋体"/>
          <w:color w:val="auto"/>
          <w:sz w:val="24"/>
          <w:szCs w:val="24"/>
        </w:rPr>
        <w:t>4为重庆文理学院红河A校区三食堂（含教工餐厅）；包5星湖校区知和楼一、二楼食堂（含教工餐厅）及</w:t>
      </w:r>
      <w:r>
        <w:rPr>
          <w:rFonts w:hint="eastAsia" w:ascii="宋体" w:hAnsi="宋体" w:cs="宋体"/>
          <w:color w:val="auto"/>
          <w:sz w:val="24"/>
          <w:szCs w:val="24"/>
        </w:rPr>
        <w:t>学聚苑食堂。</w:t>
      </w:r>
    </w:p>
    <w:p w14:paraId="75F836BE">
      <w:pPr>
        <w:spacing w:line="400" w:lineRule="exact"/>
        <w:ind w:firstLine="480" w:firstLineChars="200"/>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成交商应合理使用采购人提供的房屋、场地及其附属设施，负责日常管理与维护，如因使用不当造成房屋、场地及设施损坏的，成交商应立即负责修复或给予经济赔偿。在合同期内，成交商未事先征得学校书面同意，不得擅自改变房屋、场地及其附属设施的外观、结构和用途。不得超承重负荷使用房屋。</w:t>
      </w:r>
    </w:p>
    <w:p w14:paraId="0B23855B">
      <w:pPr>
        <w:pStyle w:val="22"/>
        <w:spacing w:line="400" w:lineRule="exact"/>
        <w:ind w:firstLine="480" w:firstLineChars="200"/>
        <w:rPr>
          <w:rFonts w:ascii="宋体" w:hAnsi="宋体" w:eastAsia="宋体" w:cs="宋体"/>
          <w:color w:val="auto"/>
          <w:sz w:val="24"/>
          <w:szCs w:val="24"/>
        </w:rPr>
      </w:pPr>
      <w:r>
        <w:rPr>
          <w:rFonts w:ascii="宋体" w:hAnsi="宋体" w:eastAsia="宋体" w:cs="宋体"/>
          <w:color w:val="auto"/>
          <w:sz w:val="24"/>
          <w:szCs w:val="24"/>
        </w:rPr>
        <w:t>4.包4红河A校区三食堂（含教工餐厅）、包5星湖校区知和楼一二楼（含教工餐厅）及</w:t>
      </w:r>
      <w:r>
        <w:rPr>
          <w:rFonts w:hint="eastAsia" w:ascii="宋体" w:hAnsi="宋体" w:eastAsia="宋体" w:cs="宋体"/>
          <w:color w:val="auto"/>
          <w:sz w:val="24"/>
          <w:szCs w:val="24"/>
        </w:rPr>
        <w:t>学聚苑食堂委托经营起点时间以采购人通知为准，截止时间不变。</w:t>
      </w:r>
    </w:p>
    <w:p w14:paraId="56E8F35C">
      <w:pPr>
        <w:spacing w:line="400" w:lineRule="exact"/>
        <w:ind w:firstLine="480" w:firstLineChars="200"/>
        <w:rPr>
          <w:rFonts w:ascii="宋体" w:hAns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lang w:val="zh-CN"/>
        </w:rPr>
        <w:t>招标项目餐饮服务定位与要求：</w:t>
      </w:r>
      <w:r>
        <w:rPr>
          <w:rFonts w:hint="eastAsia" w:ascii="宋体" w:hAnsi="宋体" w:cs="宋体"/>
          <w:color w:val="auto"/>
          <w:sz w:val="24"/>
          <w:szCs w:val="24"/>
        </w:rPr>
        <w:t>本项目所有食堂定位为基本大伙保障型食堂，为师生提供保障用餐。主营基本大伙保障餐、特色风味餐、爱心保障餐、教工餐、接待餐。</w:t>
      </w:r>
      <w:r>
        <w:rPr>
          <w:rFonts w:hint="eastAsia" w:ascii="宋体" w:hAnsi="宋体" w:cs="仿宋"/>
          <w:color w:val="auto"/>
          <w:sz w:val="24"/>
          <w:szCs w:val="24"/>
        </w:rPr>
        <w:t>不得在食堂内使用、销售预制菜</w:t>
      </w:r>
      <w:r>
        <w:rPr>
          <w:rFonts w:hint="eastAsia" w:ascii="宋体" w:hAnsi="宋体" w:cs="宋体"/>
          <w:color w:val="auto"/>
          <w:sz w:val="24"/>
          <w:szCs w:val="24"/>
        </w:rPr>
        <w:t>。饭菜价格，使用实行审核备案制，严禁随意涨价、调价。</w:t>
      </w:r>
    </w:p>
    <w:p w14:paraId="58DFE1A9">
      <w:pPr>
        <w:spacing w:line="400" w:lineRule="exact"/>
        <w:ind w:firstLine="480" w:firstLineChars="200"/>
        <w:rPr>
          <w:rFonts w:ascii="宋体" w:hAnsi="宋体" w:cs="宋体"/>
          <w:color w:val="auto"/>
          <w:sz w:val="24"/>
          <w:szCs w:val="24"/>
        </w:rPr>
      </w:pPr>
      <w:r>
        <w:rPr>
          <w:rFonts w:ascii="宋体" w:hAnsi="宋体" w:cs="宋体"/>
          <w:color w:val="auto"/>
          <w:sz w:val="24"/>
          <w:szCs w:val="24"/>
        </w:rPr>
        <w:t>6.包2</w:t>
      </w:r>
      <w:r>
        <w:rPr>
          <w:rFonts w:hint="eastAsia" w:ascii="宋体" w:hAnsi="宋体" w:cs="宋体"/>
          <w:color w:val="auto"/>
          <w:sz w:val="24"/>
          <w:szCs w:val="24"/>
        </w:rPr>
        <w:t>成交商在知味楼二楼、包</w:t>
      </w:r>
      <w:r>
        <w:rPr>
          <w:rFonts w:ascii="宋体" w:hAnsi="宋体" w:cs="宋体"/>
          <w:color w:val="auto"/>
          <w:sz w:val="24"/>
          <w:szCs w:val="24"/>
        </w:rPr>
        <w:t>3</w:t>
      </w:r>
      <w:r>
        <w:rPr>
          <w:rFonts w:hint="eastAsia" w:ascii="宋体" w:hAnsi="宋体" w:cs="宋体"/>
          <w:color w:val="auto"/>
          <w:sz w:val="24"/>
          <w:szCs w:val="24"/>
        </w:rPr>
        <w:t>成交商在知善楼二楼、包</w:t>
      </w:r>
      <w:r>
        <w:rPr>
          <w:rFonts w:ascii="宋体" w:hAnsi="宋体" w:cs="宋体"/>
          <w:color w:val="auto"/>
          <w:sz w:val="24"/>
          <w:szCs w:val="24"/>
        </w:rPr>
        <w:t>5</w:t>
      </w:r>
      <w:r>
        <w:rPr>
          <w:rFonts w:hint="eastAsia" w:ascii="宋体" w:hAnsi="宋体" w:cs="宋体"/>
          <w:color w:val="auto"/>
          <w:sz w:val="24"/>
          <w:szCs w:val="24"/>
        </w:rPr>
        <w:t>成交商在星湖校区知和楼二楼食堂必须分别保证有一个面积大小合理、窗口独立的民族特色食品专卖窗口，须严格遵守少数民族的饮食习惯和加工程序。</w:t>
      </w:r>
    </w:p>
    <w:p w14:paraId="45635C23">
      <w:pPr>
        <w:spacing w:line="400" w:lineRule="exact"/>
        <w:ind w:firstLine="480" w:firstLineChars="200"/>
        <w:rPr>
          <w:rFonts w:ascii="宋体" w:hAnsi="宋体" w:cs="宋体"/>
          <w:color w:val="auto"/>
          <w:sz w:val="24"/>
          <w:szCs w:val="24"/>
        </w:rPr>
      </w:pPr>
      <w:r>
        <w:rPr>
          <w:rFonts w:ascii="宋体" w:hAnsi="宋体" w:cs="宋体"/>
          <w:color w:val="auto"/>
          <w:sz w:val="24"/>
          <w:szCs w:val="24"/>
        </w:rPr>
        <w:t>7.包3</w:t>
      </w:r>
      <w:r>
        <w:rPr>
          <w:rFonts w:hint="eastAsia" w:ascii="宋体" w:hAnsi="宋体" w:cs="宋体"/>
          <w:color w:val="auto"/>
          <w:sz w:val="24"/>
          <w:szCs w:val="24"/>
        </w:rPr>
        <w:t>成交商须在红河</w:t>
      </w:r>
      <w:r>
        <w:rPr>
          <w:rFonts w:ascii="宋体" w:hAnsi="宋体" w:cs="宋体"/>
          <w:color w:val="auto"/>
          <w:sz w:val="24"/>
          <w:szCs w:val="24"/>
        </w:rPr>
        <w:t>A</w:t>
      </w:r>
      <w:r>
        <w:rPr>
          <w:rFonts w:hint="eastAsia" w:ascii="宋体" w:hAnsi="宋体" w:cs="宋体"/>
          <w:color w:val="auto"/>
          <w:sz w:val="24"/>
          <w:szCs w:val="24"/>
        </w:rPr>
        <w:t>区知善楼二楼的现小鱼精品套餐窗口及操作间、现洗消间、</w:t>
      </w:r>
      <w:r>
        <w:rPr>
          <w:rFonts w:ascii="宋体" w:hAnsi="宋体" w:cs="宋体"/>
          <w:color w:val="auto"/>
          <w:sz w:val="24"/>
          <w:szCs w:val="24"/>
        </w:rPr>
        <w:t>2间库房、更衣间、办公室等区域暂时设立附属幼儿园食堂。附属幼儿园食堂由永川兴龙湖小学独立经营（包括</w:t>
      </w:r>
      <w:r>
        <w:rPr>
          <w:rFonts w:hint="eastAsia" w:ascii="宋体" w:hAnsi="宋体" w:cs="宋体"/>
          <w:color w:val="auto"/>
          <w:sz w:val="24"/>
          <w:szCs w:val="24"/>
        </w:rPr>
        <w:t>水、电、气费单独计量并由永川兴龙湖小学付费），时间一年，须预留区域不少于</w:t>
      </w:r>
      <w:r>
        <w:rPr>
          <w:rFonts w:ascii="宋体" w:hAnsi="宋体" w:cs="宋体"/>
          <w:color w:val="auto"/>
          <w:sz w:val="24"/>
          <w:szCs w:val="24"/>
        </w:rPr>
        <w:t>80平方米（包括附属幼儿园食堂加工区20平方米、存储区20平方米、</w:t>
      </w:r>
      <w:r>
        <w:rPr>
          <w:rFonts w:hint="eastAsia" w:ascii="宋体" w:hAnsi="宋体" w:cs="宋体"/>
          <w:color w:val="auto"/>
          <w:sz w:val="24"/>
          <w:szCs w:val="24"/>
        </w:rPr>
        <w:t>洗消区</w:t>
      </w:r>
      <w:r>
        <w:rPr>
          <w:rFonts w:ascii="宋体" w:hAnsi="宋体" w:cs="宋体"/>
          <w:color w:val="auto"/>
          <w:sz w:val="24"/>
          <w:szCs w:val="24"/>
        </w:rPr>
        <w:t>10平方米</w:t>
      </w:r>
      <w:r>
        <w:rPr>
          <w:rFonts w:hint="eastAsia" w:ascii="宋体" w:hAnsi="宋体" w:cs="宋体"/>
          <w:color w:val="auto"/>
          <w:sz w:val="24"/>
          <w:szCs w:val="24"/>
        </w:rPr>
        <w:t>，烹饪间</w:t>
      </w:r>
      <w:r>
        <w:rPr>
          <w:rFonts w:ascii="宋体" w:hAnsi="宋体" w:cs="宋体"/>
          <w:color w:val="auto"/>
          <w:sz w:val="24"/>
          <w:szCs w:val="24"/>
        </w:rPr>
        <w:t>20平方米，配餐间10平方米）。因兴龙湖小学一年后要将该区域要交还给包3成交商，所以包3</w:t>
      </w:r>
      <w:r>
        <w:rPr>
          <w:rFonts w:hint="eastAsia" w:ascii="宋体" w:hAnsi="宋体" w:cs="宋体"/>
          <w:color w:val="auto"/>
          <w:sz w:val="24"/>
          <w:szCs w:val="24"/>
        </w:rPr>
        <w:t>成交商需要出资对该区域按照幼儿园食堂要求进行统一设计装修、安装食安系统、抽排系统、排水系统、灶</w:t>
      </w:r>
      <w:r>
        <w:rPr>
          <w:rFonts w:ascii="宋体" w:hAnsi="宋体" w:cs="宋体"/>
          <w:color w:val="auto"/>
          <w:sz w:val="24"/>
          <w:szCs w:val="24"/>
        </w:rPr>
        <w:t>2台、餐具消毒柜1台、六门冰箱2台等</w:t>
      </w:r>
      <w:r>
        <w:rPr>
          <w:rFonts w:hint="eastAsia" w:ascii="宋体" w:hAnsi="宋体" w:cs="宋体"/>
          <w:color w:val="auto"/>
          <w:sz w:val="24"/>
          <w:szCs w:val="24"/>
        </w:rPr>
        <w:t>后厨必备的设备设施（装修要求、安全责任划分由成交商与附属幼儿园另行协商约定，采购人不承担任何责任），且必须在幼儿园开园前达到供餐条件（具体时间以幼儿园通知为准）。</w:t>
      </w:r>
    </w:p>
    <w:p w14:paraId="1551CDBB">
      <w:pPr>
        <w:spacing w:line="400" w:lineRule="exact"/>
        <w:ind w:firstLine="480" w:firstLineChars="200"/>
        <w:rPr>
          <w:rFonts w:ascii="宋体" w:hAnsi="宋体" w:cs="宋体"/>
          <w:color w:val="auto"/>
          <w:sz w:val="24"/>
          <w:szCs w:val="24"/>
        </w:rPr>
      </w:pPr>
      <w:r>
        <w:rPr>
          <w:rFonts w:ascii="宋体" w:hAnsi="宋体" w:cs="宋体"/>
          <w:color w:val="auto"/>
          <w:sz w:val="24"/>
          <w:szCs w:val="24"/>
        </w:rPr>
        <w:t>8.座位个数。包1红河B区</w:t>
      </w:r>
      <w:r>
        <w:rPr>
          <w:rFonts w:hint="eastAsia" w:ascii="宋体" w:hAnsi="宋体" w:cs="宋体"/>
          <w:color w:val="auto"/>
          <w:sz w:val="24"/>
          <w:szCs w:val="24"/>
        </w:rPr>
        <w:t>知味楼一楼食堂不低于</w:t>
      </w:r>
      <w:r>
        <w:rPr>
          <w:rFonts w:ascii="宋体" w:hAnsi="宋体" w:cs="宋体"/>
          <w:color w:val="auto"/>
          <w:sz w:val="24"/>
          <w:szCs w:val="24"/>
        </w:rPr>
        <w:t>687个座位；包2红河B区知味楼二楼食堂学生就餐区不低于794个座位；包3红河A</w:t>
      </w:r>
      <w:r>
        <w:rPr>
          <w:rFonts w:hint="eastAsia" w:ascii="宋体" w:hAnsi="宋体" w:cs="宋体"/>
          <w:color w:val="auto"/>
          <w:sz w:val="24"/>
          <w:szCs w:val="24"/>
        </w:rPr>
        <w:t>区知善楼一、二楼食堂不低于</w:t>
      </w:r>
      <w:r>
        <w:rPr>
          <w:rFonts w:ascii="宋体" w:hAnsi="宋体" w:cs="宋体"/>
          <w:color w:val="auto"/>
          <w:sz w:val="24"/>
          <w:szCs w:val="24"/>
        </w:rPr>
        <w:t>1784个座位；包4红河A校区三食堂不低于900个座位；包5星湖校区知和楼一、二楼食堂不低于1000个座位，</w:t>
      </w:r>
      <w:r>
        <w:rPr>
          <w:rFonts w:hint="eastAsia" w:ascii="宋体" w:hAnsi="宋体" w:cs="宋体"/>
          <w:color w:val="auto"/>
          <w:sz w:val="24"/>
          <w:szCs w:val="24"/>
        </w:rPr>
        <w:t>学聚苑食堂不低于</w:t>
      </w:r>
      <w:r>
        <w:rPr>
          <w:rFonts w:ascii="宋体" w:hAnsi="宋体" w:cs="宋体"/>
          <w:color w:val="auto"/>
          <w:sz w:val="24"/>
          <w:szCs w:val="24"/>
        </w:rPr>
        <w:t>264个座位。</w:t>
      </w:r>
      <w:r>
        <w:rPr>
          <w:rFonts w:hint="eastAsia" w:ascii="宋体" w:hAnsi="宋体" w:cs="宋体"/>
          <w:color w:val="auto"/>
          <w:sz w:val="24"/>
          <w:szCs w:val="24"/>
        </w:rPr>
        <w:t>成交商的餐桌椅配置须符合高端大气的现代大学食堂标准要求，并经采购人基建后勤处书面同意。</w:t>
      </w:r>
    </w:p>
    <w:p w14:paraId="62E52615">
      <w:pPr>
        <w:spacing w:line="400" w:lineRule="exact"/>
        <w:ind w:firstLine="480" w:firstLineChars="200"/>
        <w:rPr>
          <w:rFonts w:ascii="宋体" w:hAnsi="宋体" w:cs="宋体"/>
          <w:color w:val="auto"/>
          <w:sz w:val="24"/>
          <w:szCs w:val="24"/>
        </w:rPr>
      </w:pPr>
      <w:r>
        <w:rPr>
          <w:rFonts w:ascii="宋体" w:hAnsi="宋体" w:cs="宋体"/>
          <w:color w:val="auto"/>
          <w:sz w:val="24"/>
          <w:szCs w:val="24"/>
        </w:rPr>
        <w:t>9.合同期满，</w:t>
      </w:r>
      <w:r>
        <w:rPr>
          <w:rFonts w:hint="eastAsia" w:ascii="宋体" w:hAnsi="宋体" w:cs="宋体"/>
          <w:color w:val="auto"/>
          <w:sz w:val="24"/>
          <w:szCs w:val="24"/>
        </w:rPr>
        <w:t>成交商投入的装修装饰和管网、电线、消防设施、数智食堂及设施设备所有权无偿转让给采购人，交由采购人进行处置，成交商不得破坏。同时成交商</w:t>
      </w:r>
      <w:r>
        <w:rPr>
          <w:rFonts w:hint="eastAsia" w:ascii="宋体" w:hAnsi="宋体"/>
          <w:color w:val="auto"/>
          <w:sz w:val="24"/>
          <w:szCs w:val="24"/>
        </w:rPr>
        <w:t>在撤离时如数返还采购人原有设施设备，完成食堂内的清洁工作。成交商逾期未撤离，采购人有权对成交商所有投入设施设备进行全权处置，由此造成的一切后果与损失由成交商自行承担。成交商在合同期内可以对食堂进行再次装修，其装修费用均由成交商自行承担，成交商再次装修方案必须经采购人基建后勤处书面书面同意后方可进行，否则，采购人扣除成交商</w:t>
      </w:r>
      <w:r>
        <w:rPr>
          <w:rFonts w:ascii="宋体" w:hAnsi="宋体"/>
          <w:color w:val="auto"/>
          <w:sz w:val="24"/>
          <w:szCs w:val="24"/>
        </w:rPr>
        <w:t>50000元的违约金。</w:t>
      </w:r>
      <w:r>
        <w:rPr>
          <w:rFonts w:hint="eastAsia" w:ascii="宋体" w:hAnsi="宋体" w:cs="宋体"/>
          <w:color w:val="auto"/>
          <w:sz w:val="24"/>
          <w:szCs w:val="24"/>
        </w:rPr>
        <w:t>尾料、现场垃圾及废品、废物须由成交商负责处置并打扫清理干净，采购人无义务回收或转让。成交商与食堂监管部门进行清点并完善移交签字手续。</w:t>
      </w:r>
    </w:p>
    <w:p w14:paraId="1CC01433">
      <w:pPr>
        <w:spacing w:line="400" w:lineRule="exact"/>
        <w:ind w:firstLine="480" w:firstLineChars="200"/>
        <w:rPr>
          <w:rFonts w:ascii="宋体" w:hAnsi="宋体" w:cs="宋体"/>
          <w:color w:val="auto"/>
          <w:sz w:val="24"/>
          <w:szCs w:val="24"/>
        </w:rPr>
      </w:pPr>
      <w:r>
        <w:rPr>
          <w:rFonts w:ascii="宋体" w:hAnsi="宋体" w:cs="宋体"/>
          <w:color w:val="auto"/>
          <w:sz w:val="24"/>
          <w:szCs w:val="24"/>
        </w:rPr>
        <w:t>10.监督管理。</w:t>
      </w:r>
      <w:r>
        <w:rPr>
          <w:rFonts w:hint="eastAsia" w:ascii="宋体" w:hAnsi="宋体" w:cs="宋体"/>
          <w:color w:val="auto"/>
          <w:sz w:val="24"/>
          <w:szCs w:val="24"/>
        </w:rPr>
        <w:t>成交商须服从学校现有的以及学校不断完善和新增的各项管理制度、规范及考核办法，并按照考核结果和考核意见进行整改落实。考核分为日常考核、学期考核，按考核办法执行。成交供应商在运营期间，因管理不善，收到学校、国家机关在监督管理过程中提出的各项整改要求和处罚必须无条件按要求限时完成整改，接受处罚。</w:t>
      </w:r>
    </w:p>
    <w:p w14:paraId="0CCE968C">
      <w:pPr>
        <w:spacing w:line="400" w:lineRule="exact"/>
        <w:ind w:firstLine="480" w:firstLineChars="200"/>
        <w:rPr>
          <w:rFonts w:ascii="宋体" w:hAnsi="宋体" w:cs="宋体"/>
          <w:color w:val="auto"/>
          <w:sz w:val="24"/>
          <w:szCs w:val="24"/>
        </w:rPr>
      </w:pPr>
      <w:r>
        <w:rPr>
          <w:rFonts w:ascii="宋体" w:hAnsi="宋体" w:cs="宋体"/>
          <w:color w:val="auto"/>
          <w:sz w:val="24"/>
          <w:szCs w:val="24"/>
        </w:rPr>
        <w:t>11.各食堂的用电负荷上限须取得采购人基建后勤处的</w:t>
      </w:r>
      <w:r>
        <w:rPr>
          <w:rFonts w:hint="eastAsia" w:ascii="宋体" w:hAnsi="宋体" w:cs="宋体"/>
          <w:color w:val="auto"/>
          <w:sz w:val="24"/>
          <w:szCs w:val="24"/>
        </w:rPr>
        <w:t>书面同意</w:t>
      </w:r>
      <w:r>
        <w:rPr>
          <w:rFonts w:ascii="宋体" w:hAnsi="宋体" w:cs="宋体"/>
          <w:color w:val="auto"/>
          <w:sz w:val="24"/>
          <w:szCs w:val="24"/>
        </w:rPr>
        <w:t>。</w:t>
      </w:r>
    </w:p>
    <w:p w14:paraId="67F182A9">
      <w:pPr>
        <w:spacing w:line="400" w:lineRule="exact"/>
        <w:ind w:firstLine="480" w:firstLineChars="200"/>
        <w:rPr>
          <w:rFonts w:ascii="宋体" w:hAnsi="宋体" w:cs="宋体"/>
          <w:color w:val="auto"/>
          <w:sz w:val="24"/>
          <w:szCs w:val="24"/>
        </w:rPr>
      </w:pPr>
      <w:r>
        <w:rPr>
          <w:rFonts w:ascii="宋体" w:hAnsi="宋体" w:cs="宋体"/>
          <w:color w:val="auto"/>
          <w:sz w:val="24"/>
          <w:szCs w:val="24"/>
        </w:rPr>
        <w:t>12.经营服务时间：</w:t>
      </w:r>
      <w:r>
        <w:rPr>
          <w:rFonts w:hint="eastAsia" w:ascii="宋体" w:hAnsi="宋体" w:cs="宋体"/>
          <w:color w:val="auto"/>
          <w:sz w:val="24"/>
          <w:szCs w:val="24"/>
        </w:rPr>
        <w:t>成交商须无条件服从采购人关于寒暑假期间留校师生正常伙食供应的值班工作安排，保证寒暑假期间师生的正常供餐，否则，采购人可按</w:t>
      </w:r>
      <w:r>
        <w:rPr>
          <w:rFonts w:ascii="宋体" w:hAnsi="宋体" w:cs="宋体"/>
          <w:color w:val="auto"/>
          <w:sz w:val="24"/>
          <w:szCs w:val="24"/>
        </w:rPr>
        <w:t>50000元/次扣除</w:t>
      </w:r>
      <w:r>
        <w:rPr>
          <w:rFonts w:hint="eastAsia" w:ascii="宋体" w:hAnsi="宋体" w:cs="宋体"/>
          <w:color w:val="auto"/>
          <w:sz w:val="24"/>
          <w:szCs w:val="24"/>
        </w:rPr>
        <w:t>成交商违约金。每学期开学及放假开停餐须严格按照采购人的通知时间执行。经营期间成交商不得以任何理由私自全部或部分或个别档口停餐，否则，采购人按每餐所停或未开餐档口</w:t>
      </w:r>
      <w:r>
        <w:rPr>
          <w:rFonts w:ascii="宋体" w:hAnsi="宋体" w:cs="宋体"/>
          <w:color w:val="auto"/>
          <w:sz w:val="24"/>
          <w:szCs w:val="24"/>
        </w:rPr>
        <w:t>20000</w:t>
      </w:r>
      <w:r>
        <w:rPr>
          <w:rFonts w:hint="eastAsia" w:ascii="宋体" w:hAnsi="宋体" w:cs="宋体"/>
          <w:color w:val="auto"/>
          <w:sz w:val="24"/>
          <w:szCs w:val="24"/>
        </w:rPr>
        <w:t>元</w:t>
      </w:r>
      <w:r>
        <w:rPr>
          <w:rFonts w:ascii="宋体" w:hAnsi="宋体" w:cs="宋体"/>
          <w:color w:val="auto"/>
          <w:sz w:val="24"/>
          <w:szCs w:val="24"/>
        </w:rPr>
        <w:t>/</w:t>
      </w:r>
      <w:r>
        <w:rPr>
          <w:rFonts w:hint="eastAsia" w:ascii="宋体" w:hAnsi="宋体" w:cs="宋体"/>
          <w:color w:val="auto"/>
          <w:sz w:val="24"/>
          <w:szCs w:val="24"/>
        </w:rPr>
        <w:t>个扣除成交商违约金。</w:t>
      </w:r>
    </w:p>
    <w:p w14:paraId="65F8F2D6">
      <w:pPr>
        <w:pStyle w:val="4"/>
        <w:spacing w:line="400" w:lineRule="exact"/>
        <w:rPr>
          <w:b w:val="0"/>
          <w:color w:val="auto"/>
        </w:rPr>
      </w:pPr>
      <w:bookmarkStart w:id="48" w:name="_Toc22510"/>
      <w:r>
        <w:rPr>
          <w:rFonts w:hint="eastAsia"/>
          <w:b w:val="0"/>
          <w:color w:val="auto"/>
        </w:rPr>
        <w:t>（二）经营管理要求</w:t>
      </w:r>
      <w:bookmarkEnd w:id="48"/>
    </w:p>
    <w:p w14:paraId="4DC81149">
      <w:pPr>
        <w:spacing w:line="400" w:lineRule="exact"/>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成交商应充分考虑大多数学生的经济承受能力，“学生需求”与“健康饮食”的关系，严格执行采购人和行业的相关规定控制饭菜质量和价格。合理设置基本大伙档口（成交商必须设置明确标识），各食堂一楼的基本大伙档口数量占比不低于</w:t>
      </w:r>
      <w:r>
        <w:rPr>
          <w:rFonts w:ascii="宋体" w:hAnsi="宋体" w:cs="宋体"/>
          <w:color w:val="auto"/>
          <w:sz w:val="24"/>
          <w:szCs w:val="24"/>
        </w:rPr>
        <w:t>35%，同时在食堂一楼还</w:t>
      </w:r>
      <w:r>
        <w:rPr>
          <w:rFonts w:hint="eastAsia" w:ascii="宋体" w:hAnsi="宋体" w:cs="宋体"/>
          <w:color w:val="auto"/>
          <w:sz w:val="24"/>
          <w:szCs w:val="24"/>
        </w:rPr>
        <w:t>须设置独立爱心餐档口。所有饭菜价格应明码标价且应低于社会餐饮同等水平。</w:t>
      </w:r>
    </w:p>
    <w:p w14:paraId="7505B559">
      <w:pPr>
        <w:spacing w:line="400" w:lineRule="exact"/>
        <w:ind w:firstLine="480" w:firstLineChars="200"/>
        <w:rPr>
          <w:rFonts w:ascii="宋体" w:hAnsi="宋体" w:cs="宋体"/>
          <w:color w:val="auto"/>
          <w:sz w:val="24"/>
          <w:szCs w:val="24"/>
        </w:rPr>
      </w:pPr>
      <w:r>
        <w:rPr>
          <w:rFonts w:ascii="宋体" w:hAnsi="宋体" w:cs="宋体"/>
          <w:color w:val="auto"/>
          <w:sz w:val="24"/>
          <w:szCs w:val="24"/>
        </w:rPr>
        <w:t>2.基本大伙菜品种类和份量须满足学生用餐的实际需求。针对基本早餐类食品、基本大伙餐、爱心餐管理，暂定执行以下要求且必须确保</w:t>
      </w:r>
      <w:r>
        <w:rPr>
          <w:rFonts w:hint="eastAsia" w:ascii="宋体" w:hAnsi="宋体" w:cs="宋体"/>
          <w:color w:val="auto"/>
          <w:sz w:val="24"/>
          <w:szCs w:val="24"/>
          <w:lang w:val="zh-CN"/>
        </w:rPr>
        <w:t>供应</w:t>
      </w:r>
      <w:r>
        <w:rPr>
          <w:rFonts w:hint="eastAsia" w:ascii="宋体" w:hAnsi="宋体" w:cs="宋体"/>
          <w:color w:val="auto"/>
          <w:sz w:val="24"/>
          <w:szCs w:val="24"/>
        </w:rPr>
        <w:t>不断档或限量销售，后续调价按照重庆市教委或经市教委授权重庆教育后勤协会发布相关文件执行。</w:t>
      </w:r>
    </w:p>
    <w:p w14:paraId="7B3DAF5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1）所有菜品的出品量、荤素比、售卖价，采取报批制，严格按照</w:t>
      </w:r>
      <w:r>
        <w:rPr>
          <w:rFonts w:hint="eastAsia" w:ascii="宋体" w:hAnsi="宋体" w:cs="宋体"/>
          <w:color w:val="auto"/>
          <w:sz w:val="24"/>
          <w:szCs w:val="24"/>
        </w:rPr>
        <w:t>成交商上报的数据对照执行。所有上报的菜品包括菜品名称、菜品主配料成分、成品售卖价格。</w:t>
      </w:r>
    </w:p>
    <w:p w14:paraId="7B94318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2）所有上报的菜品与</w:t>
      </w:r>
      <w:r>
        <w:rPr>
          <w:rFonts w:hint="eastAsia" w:ascii="宋体" w:hAnsi="宋体" w:cs="宋体"/>
          <w:color w:val="auto"/>
          <w:sz w:val="24"/>
          <w:szCs w:val="24"/>
        </w:rPr>
        <w:t>永川及周边</w:t>
      </w:r>
      <w:r>
        <w:rPr>
          <w:rFonts w:ascii="宋体" w:hAnsi="宋体" w:cs="宋体"/>
          <w:color w:val="auto"/>
          <w:sz w:val="24"/>
          <w:szCs w:val="24"/>
        </w:rPr>
        <w:t>高校一致的，</w:t>
      </w:r>
      <w:r>
        <w:rPr>
          <w:rFonts w:hint="eastAsia" w:ascii="宋体" w:hAnsi="宋体" w:cs="宋体"/>
          <w:color w:val="auto"/>
          <w:sz w:val="24"/>
          <w:szCs w:val="24"/>
        </w:rPr>
        <w:t>需包括相同产品</w:t>
      </w:r>
      <w:r>
        <w:rPr>
          <w:rFonts w:ascii="宋体" w:hAnsi="宋体" w:cs="宋体"/>
          <w:color w:val="auto"/>
          <w:sz w:val="24"/>
          <w:szCs w:val="24"/>
        </w:rPr>
        <w:t>2-3所高校的对比价格。</w:t>
      </w:r>
    </w:p>
    <w:p w14:paraId="30F4448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3）基本早餐类食品价格按照以下标准：</w:t>
      </w:r>
    </w:p>
    <w:tbl>
      <w:tblPr>
        <w:tblStyle w:val="59"/>
        <w:tblW w:w="9129" w:type="dxa"/>
        <w:jc w:val="center"/>
        <w:tblLayout w:type="fixed"/>
        <w:tblCellMar>
          <w:top w:w="0" w:type="dxa"/>
          <w:left w:w="108" w:type="dxa"/>
          <w:bottom w:w="0" w:type="dxa"/>
          <w:right w:w="108" w:type="dxa"/>
        </w:tblCellMar>
      </w:tblPr>
      <w:tblGrid>
        <w:gridCol w:w="3607"/>
        <w:gridCol w:w="2888"/>
        <w:gridCol w:w="2634"/>
      </w:tblGrid>
      <w:tr w14:paraId="760BDC23">
        <w:tblPrEx>
          <w:tblCellMar>
            <w:top w:w="0" w:type="dxa"/>
            <w:left w:w="108" w:type="dxa"/>
            <w:bottom w:w="0" w:type="dxa"/>
            <w:right w:w="108" w:type="dxa"/>
          </w:tblCellMar>
        </w:tblPrEx>
        <w:trPr>
          <w:trHeight w:val="383"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770EAB3">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品类</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CA34BDE">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售价（元）</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604DAC5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单位</w:t>
            </w:r>
          </w:p>
        </w:tc>
      </w:tr>
      <w:tr w14:paraId="2B665E5D">
        <w:tblPrEx>
          <w:tblCellMar>
            <w:top w:w="0" w:type="dxa"/>
            <w:left w:w="108" w:type="dxa"/>
            <w:bottom w:w="0" w:type="dxa"/>
            <w:right w:w="108" w:type="dxa"/>
          </w:tblCellMar>
        </w:tblPrEx>
        <w:trPr>
          <w:trHeight w:val="365"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8C90650">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白馒头</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4814A818">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0.5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0DBD7A7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个（≥</w:t>
            </w:r>
            <w:r>
              <w:rPr>
                <w:rFonts w:ascii="宋体" w:hAnsi="宋体" w:cs="宋体"/>
                <w:color w:val="auto"/>
                <w:sz w:val="24"/>
                <w:szCs w:val="24"/>
              </w:rPr>
              <w:t>100g）</w:t>
            </w:r>
          </w:p>
        </w:tc>
      </w:tr>
      <w:tr w14:paraId="6998FEF8">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FE1036D">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花卷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09FB476">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0.6</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1A8E14C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个（≥</w:t>
            </w:r>
            <w:r>
              <w:rPr>
                <w:rFonts w:ascii="宋体" w:hAnsi="宋体" w:cs="宋体"/>
                <w:color w:val="auto"/>
                <w:sz w:val="24"/>
                <w:szCs w:val="24"/>
              </w:rPr>
              <w:t>100g）</w:t>
            </w:r>
          </w:p>
        </w:tc>
      </w:tr>
      <w:tr w14:paraId="3000235E">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3A4D97A4">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发糕</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0CA0A79">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0.7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2A77577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个（≥</w:t>
            </w:r>
            <w:r>
              <w:rPr>
                <w:rFonts w:ascii="宋体" w:hAnsi="宋体" w:cs="宋体"/>
                <w:color w:val="auto"/>
                <w:sz w:val="24"/>
                <w:szCs w:val="24"/>
              </w:rPr>
              <w:t>100g）</w:t>
            </w:r>
          </w:p>
        </w:tc>
      </w:tr>
      <w:tr w14:paraId="006285D7">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50B5">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白水蛋</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6735">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1</w:t>
            </w:r>
          </w:p>
        </w:tc>
        <w:tc>
          <w:tcPr>
            <w:tcW w:w="2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81C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个</w:t>
            </w:r>
          </w:p>
        </w:tc>
      </w:tr>
      <w:tr w14:paraId="711DCE26">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4BAB">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鲜肉包</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4FDB">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0.8</w:t>
            </w:r>
          </w:p>
        </w:tc>
        <w:tc>
          <w:tcPr>
            <w:tcW w:w="2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29B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个（≥</w:t>
            </w:r>
            <w:r>
              <w:rPr>
                <w:rFonts w:ascii="宋体" w:hAnsi="宋体" w:cs="宋体"/>
                <w:color w:val="auto"/>
                <w:sz w:val="24"/>
                <w:szCs w:val="24"/>
              </w:rPr>
              <w:t>80克）</w:t>
            </w:r>
          </w:p>
        </w:tc>
      </w:tr>
      <w:tr w14:paraId="32D466C7">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0BE3DB7E">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煎蛋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3F2C7DF">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1.5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7F0BD97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个</w:t>
            </w:r>
          </w:p>
        </w:tc>
      </w:tr>
      <w:tr w14:paraId="21553023">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7816D215">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卤蛋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72DD89D">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1.5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255E762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个</w:t>
            </w:r>
          </w:p>
        </w:tc>
      </w:tr>
      <w:tr w14:paraId="1EDEBB8D">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5539B9D0">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豆浆</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70F0EFA">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0.7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4B46A71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碗（≥</w:t>
            </w:r>
            <w:r>
              <w:rPr>
                <w:rFonts w:ascii="宋体" w:hAnsi="宋体" w:cs="宋体"/>
                <w:color w:val="auto"/>
                <w:sz w:val="24"/>
                <w:szCs w:val="24"/>
              </w:rPr>
              <w:t>330ml）</w:t>
            </w:r>
          </w:p>
        </w:tc>
      </w:tr>
      <w:tr w14:paraId="62C62BF0">
        <w:tblPrEx>
          <w:tblCellMar>
            <w:top w:w="0" w:type="dxa"/>
            <w:left w:w="108" w:type="dxa"/>
            <w:bottom w:w="0" w:type="dxa"/>
            <w:right w:w="108" w:type="dxa"/>
          </w:tblCellMar>
        </w:tblPrEx>
        <w:trPr>
          <w:trHeight w:val="36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70286C32">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油条</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1D14F13">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1</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3BF7834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根（≥</w:t>
            </w:r>
            <w:r>
              <w:rPr>
                <w:rFonts w:ascii="宋体" w:hAnsi="宋体" w:cs="宋体"/>
                <w:color w:val="auto"/>
                <w:sz w:val="24"/>
                <w:szCs w:val="24"/>
              </w:rPr>
              <w:t>80g）</w:t>
            </w:r>
          </w:p>
        </w:tc>
      </w:tr>
      <w:tr w14:paraId="1A3389DE">
        <w:tblPrEx>
          <w:tblCellMar>
            <w:top w:w="0" w:type="dxa"/>
            <w:left w:w="108" w:type="dxa"/>
            <w:bottom w:w="0" w:type="dxa"/>
            <w:right w:w="108" w:type="dxa"/>
          </w:tblCellMar>
        </w:tblPrEx>
        <w:trPr>
          <w:trHeight w:val="351"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250C7F9B">
            <w:pPr>
              <w:spacing w:line="400" w:lineRule="exact"/>
              <w:ind w:firstLine="480" w:firstLineChars="200"/>
              <w:jc w:val="center"/>
              <w:rPr>
                <w:rFonts w:ascii="宋体" w:hAnsi="宋体" w:cs="宋体"/>
                <w:color w:val="auto"/>
                <w:sz w:val="24"/>
                <w:szCs w:val="24"/>
              </w:rPr>
            </w:pPr>
            <w:r>
              <w:rPr>
                <w:rFonts w:hint="eastAsia" w:ascii="宋体" w:hAnsi="宋体" w:cs="宋体"/>
                <w:color w:val="auto"/>
                <w:sz w:val="24"/>
                <w:szCs w:val="24"/>
              </w:rPr>
              <w:t>白粥</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4EA395D6">
            <w:pPr>
              <w:spacing w:line="400" w:lineRule="exact"/>
              <w:ind w:firstLine="480" w:firstLineChars="200"/>
              <w:jc w:val="center"/>
              <w:rPr>
                <w:rFonts w:ascii="宋体" w:hAnsi="宋体" w:cs="宋体"/>
                <w:color w:val="auto"/>
                <w:sz w:val="24"/>
                <w:szCs w:val="24"/>
              </w:rPr>
            </w:pPr>
            <w:r>
              <w:rPr>
                <w:rFonts w:ascii="宋体" w:hAnsi="宋体" w:cs="宋体"/>
                <w:color w:val="auto"/>
                <w:sz w:val="24"/>
                <w:szCs w:val="24"/>
              </w:rPr>
              <w:t>0.5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4DDB14D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碗（≥</w:t>
            </w:r>
            <w:r>
              <w:rPr>
                <w:rFonts w:ascii="宋体" w:hAnsi="宋体" w:cs="宋体"/>
                <w:color w:val="auto"/>
                <w:sz w:val="24"/>
                <w:szCs w:val="24"/>
              </w:rPr>
              <w:t>330ml）</w:t>
            </w:r>
          </w:p>
        </w:tc>
      </w:tr>
      <w:tr w14:paraId="019DA2E1">
        <w:tblPrEx>
          <w:tblCellMar>
            <w:top w:w="0" w:type="dxa"/>
            <w:left w:w="108" w:type="dxa"/>
            <w:bottom w:w="0" w:type="dxa"/>
            <w:right w:w="108" w:type="dxa"/>
          </w:tblCellMar>
        </w:tblPrEx>
        <w:trPr>
          <w:trHeight w:val="357" w:hRule="atLeast"/>
          <w:jc w:val="center"/>
        </w:trPr>
        <w:tc>
          <w:tcPr>
            <w:tcW w:w="3607" w:type="dxa"/>
            <w:vMerge w:val="restart"/>
            <w:tcBorders>
              <w:top w:val="single" w:color="000000" w:sz="4" w:space="0"/>
              <w:left w:val="single" w:color="000000" w:sz="4" w:space="0"/>
              <w:right w:val="single" w:color="000000" w:sz="4" w:space="0"/>
            </w:tcBorders>
            <w:noWrap/>
            <w:vAlign w:val="center"/>
          </w:tcPr>
          <w:p w14:paraId="2CE4239D">
            <w:pPr>
              <w:spacing w:line="400" w:lineRule="exact"/>
              <w:rPr>
                <w:rFonts w:ascii="宋体" w:hAnsi="宋体" w:cs="宋体"/>
                <w:color w:val="auto"/>
                <w:sz w:val="24"/>
                <w:szCs w:val="24"/>
              </w:rPr>
            </w:pPr>
            <w:r>
              <w:rPr>
                <w:rFonts w:hint="eastAsia" w:ascii="宋体" w:hAnsi="宋体" w:cs="宋体"/>
                <w:color w:val="auto"/>
                <w:sz w:val="24"/>
                <w:szCs w:val="24"/>
              </w:rPr>
              <w:t>汤或干拌（面、</w:t>
            </w:r>
            <w:r>
              <w:rPr>
                <w:rFonts w:hint="eastAsia" w:ascii="宋体" w:hAnsi="宋体" w:cs="宋体"/>
                <w:color w:val="auto"/>
                <w:sz w:val="24"/>
                <w:szCs w:val="24"/>
                <w:lang w:val="zh-CN"/>
              </w:rPr>
              <w:t>米线、</w:t>
            </w:r>
            <w:r>
              <w:rPr>
                <w:rFonts w:hint="eastAsia" w:ascii="宋体" w:hAnsi="宋体" w:cs="宋体"/>
                <w:color w:val="auto"/>
                <w:sz w:val="24"/>
                <w:szCs w:val="24"/>
              </w:rPr>
              <w:t>粉、刀削）</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F44878B">
            <w:pPr>
              <w:spacing w:line="400" w:lineRule="exact"/>
              <w:ind w:firstLine="480" w:firstLineChars="200"/>
              <w:rPr>
                <w:rFonts w:ascii="宋体" w:hAnsi="宋体" w:cs="宋体"/>
                <w:color w:val="auto"/>
                <w:sz w:val="24"/>
                <w:szCs w:val="24"/>
              </w:rPr>
            </w:pPr>
            <w:r>
              <w:rPr>
                <w:rFonts w:ascii="宋体" w:hAnsi="宋体" w:cs="宋体"/>
                <w:color w:val="auto"/>
                <w:sz w:val="24"/>
                <w:szCs w:val="24"/>
              </w:rPr>
              <w:t>4.5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3101DA83">
            <w:pPr>
              <w:spacing w:line="400" w:lineRule="exact"/>
              <w:ind w:firstLine="480" w:firstLineChars="200"/>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两</w:t>
            </w:r>
          </w:p>
        </w:tc>
      </w:tr>
      <w:tr w14:paraId="50C276FD">
        <w:tblPrEx>
          <w:tblCellMar>
            <w:top w:w="0" w:type="dxa"/>
            <w:left w:w="108" w:type="dxa"/>
            <w:bottom w:w="0" w:type="dxa"/>
            <w:right w:w="108" w:type="dxa"/>
          </w:tblCellMar>
        </w:tblPrEx>
        <w:trPr>
          <w:trHeight w:val="376" w:hRule="atLeast"/>
          <w:jc w:val="center"/>
        </w:trPr>
        <w:tc>
          <w:tcPr>
            <w:tcW w:w="3607" w:type="dxa"/>
            <w:vMerge w:val="continue"/>
            <w:tcBorders>
              <w:left w:val="single" w:color="000000" w:sz="4" w:space="0"/>
              <w:right w:val="single" w:color="000000" w:sz="4" w:space="0"/>
            </w:tcBorders>
            <w:noWrap/>
            <w:vAlign w:val="center"/>
          </w:tcPr>
          <w:p w14:paraId="0B05AF7F">
            <w:pPr>
              <w:spacing w:line="400" w:lineRule="exact"/>
              <w:ind w:firstLine="480" w:firstLineChars="200"/>
              <w:rPr>
                <w:rFonts w:ascii="宋体" w:hAnsi="宋体" w:cs="宋体"/>
                <w:color w:val="auto"/>
                <w:sz w:val="24"/>
                <w:szCs w:val="24"/>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273211C">
            <w:pPr>
              <w:spacing w:line="400" w:lineRule="exact"/>
              <w:ind w:firstLine="480" w:firstLineChars="200"/>
              <w:rPr>
                <w:rFonts w:ascii="宋体" w:hAnsi="宋体" w:cs="宋体"/>
                <w:color w:val="auto"/>
                <w:sz w:val="24"/>
                <w:szCs w:val="24"/>
              </w:rPr>
            </w:pPr>
            <w:r>
              <w:rPr>
                <w:rFonts w:ascii="宋体" w:hAnsi="宋体" w:cs="宋体"/>
                <w:color w:val="auto"/>
                <w:sz w:val="24"/>
                <w:szCs w:val="24"/>
              </w:rPr>
              <w:t>6</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02F62F6B">
            <w:pPr>
              <w:spacing w:line="400" w:lineRule="exact"/>
              <w:ind w:firstLine="480" w:firstLineChars="200"/>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两</w:t>
            </w:r>
          </w:p>
        </w:tc>
      </w:tr>
      <w:tr w14:paraId="59F5F84A">
        <w:tblPrEx>
          <w:tblCellMar>
            <w:top w:w="0" w:type="dxa"/>
            <w:left w:w="108" w:type="dxa"/>
            <w:bottom w:w="0" w:type="dxa"/>
            <w:right w:w="108" w:type="dxa"/>
          </w:tblCellMar>
        </w:tblPrEx>
        <w:trPr>
          <w:trHeight w:val="376" w:hRule="atLeast"/>
          <w:jc w:val="center"/>
        </w:trPr>
        <w:tc>
          <w:tcPr>
            <w:tcW w:w="3607" w:type="dxa"/>
            <w:vMerge w:val="continue"/>
            <w:tcBorders>
              <w:left w:val="single" w:color="000000" w:sz="4" w:space="0"/>
              <w:bottom w:val="single" w:color="000000" w:sz="4" w:space="0"/>
              <w:right w:val="single" w:color="000000" w:sz="4" w:space="0"/>
            </w:tcBorders>
            <w:noWrap/>
            <w:vAlign w:val="center"/>
          </w:tcPr>
          <w:p w14:paraId="095C1BEC">
            <w:pPr>
              <w:spacing w:line="400" w:lineRule="exact"/>
              <w:ind w:firstLine="480" w:firstLineChars="200"/>
              <w:rPr>
                <w:rFonts w:ascii="宋体" w:hAnsi="宋体" w:cs="宋体"/>
                <w:color w:val="auto"/>
                <w:sz w:val="24"/>
                <w:szCs w:val="24"/>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24E2FAE">
            <w:pPr>
              <w:spacing w:line="400" w:lineRule="exact"/>
              <w:ind w:firstLine="480" w:firstLineChars="200"/>
              <w:rPr>
                <w:rFonts w:ascii="宋体" w:hAnsi="宋体" w:cs="宋体"/>
                <w:color w:val="auto"/>
                <w:sz w:val="24"/>
                <w:szCs w:val="24"/>
              </w:rPr>
            </w:pPr>
            <w:r>
              <w:rPr>
                <w:rFonts w:ascii="宋体" w:hAnsi="宋体" w:cs="宋体"/>
                <w:color w:val="auto"/>
                <w:sz w:val="24"/>
                <w:szCs w:val="24"/>
              </w:rPr>
              <w:t>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4BB2B63E">
            <w:pPr>
              <w:spacing w:line="400" w:lineRule="exact"/>
              <w:ind w:firstLine="480" w:firstLineChars="200"/>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两</w:t>
            </w:r>
          </w:p>
        </w:tc>
      </w:tr>
    </w:tbl>
    <w:p w14:paraId="383BD6F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bookmarkStart w:id="49" w:name="OLE_LINK98"/>
      <w:r>
        <w:rPr>
          <w:rFonts w:hint="eastAsia" w:ascii="宋体" w:hAnsi="宋体" w:cs="宋体"/>
          <w:color w:val="auto"/>
          <w:sz w:val="24"/>
          <w:szCs w:val="24"/>
        </w:rPr>
        <w:t>基本大伙餐价格参照</w:t>
      </w:r>
      <w:bookmarkEnd w:id="49"/>
      <w:r>
        <w:rPr>
          <w:rFonts w:hint="eastAsia" w:ascii="宋体" w:hAnsi="宋体" w:cs="宋体"/>
          <w:color w:val="auto"/>
          <w:sz w:val="24"/>
          <w:szCs w:val="24"/>
        </w:rPr>
        <w:t>以下标准（其中鲜猪肉菜品比例每餐不得低于</w:t>
      </w:r>
      <w:r>
        <w:rPr>
          <w:rFonts w:ascii="宋体" w:hAnsi="宋体" w:cs="宋体"/>
          <w:color w:val="auto"/>
          <w:sz w:val="24"/>
          <w:szCs w:val="24"/>
        </w:rPr>
        <w:t>4个品种）：</w:t>
      </w:r>
    </w:p>
    <w:tbl>
      <w:tblPr>
        <w:tblStyle w:val="59"/>
        <w:tblW w:w="9157" w:type="dxa"/>
        <w:jc w:val="center"/>
        <w:tblLayout w:type="fixed"/>
        <w:tblCellMar>
          <w:top w:w="0" w:type="dxa"/>
          <w:left w:w="108" w:type="dxa"/>
          <w:bottom w:w="0" w:type="dxa"/>
          <w:right w:w="108" w:type="dxa"/>
        </w:tblCellMar>
      </w:tblPr>
      <w:tblGrid>
        <w:gridCol w:w="1561"/>
        <w:gridCol w:w="1376"/>
        <w:gridCol w:w="990"/>
        <w:gridCol w:w="3135"/>
        <w:gridCol w:w="2095"/>
      </w:tblGrid>
      <w:tr w14:paraId="1ED5B6DB">
        <w:tblPrEx>
          <w:tblCellMar>
            <w:top w:w="0" w:type="dxa"/>
            <w:left w:w="108" w:type="dxa"/>
            <w:bottom w:w="0" w:type="dxa"/>
            <w:right w:w="108" w:type="dxa"/>
          </w:tblCellMar>
        </w:tblPrEx>
        <w:trPr>
          <w:trHeight w:val="818" w:hRule="atLeast"/>
          <w:jc w:val="center"/>
        </w:trPr>
        <w:tc>
          <w:tcPr>
            <w:tcW w:w="2937" w:type="dxa"/>
            <w:gridSpan w:val="2"/>
            <w:tcBorders>
              <w:top w:val="single" w:color="000000" w:sz="4" w:space="0"/>
              <w:left w:val="single" w:color="000000" w:sz="4" w:space="0"/>
              <w:bottom w:val="single" w:color="000000" w:sz="4" w:space="0"/>
              <w:right w:val="single" w:color="000000" w:sz="4" w:space="0"/>
            </w:tcBorders>
            <w:noWrap/>
            <w:vAlign w:val="center"/>
          </w:tcPr>
          <w:p w14:paraId="0F2F134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品类</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C282B69">
            <w:pPr>
              <w:spacing w:line="400" w:lineRule="exact"/>
              <w:rPr>
                <w:rFonts w:ascii="宋体" w:hAnsi="宋体" w:cs="宋体"/>
                <w:color w:val="auto"/>
                <w:sz w:val="24"/>
                <w:szCs w:val="24"/>
              </w:rPr>
            </w:pPr>
            <w:r>
              <w:rPr>
                <w:rFonts w:hint="eastAsia" w:ascii="宋体" w:hAnsi="宋体" w:cs="宋体"/>
                <w:color w:val="auto"/>
                <w:sz w:val="24"/>
                <w:szCs w:val="24"/>
              </w:rPr>
              <w:t>售价（元）</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5467429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荤菜类（</w:t>
            </w:r>
            <w:r>
              <w:rPr>
                <w:rFonts w:ascii="宋体" w:hAnsi="宋体" w:cs="宋体"/>
                <w:color w:val="auto"/>
                <w:sz w:val="24"/>
                <w:szCs w:val="24"/>
              </w:rPr>
              <w:t>g）（熟重）</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4AECD16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素菜类（</w:t>
            </w:r>
            <w:r>
              <w:rPr>
                <w:rFonts w:ascii="宋体" w:hAnsi="宋体" w:cs="宋体"/>
                <w:color w:val="auto"/>
                <w:sz w:val="24"/>
                <w:szCs w:val="24"/>
              </w:rPr>
              <w:t>g）</w:t>
            </w:r>
          </w:p>
          <w:p w14:paraId="563BD34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（熟重）</w:t>
            </w:r>
          </w:p>
        </w:tc>
      </w:tr>
      <w:tr w14:paraId="728D7240">
        <w:tblPrEx>
          <w:tblCellMar>
            <w:top w:w="0" w:type="dxa"/>
            <w:left w:w="108" w:type="dxa"/>
            <w:bottom w:w="0" w:type="dxa"/>
            <w:right w:w="108" w:type="dxa"/>
          </w:tblCellMar>
        </w:tblPrEx>
        <w:trPr>
          <w:trHeight w:val="634" w:hRule="atLeast"/>
          <w:jc w:val="center"/>
        </w:trPr>
        <w:tc>
          <w:tcPr>
            <w:tcW w:w="1561" w:type="dxa"/>
            <w:tcBorders>
              <w:top w:val="single" w:color="000000" w:sz="4" w:space="0"/>
              <w:left w:val="single" w:color="000000" w:sz="4" w:space="0"/>
              <w:bottom w:val="single" w:color="auto" w:sz="4" w:space="0"/>
              <w:right w:val="single" w:color="000000" w:sz="4" w:space="0"/>
            </w:tcBorders>
            <w:noWrap/>
            <w:vAlign w:val="center"/>
          </w:tcPr>
          <w:p w14:paraId="4A2AA5DA">
            <w:pPr>
              <w:spacing w:line="400" w:lineRule="exact"/>
              <w:jc w:val="center"/>
              <w:rPr>
                <w:rFonts w:ascii="宋体" w:hAnsi="宋体" w:cs="宋体"/>
                <w:color w:val="auto"/>
                <w:sz w:val="24"/>
                <w:szCs w:val="24"/>
              </w:rPr>
            </w:pPr>
            <w:r>
              <w:rPr>
                <w:rFonts w:hint="eastAsia" w:ascii="宋体" w:hAnsi="宋体" w:cs="宋体"/>
                <w:color w:val="auto"/>
                <w:sz w:val="24"/>
                <w:szCs w:val="24"/>
              </w:rPr>
              <w:t>爱心餐</w:t>
            </w:r>
          </w:p>
          <w:p w14:paraId="1DD63A87">
            <w:pPr>
              <w:spacing w:line="400" w:lineRule="exact"/>
              <w:jc w:val="center"/>
              <w:rPr>
                <w:rFonts w:ascii="宋体" w:hAnsi="宋体" w:cs="宋体"/>
                <w:color w:val="auto"/>
                <w:sz w:val="24"/>
                <w:szCs w:val="24"/>
              </w:rPr>
            </w:pPr>
            <w:r>
              <w:rPr>
                <w:rFonts w:hint="eastAsia" w:ascii="宋体" w:hAnsi="宋体" w:cs="宋体"/>
                <w:color w:val="auto"/>
                <w:sz w:val="24"/>
                <w:szCs w:val="24"/>
              </w:rPr>
              <w:t>米饭、汤免费</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5F0D35">
            <w:pPr>
              <w:spacing w:line="400" w:lineRule="exact"/>
              <w:jc w:val="center"/>
              <w:rPr>
                <w:rFonts w:ascii="宋体" w:hAnsi="宋体" w:cs="宋体"/>
                <w:color w:val="auto"/>
                <w:sz w:val="24"/>
                <w:szCs w:val="24"/>
              </w:rPr>
            </w:pPr>
            <w:r>
              <w:rPr>
                <w:rFonts w:hint="eastAsia" w:ascii="宋体" w:hAnsi="宋体" w:cs="宋体"/>
                <w:color w:val="auto"/>
                <w:sz w:val="24"/>
                <w:szCs w:val="24"/>
              </w:rPr>
              <w:t>一荤一素</w:t>
            </w:r>
          </w:p>
        </w:tc>
        <w:tc>
          <w:tcPr>
            <w:tcW w:w="9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839F49">
            <w:pPr>
              <w:spacing w:line="400" w:lineRule="exact"/>
              <w:ind w:firstLine="480" w:firstLineChars="200"/>
              <w:rPr>
                <w:rFonts w:ascii="宋体" w:hAnsi="宋体" w:cs="宋体"/>
                <w:color w:val="auto"/>
                <w:sz w:val="24"/>
                <w:szCs w:val="24"/>
              </w:rPr>
            </w:pPr>
            <w:r>
              <w:rPr>
                <w:rFonts w:ascii="宋体" w:hAnsi="宋体" w:cs="宋体"/>
                <w:color w:val="auto"/>
                <w:sz w:val="24"/>
                <w:szCs w:val="24"/>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C63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鲜猪肉≥</w:t>
            </w:r>
            <w:r>
              <w:rPr>
                <w:rFonts w:ascii="宋体" w:hAnsi="宋体" w:cs="宋体"/>
                <w:color w:val="auto"/>
                <w:sz w:val="24"/>
                <w:szCs w:val="24"/>
              </w:rPr>
              <w:t>60，配菜≥50</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900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 xml:space="preserve">100 </w:t>
            </w:r>
          </w:p>
        </w:tc>
      </w:tr>
      <w:tr w14:paraId="7ED789F9">
        <w:tblPrEx>
          <w:tblCellMar>
            <w:top w:w="0" w:type="dxa"/>
            <w:left w:w="108" w:type="dxa"/>
            <w:bottom w:w="0" w:type="dxa"/>
            <w:right w:w="108" w:type="dxa"/>
          </w:tblCellMar>
        </w:tblPrEx>
        <w:trPr>
          <w:trHeight w:val="634" w:hRule="atLeast"/>
          <w:jc w:val="center"/>
        </w:trPr>
        <w:tc>
          <w:tcPr>
            <w:tcW w:w="1561" w:type="dxa"/>
            <w:vMerge w:val="restart"/>
            <w:tcBorders>
              <w:top w:val="single" w:color="auto" w:sz="4" w:space="0"/>
              <w:left w:val="single" w:color="000000" w:sz="4" w:space="0"/>
              <w:right w:val="single" w:color="000000" w:sz="4" w:space="0"/>
            </w:tcBorders>
            <w:noWrap/>
            <w:vAlign w:val="center"/>
          </w:tcPr>
          <w:p w14:paraId="4C4C2E70">
            <w:pPr>
              <w:spacing w:line="400" w:lineRule="exact"/>
              <w:jc w:val="center"/>
              <w:rPr>
                <w:rFonts w:ascii="宋体" w:hAnsi="宋体" w:cs="宋体"/>
                <w:color w:val="auto"/>
                <w:sz w:val="24"/>
                <w:szCs w:val="24"/>
              </w:rPr>
            </w:pPr>
            <w:r>
              <w:rPr>
                <w:rFonts w:hint="eastAsia" w:ascii="宋体" w:hAnsi="宋体" w:cs="宋体"/>
                <w:color w:val="auto"/>
                <w:sz w:val="24"/>
                <w:szCs w:val="24"/>
              </w:rPr>
              <w:t>基础大伙餐</w:t>
            </w:r>
          </w:p>
          <w:p w14:paraId="2BCEB55A">
            <w:pPr>
              <w:spacing w:line="400" w:lineRule="exact"/>
              <w:jc w:val="center"/>
              <w:rPr>
                <w:rFonts w:ascii="宋体" w:hAnsi="宋体" w:cs="宋体"/>
                <w:color w:val="auto"/>
                <w:sz w:val="24"/>
                <w:szCs w:val="24"/>
              </w:rPr>
            </w:pPr>
            <w:r>
              <w:rPr>
                <w:rFonts w:hint="eastAsia" w:ascii="宋体" w:hAnsi="宋体" w:cs="宋体"/>
                <w:color w:val="auto"/>
                <w:sz w:val="24"/>
                <w:szCs w:val="24"/>
              </w:rPr>
              <w:t>米饭、汤免费</w:t>
            </w:r>
          </w:p>
        </w:tc>
        <w:tc>
          <w:tcPr>
            <w:tcW w:w="13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314103">
            <w:pPr>
              <w:spacing w:line="400" w:lineRule="exact"/>
              <w:jc w:val="center"/>
              <w:rPr>
                <w:rFonts w:ascii="宋体" w:hAnsi="宋体" w:cs="宋体"/>
                <w:color w:val="auto"/>
                <w:sz w:val="24"/>
                <w:szCs w:val="24"/>
              </w:rPr>
            </w:pPr>
            <w:r>
              <w:rPr>
                <w:rFonts w:hint="eastAsia" w:ascii="宋体" w:hAnsi="宋体" w:cs="宋体"/>
                <w:color w:val="auto"/>
                <w:sz w:val="24"/>
                <w:szCs w:val="24"/>
              </w:rPr>
              <w:t>两素</w:t>
            </w:r>
          </w:p>
        </w:tc>
        <w:tc>
          <w:tcPr>
            <w:tcW w:w="9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5DAC66">
            <w:pPr>
              <w:spacing w:line="400" w:lineRule="exact"/>
              <w:ind w:firstLine="480" w:firstLineChars="200"/>
              <w:rPr>
                <w:rFonts w:ascii="宋体" w:hAnsi="宋体" w:cs="宋体"/>
                <w:color w:val="auto"/>
                <w:sz w:val="24"/>
                <w:szCs w:val="24"/>
              </w:rPr>
            </w:pPr>
            <w:r>
              <w:rPr>
                <w:rFonts w:ascii="宋体" w:hAnsi="宋体" w:cs="宋体"/>
                <w:color w:val="auto"/>
                <w:sz w:val="24"/>
                <w:szCs w:val="24"/>
              </w:rPr>
              <w:t>5</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ACD6">
            <w:pPr>
              <w:spacing w:line="400" w:lineRule="exact"/>
              <w:ind w:firstLine="480" w:firstLineChars="200"/>
              <w:rPr>
                <w:rFonts w:ascii="宋体" w:hAnsi="宋体" w:cs="宋体"/>
                <w:color w:val="auto"/>
                <w:sz w:val="24"/>
                <w:szCs w:val="24"/>
              </w:rPr>
            </w:pP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72B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200</w:t>
            </w:r>
          </w:p>
        </w:tc>
      </w:tr>
      <w:tr w14:paraId="673F2D21">
        <w:tblPrEx>
          <w:tblCellMar>
            <w:top w:w="0" w:type="dxa"/>
            <w:left w:w="108" w:type="dxa"/>
            <w:bottom w:w="0" w:type="dxa"/>
            <w:right w:w="108" w:type="dxa"/>
          </w:tblCellMar>
        </w:tblPrEx>
        <w:trPr>
          <w:trHeight w:val="634" w:hRule="atLeast"/>
          <w:jc w:val="center"/>
        </w:trPr>
        <w:tc>
          <w:tcPr>
            <w:tcW w:w="1561" w:type="dxa"/>
            <w:vMerge w:val="continue"/>
            <w:tcBorders>
              <w:left w:val="single" w:color="000000" w:sz="4" w:space="0"/>
              <w:right w:val="single" w:color="000000" w:sz="4" w:space="0"/>
            </w:tcBorders>
            <w:noWrap/>
            <w:vAlign w:val="center"/>
          </w:tcPr>
          <w:p w14:paraId="328C5B47">
            <w:pPr>
              <w:spacing w:line="400" w:lineRule="exact"/>
              <w:ind w:firstLine="480" w:firstLineChars="200"/>
              <w:jc w:val="center"/>
              <w:rPr>
                <w:rFonts w:ascii="宋体" w:hAnsi="宋体" w:cs="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6FFC">
            <w:pPr>
              <w:spacing w:line="400" w:lineRule="exact"/>
              <w:jc w:val="center"/>
              <w:rPr>
                <w:rFonts w:ascii="宋体" w:hAnsi="宋体" w:cs="宋体"/>
                <w:color w:val="auto"/>
                <w:sz w:val="24"/>
                <w:szCs w:val="24"/>
              </w:rPr>
            </w:pPr>
            <w:r>
              <w:rPr>
                <w:rFonts w:hint="eastAsia" w:ascii="宋体" w:hAnsi="宋体" w:cs="宋体"/>
                <w:color w:val="auto"/>
                <w:sz w:val="24"/>
                <w:szCs w:val="24"/>
              </w:rPr>
              <w:t>一荤一素</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F607">
            <w:pPr>
              <w:spacing w:line="400" w:lineRule="exact"/>
              <w:ind w:firstLine="480" w:firstLineChars="200"/>
              <w:rPr>
                <w:rFonts w:ascii="宋体" w:hAnsi="宋体" w:cs="宋体"/>
                <w:color w:val="auto"/>
                <w:sz w:val="24"/>
                <w:szCs w:val="24"/>
              </w:rPr>
            </w:pPr>
            <w:r>
              <w:rPr>
                <w:rFonts w:ascii="宋体" w:hAnsi="宋体" w:cs="宋体"/>
                <w:color w:val="auto"/>
                <w:sz w:val="24"/>
                <w:szCs w:val="24"/>
              </w:rPr>
              <w:t>6</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C86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肉类≥</w:t>
            </w:r>
            <w:r>
              <w:rPr>
                <w:rFonts w:ascii="宋体" w:hAnsi="宋体" w:cs="宋体"/>
                <w:color w:val="auto"/>
                <w:sz w:val="24"/>
                <w:szCs w:val="24"/>
              </w:rPr>
              <w:t>60，配菜≥50</w:t>
            </w:r>
          </w:p>
        </w:tc>
        <w:tc>
          <w:tcPr>
            <w:tcW w:w="2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6B2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100</w:t>
            </w:r>
          </w:p>
        </w:tc>
      </w:tr>
      <w:tr w14:paraId="3AAE2D93">
        <w:tblPrEx>
          <w:tblCellMar>
            <w:top w:w="0" w:type="dxa"/>
            <w:left w:w="108" w:type="dxa"/>
            <w:bottom w:w="0" w:type="dxa"/>
            <w:right w:w="108" w:type="dxa"/>
          </w:tblCellMar>
        </w:tblPrEx>
        <w:trPr>
          <w:trHeight w:val="824"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noWrap/>
            <w:vAlign w:val="center"/>
          </w:tcPr>
          <w:p w14:paraId="49FA241A">
            <w:pPr>
              <w:spacing w:line="400" w:lineRule="exact"/>
              <w:ind w:firstLine="480" w:firstLineChars="200"/>
              <w:jc w:val="center"/>
              <w:rPr>
                <w:rFonts w:ascii="宋体" w:hAnsi="宋体" w:cs="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4E797F25">
            <w:pPr>
              <w:spacing w:line="400" w:lineRule="exact"/>
              <w:jc w:val="center"/>
              <w:rPr>
                <w:rFonts w:ascii="宋体" w:hAnsi="宋体" w:cs="宋体"/>
                <w:color w:val="auto"/>
                <w:sz w:val="24"/>
                <w:szCs w:val="24"/>
              </w:rPr>
            </w:pPr>
            <w:r>
              <w:rPr>
                <w:rFonts w:hint="eastAsia" w:ascii="宋体" w:hAnsi="宋体" w:cs="宋体"/>
                <w:color w:val="auto"/>
                <w:sz w:val="24"/>
                <w:szCs w:val="24"/>
              </w:rPr>
              <w:t>一荤两素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9FD9BD7">
            <w:pPr>
              <w:spacing w:line="400" w:lineRule="exact"/>
              <w:ind w:firstLine="480" w:firstLineChars="200"/>
              <w:rPr>
                <w:rFonts w:ascii="宋体" w:hAnsi="宋体" w:cs="宋体"/>
                <w:color w:val="auto"/>
                <w:sz w:val="24"/>
                <w:szCs w:val="24"/>
              </w:rPr>
            </w:pPr>
            <w:r>
              <w:rPr>
                <w:rFonts w:ascii="宋体" w:hAnsi="宋体" w:cs="宋体"/>
                <w:color w:val="auto"/>
                <w:sz w:val="24"/>
                <w:szCs w:val="24"/>
              </w:rPr>
              <w:t>7</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8ADB63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肉类≥</w:t>
            </w:r>
            <w:r>
              <w:rPr>
                <w:rFonts w:ascii="宋体" w:hAnsi="宋体" w:cs="宋体"/>
                <w:color w:val="auto"/>
                <w:sz w:val="24"/>
                <w:szCs w:val="24"/>
              </w:rPr>
              <w:t>60，配菜≥100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664D5B7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200</w:t>
            </w:r>
          </w:p>
        </w:tc>
      </w:tr>
      <w:tr w14:paraId="65E88E30">
        <w:tblPrEx>
          <w:tblCellMar>
            <w:top w:w="0" w:type="dxa"/>
            <w:left w:w="108" w:type="dxa"/>
            <w:bottom w:w="0" w:type="dxa"/>
            <w:right w:w="108" w:type="dxa"/>
          </w:tblCellMar>
        </w:tblPrEx>
        <w:trPr>
          <w:trHeight w:val="824"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noWrap/>
            <w:vAlign w:val="center"/>
          </w:tcPr>
          <w:p w14:paraId="74CADAA9">
            <w:pPr>
              <w:spacing w:line="400" w:lineRule="exact"/>
              <w:ind w:firstLine="480" w:firstLineChars="200"/>
              <w:jc w:val="center"/>
              <w:rPr>
                <w:rFonts w:ascii="宋体" w:hAnsi="宋体" w:cs="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2D77EF49">
            <w:pPr>
              <w:spacing w:line="400" w:lineRule="exact"/>
              <w:jc w:val="center"/>
              <w:rPr>
                <w:rFonts w:ascii="宋体" w:hAnsi="宋体" w:cs="宋体"/>
                <w:color w:val="auto"/>
                <w:sz w:val="24"/>
                <w:szCs w:val="24"/>
              </w:rPr>
            </w:pPr>
            <w:r>
              <w:rPr>
                <w:rFonts w:hint="eastAsia" w:ascii="宋体" w:hAnsi="宋体" w:cs="宋体"/>
                <w:color w:val="auto"/>
                <w:sz w:val="24"/>
                <w:szCs w:val="24"/>
              </w:rPr>
              <w:t>两荤一素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1A0B35F">
            <w:pPr>
              <w:spacing w:line="400" w:lineRule="exact"/>
              <w:ind w:firstLine="480" w:firstLineChars="200"/>
              <w:rPr>
                <w:rFonts w:ascii="宋体" w:hAnsi="宋体" w:cs="宋体"/>
                <w:color w:val="auto"/>
                <w:sz w:val="24"/>
                <w:szCs w:val="24"/>
              </w:rPr>
            </w:pPr>
            <w:r>
              <w:rPr>
                <w:rFonts w:ascii="宋体" w:hAnsi="宋体" w:cs="宋体"/>
                <w:color w:val="auto"/>
                <w:sz w:val="24"/>
                <w:szCs w:val="24"/>
              </w:rPr>
              <w:t>8</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0F618A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肉类≥</w:t>
            </w:r>
            <w:r>
              <w:rPr>
                <w:rFonts w:ascii="宋体" w:hAnsi="宋体" w:cs="宋体"/>
                <w:color w:val="auto"/>
                <w:sz w:val="24"/>
                <w:szCs w:val="24"/>
              </w:rPr>
              <w:t>120，配菜≥100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5A38C0E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100</w:t>
            </w:r>
          </w:p>
        </w:tc>
      </w:tr>
      <w:tr w14:paraId="759D7B1C">
        <w:tblPrEx>
          <w:tblCellMar>
            <w:top w:w="0" w:type="dxa"/>
            <w:left w:w="108" w:type="dxa"/>
            <w:bottom w:w="0" w:type="dxa"/>
            <w:right w:w="108" w:type="dxa"/>
          </w:tblCellMar>
        </w:tblPrEx>
        <w:trPr>
          <w:trHeight w:val="914" w:hRule="atLeast"/>
          <w:jc w:val="center"/>
        </w:trPr>
        <w:tc>
          <w:tcPr>
            <w:tcW w:w="1561" w:type="dxa"/>
            <w:vMerge w:val="continue"/>
            <w:tcBorders>
              <w:top w:val="single" w:color="000000" w:sz="4" w:space="0"/>
              <w:left w:val="single" w:color="000000" w:sz="4" w:space="0"/>
              <w:bottom w:val="single" w:color="000000" w:sz="4" w:space="0"/>
              <w:right w:val="single" w:color="000000" w:sz="4" w:space="0"/>
            </w:tcBorders>
            <w:noWrap/>
            <w:vAlign w:val="center"/>
          </w:tcPr>
          <w:p w14:paraId="62CB8F28">
            <w:pPr>
              <w:spacing w:line="400" w:lineRule="exact"/>
              <w:ind w:firstLine="480" w:firstLineChars="200"/>
              <w:jc w:val="center"/>
              <w:rPr>
                <w:rFonts w:ascii="宋体" w:hAnsi="宋体" w:cs="宋体"/>
                <w:color w:val="auto"/>
                <w:sz w:val="24"/>
                <w:szCs w:val="24"/>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6AAE0BEE">
            <w:pPr>
              <w:spacing w:line="400" w:lineRule="exact"/>
              <w:jc w:val="center"/>
              <w:rPr>
                <w:rFonts w:ascii="宋体" w:hAnsi="宋体" w:cs="宋体"/>
                <w:color w:val="auto"/>
                <w:sz w:val="24"/>
                <w:szCs w:val="24"/>
              </w:rPr>
            </w:pPr>
            <w:r>
              <w:rPr>
                <w:rFonts w:hint="eastAsia" w:ascii="宋体" w:hAnsi="宋体" w:cs="宋体"/>
                <w:color w:val="auto"/>
                <w:sz w:val="24"/>
                <w:szCs w:val="24"/>
              </w:rPr>
              <w:t>两荤两素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B9CDD95">
            <w:pPr>
              <w:spacing w:line="400" w:lineRule="exact"/>
              <w:ind w:firstLine="480" w:firstLineChars="200"/>
              <w:rPr>
                <w:rFonts w:ascii="宋体" w:hAnsi="宋体" w:cs="宋体"/>
                <w:color w:val="auto"/>
                <w:sz w:val="24"/>
                <w:szCs w:val="24"/>
              </w:rPr>
            </w:pPr>
            <w:r>
              <w:rPr>
                <w:rFonts w:ascii="宋体" w:hAnsi="宋体" w:cs="宋体"/>
                <w:color w:val="auto"/>
                <w:sz w:val="24"/>
                <w:szCs w:val="24"/>
              </w:rPr>
              <w:t>10</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7495403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肉类≥</w:t>
            </w:r>
            <w:r>
              <w:rPr>
                <w:rFonts w:ascii="宋体" w:hAnsi="宋体" w:cs="宋体"/>
                <w:color w:val="auto"/>
                <w:sz w:val="24"/>
                <w:szCs w:val="24"/>
              </w:rPr>
              <w:t>120，配菜≥100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1E74FD5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200</w:t>
            </w:r>
          </w:p>
        </w:tc>
      </w:tr>
    </w:tbl>
    <w:p w14:paraId="1B067254">
      <w:pPr>
        <w:spacing w:line="400" w:lineRule="exact"/>
        <w:ind w:firstLine="480" w:firstLineChars="200"/>
        <w:rPr>
          <w:rFonts w:ascii="宋体" w:hAnsi="宋体" w:cs="宋体"/>
          <w:color w:val="auto"/>
          <w:sz w:val="24"/>
          <w:szCs w:val="28"/>
        </w:rPr>
      </w:pPr>
      <w:r>
        <w:rPr>
          <w:rFonts w:hint="eastAsia" w:ascii="宋体" w:hAnsi="宋体" w:cs="仿宋"/>
          <w:color w:val="auto"/>
          <w:sz w:val="24"/>
          <w:szCs w:val="24"/>
        </w:rPr>
        <w:t>（</w:t>
      </w:r>
      <w:r>
        <w:rPr>
          <w:rFonts w:ascii="宋体" w:hAnsi="宋体" w:cs="仿宋"/>
          <w:color w:val="auto"/>
          <w:sz w:val="24"/>
          <w:szCs w:val="24"/>
        </w:rPr>
        <w:t>5）包1、包3、包4、包5</w:t>
      </w:r>
      <w:r>
        <w:rPr>
          <w:rFonts w:hint="eastAsia" w:ascii="宋体" w:hAnsi="宋体" w:cs="宋体"/>
          <w:color w:val="auto"/>
          <w:sz w:val="24"/>
          <w:szCs w:val="28"/>
        </w:rPr>
        <w:t>成交商须按照采购人要求每日提供爱心保障餐，以套餐形式提供，确保每日不同样，配置标准：中餐和晚餐一荤一素，提供免费汤，米饭免费添加；爱心保障餐每餐不高于</w:t>
      </w:r>
      <w:r>
        <w:rPr>
          <w:rFonts w:ascii="宋体" w:hAnsi="宋体" w:cs="宋体"/>
          <w:color w:val="auto"/>
          <w:sz w:val="24"/>
          <w:szCs w:val="28"/>
        </w:rPr>
        <w:t>5元，鼓励</w:t>
      </w:r>
      <w:r>
        <w:rPr>
          <w:rFonts w:hint="eastAsia" w:ascii="宋体" w:hAnsi="宋体" w:cs="宋体"/>
          <w:color w:val="auto"/>
          <w:sz w:val="24"/>
          <w:szCs w:val="28"/>
        </w:rPr>
        <w:t>成交商主动让利给困难家庭学生，可以通过关怀育人的项目，适当再降低餐标，由成交商在经营期内制订供餐方案，报采购人审核书面同意后实施。供应商须按照以上服务要求在基本大伙方案中响应，爱心保障餐品质应符合基本大伙饭菜品质和质量份量要求。</w:t>
      </w:r>
    </w:p>
    <w:p w14:paraId="444218BF">
      <w:pPr>
        <w:spacing w:line="400" w:lineRule="exact"/>
        <w:ind w:firstLine="480" w:firstLineChars="200"/>
        <w:rPr>
          <w:rFonts w:ascii="宋体" w:hAnsi="宋体" w:cs="仿宋"/>
          <w:color w:val="auto"/>
          <w:sz w:val="24"/>
          <w:szCs w:val="24"/>
        </w:rPr>
      </w:pPr>
      <w:r>
        <w:rPr>
          <w:rFonts w:ascii="宋体" w:hAnsi="宋体" w:cs="仿宋"/>
          <w:color w:val="auto"/>
          <w:sz w:val="24"/>
          <w:szCs w:val="24"/>
        </w:rPr>
        <w:t>3.食堂业态和档口设置须进行前置审核，特色品种在同质同量同品种的前提下，价格应低于周边市场价格或不高于同类高校，罗列所有能提供的特色菜品或套餐品类，菜肴品种、菜品价格、成本核算、菜品质量标准和经营管理（</w:t>
      </w:r>
      <w:r>
        <w:rPr>
          <w:rFonts w:hint="eastAsia" w:ascii="宋体" w:hAnsi="宋体" w:cs="仿宋"/>
          <w:color w:val="auto"/>
          <w:sz w:val="24"/>
          <w:szCs w:val="24"/>
        </w:rPr>
        <w:t>含人员管理）等须交采购人监管部门审核书面同意后方可实施，</w:t>
      </w:r>
      <w:r>
        <w:rPr>
          <w:rFonts w:hint="eastAsia" w:ascii="宋体" w:hAnsi="宋体"/>
          <w:color w:val="auto"/>
          <w:sz w:val="24"/>
          <w:szCs w:val="24"/>
        </w:rPr>
        <w:t>采购人</w:t>
      </w:r>
      <w:r>
        <w:rPr>
          <w:rFonts w:hint="eastAsia" w:ascii="宋体" w:hAnsi="宋体" w:cs="仿宋"/>
          <w:color w:val="auto"/>
          <w:sz w:val="24"/>
          <w:szCs w:val="24"/>
        </w:rPr>
        <w:t>实行全过程监督管理，</w:t>
      </w:r>
      <w:r>
        <w:rPr>
          <w:rFonts w:hint="eastAsia" w:ascii="宋体" w:hAnsi="宋体"/>
          <w:color w:val="auto"/>
          <w:sz w:val="24"/>
          <w:szCs w:val="24"/>
        </w:rPr>
        <w:t>否则，成交商按照每一菜品每次</w:t>
      </w:r>
      <w:r>
        <w:rPr>
          <w:rFonts w:ascii="宋体" w:hAnsi="宋体"/>
          <w:color w:val="auto"/>
          <w:sz w:val="24"/>
          <w:szCs w:val="24"/>
        </w:rPr>
        <w:t>5000元违约金支付采购人。</w:t>
      </w:r>
      <w:r>
        <w:rPr>
          <w:rFonts w:hint="eastAsia" w:ascii="宋体" w:hAnsi="宋体" w:cs="仿宋"/>
          <w:color w:val="auto"/>
          <w:sz w:val="24"/>
          <w:szCs w:val="24"/>
        </w:rPr>
        <w:t>成交商不得从事餐饮以外的其它任何业务（如经营超市等），不得经营超出自身经营许可或条件的餐饮项目（如没有凉菜制作条件和餐饮许可，则不得经营凉菜项目等）。成交商需不断增加饭菜的花色品种，提高饭菜质量，注重科学营养配餐。保证采购人正常教学运行期间满足师生就餐需求，且未经批准不得擅自停业。</w:t>
      </w:r>
    </w:p>
    <w:p w14:paraId="0DAE8884">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4.</w:t>
      </w:r>
      <w:r>
        <w:rPr>
          <w:rFonts w:hint="eastAsia" w:ascii="宋体" w:hAnsi="宋体" w:cs="仿宋"/>
          <w:color w:val="auto"/>
          <w:sz w:val="24"/>
          <w:szCs w:val="24"/>
        </w:rPr>
        <w:t>成交商须直接管理和经营食堂，食堂所有窗口须一体化管理，不得分包或转包，</w:t>
      </w:r>
      <w:r>
        <w:rPr>
          <w:rFonts w:hint="eastAsia" w:ascii="宋体" w:hAnsi="宋体" w:cs="仿宋"/>
          <w:bCs/>
          <w:color w:val="auto"/>
          <w:sz w:val="24"/>
          <w:szCs w:val="24"/>
        </w:rPr>
        <w:t>一经发现分包或转包，采购人不认可任何分包转包合同，有权直接终止合同，扣罚所有履约保证金并追究成交商责任。采购人定期或不定期对所有档口工作人员的聘用合同、缴纳社保的材料、上岗情况及工资流水进行查验。</w:t>
      </w:r>
      <w:r>
        <w:rPr>
          <w:rFonts w:hint="eastAsia" w:ascii="宋体" w:hAnsi="宋体" w:cs="仿宋"/>
          <w:color w:val="auto"/>
          <w:sz w:val="24"/>
          <w:szCs w:val="24"/>
        </w:rPr>
        <w:t>成交商不得在食堂内非窗口场所、食堂周边、校园内摆摊设点，不得破坏食堂整体格局、外观和使用功能。</w:t>
      </w:r>
    </w:p>
    <w:p w14:paraId="1AB4D1F6">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5.</w:t>
      </w:r>
      <w:r>
        <w:rPr>
          <w:rFonts w:hint="eastAsia" w:ascii="宋体" w:hAnsi="宋体" w:cs="仿宋"/>
          <w:color w:val="auto"/>
          <w:sz w:val="24"/>
          <w:szCs w:val="24"/>
        </w:rPr>
        <w:t>成交商须注重食品安全卫生管理，严格执行国家、政府行政主管部门、学校对食品安全生产的法律、法规、规章制度的要求，有健全的食品安全管理制度，有食品安全管理团队，有完备的食品安全事故处置预案。不得在食堂内使用、销售预制菜。</w:t>
      </w:r>
    </w:p>
    <w:p w14:paraId="23492452">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6.</w:t>
      </w:r>
      <w:r>
        <w:rPr>
          <w:rFonts w:hint="eastAsia" w:ascii="宋体" w:hAnsi="宋体" w:cs="仿宋"/>
          <w:color w:val="auto"/>
          <w:sz w:val="24"/>
          <w:szCs w:val="24"/>
        </w:rPr>
        <w:t>成交商须注重师生身体健康，按照《“健康中国</w:t>
      </w:r>
      <w:r>
        <w:rPr>
          <w:rFonts w:ascii="宋体" w:hAnsi="宋体" w:cs="仿宋"/>
          <w:color w:val="auto"/>
          <w:sz w:val="24"/>
          <w:szCs w:val="24"/>
        </w:rPr>
        <w:t>2030”规划纲要》减盐要求，本项目所有食堂须使用低钠盐。且必须在具有食盐批发业务资质的企业中采购低钠盐。否则，采购人按每次</w:t>
      </w:r>
      <w:r>
        <w:rPr>
          <w:rFonts w:ascii="宋体" w:hAnsi="宋体" w:cs="宋体"/>
          <w:color w:val="auto"/>
          <w:sz w:val="24"/>
          <w:szCs w:val="24"/>
        </w:rPr>
        <w:t>50000元扣罚</w:t>
      </w:r>
      <w:r>
        <w:rPr>
          <w:rFonts w:hint="eastAsia" w:ascii="宋体" w:hAnsi="宋体" w:cs="宋体"/>
          <w:color w:val="auto"/>
          <w:sz w:val="24"/>
          <w:szCs w:val="24"/>
        </w:rPr>
        <w:t>成交商违约金。</w:t>
      </w:r>
    </w:p>
    <w:p w14:paraId="59E18706">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7.人员管理要求：</w:t>
      </w:r>
    </w:p>
    <w:p w14:paraId="1B892438">
      <w:pPr>
        <w:spacing w:line="440" w:lineRule="exact"/>
        <w:ind w:firstLine="480" w:firstLineChars="200"/>
        <w:jc w:val="left"/>
        <w:rPr>
          <w:rFonts w:ascii="宋体" w:hAnsi="宋体"/>
          <w:color w:val="auto"/>
          <w:sz w:val="24"/>
          <w:szCs w:val="24"/>
        </w:rPr>
      </w:pPr>
      <w:r>
        <w:rPr>
          <w:rFonts w:hint="eastAsia" w:ascii="宋体" w:hAnsi="宋体" w:cs="仿宋"/>
          <w:color w:val="auto"/>
          <w:sz w:val="24"/>
          <w:szCs w:val="24"/>
        </w:rPr>
        <w:t>成交供应商在合同期内须履行好主体责任，按要求做好在本项目员工的教育管理，采购人将严格按该相关要求加强对成交供应商的考核。严格把好食堂从业人员的“入门关”，严格从业资格审查。对拟使用的食堂从业人员，要按照相关文件要求，开展性侵等各类违法犯罪信息查询，并按规定定期报备查询结果。食堂管理服务人员应政治坚定、遵纪守法、廉洁自律、品行端正、无犯罪记录；身体健康无传染性疾病；心理健康无精神病史；掌握相关岗位业务知识和技能，能胜任工作；年龄原则上不宜过大。成交商须按照要求提供项目所有人员信息（采购人严格报名）备查；采购人将不定期全面排查食堂从业人员动态信息情况，按照相关文件规定，每年</w:t>
      </w:r>
      <w:r>
        <w:rPr>
          <w:rFonts w:ascii="宋体" w:hAnsi="宋体" w:cs="仿宋"/>
          <w:color w:val="auto"/>
          <w:sz w:val="24"/>
          <w:szCs w:val="24"/>
        </w:rPr>
        <w:t>3月对在岗人员进行涉</w:t>
      </w:r>
      <w:r>
        <w:rPr>
          <w:rFonts w:hint="eastAsia" w:ascii="宋体" w:hAnsi="宋体" w:cs="仿宋"/>
          <w:color w:val="auto"/>
          <w:sz w:val="24"/>
          <w:szCs w:val="24"/>
        </w:rPr>
        <w:t>罪信息查询，对不符合或不具备在岗条件的人员要及时进行清退。成交商要关心关爱食堂从业人员，及时了解他们的思想动态，协助解决实际困难。</w:t>
      </w:r>
    </w:p>
    <w:p w14:paraId="455DC530">
      <w:pPr>
        <w:spacing w:line="440" w:lineRule="exact"/>
        <w:ind w:firstLine="480" w:firstLineChars="200"/>
        <w:jc w:val="left"/>
        <w:rPr>
          <w:rFonts w:ascii="宋体" w:hAnsi="宋体"/>
          <w:color w:val="auto"/>
          <w:sz w:val="24"/>
          <w:szCs w:val="24"/>
        </w:rPr>
      </w:pPr>
      <w:r>
        <w:rPr>
          <w:rFonts w:hint="eastAsia" w:ascii="宋体" w:hAnsi="宋体" w:cs="仿宋"/>
          <w:color w:val="auto"/>
          <w:sz w:val="24"/>
          <w:szCs w:val="24"/>
        </w:rPr>
        <w:t>成交商须服从政府相关部门和学校的监督管理和指导，自行承担经营责任和风险。</w:t>
      </w:r>
      <w:r>
        <w:rPr>
          <w:rFonts w:hint="eastAsia" w:ascii="宋体" w:hAnsi="宋体"/>
          <w:color w:val="auto"/>
          <w:sz w:val="24"/>
          <w:szCs w:val="24"/>
        </w:rPr>
        <w:t>成交商应制定完善的员工管理办法和制度，</w:t>
      </w:r>
      <w:r>
        <w:rPr>
          <w:rFonts w:hint="eastAsia" w:ascii="宋体" w:hAnsi="宋体" w:cs="仿宋"/>
          <w:color w:val="auto"/>
          <w:sz w:val="24"/>
          <w:szCs w:val="24"/>
        </w:rPr>
        <w:t>依法用工。</w:t>
      </w:r>
      <w:r>
        <w:rPr>
          <w:rFonts w:hint="eastAsia" w:ascii="宋体" w:hAnsi="宋体" w:cs="仿宋"/>
          <w:b/>
          <w:bCs/>
          <w:color w:val="auto"/>
          <w:sz w:val="24"/>
          <w:szCs w:val="24"/>
        </w:rPr>
        <w:t>成交商以本单位名义依法为本项目食堂所有从业人员全员签订劳动合同，不能签订劳动合同的必须签订劳务协议。</w:t>
      </w:r>
      <w:r>
        <w:rPr>
          <w:rFonts w:hint="eastAsia" w:ascii="宋体" w:hAnsi="宋体" w:cs="仿宋"/>
          <w:color w:val="auto"/>
          <w:sz w:val="24"/>
          <w:szCs w:val="24"/>
        </w:rPr>
        <w:t>工资待遇和社会保险按国家规定执行，</w:t>
      </w:r>
      <w:r>
        <w:rPr>
          <w:rFonts w:hint="eastAsia" w:ascii="宋体" w:hAnsi="宋体"/>
          <w:color w:val="auto"/>
          <w:sz w:val="24"/>
          <w:szCs w:val="24"/>
        </w:rPr>
        <w:t>必须做好内部员工管理，包括安全和稳定的管理。成交商应妥善处理与就餐人员之间的矛盾、冲突，且不得使冲突升级，成交商</w:t>
      </w:r>
      <w:r>
        <w:rPr>
          <w:rFonts w:hint="eastAsia" w:ascii="宋体" w:hAnsi="宋体" w:cs="仿宋"/>
          <w:color w:val="auto"/>
          <w:sz w:val="24"/>
          <w:szCs w:val="24"/>
        </w:rPr>
        <w:t>承担由此造成的一切经济、安全和法律责任。</w:t>
      </w:r>
      <w:r>
        <w:rPr>
          <w:rFonts w:hint="eastAsia" w:ascii="宋体" w:hAnsi="宋体"/>
          <w:color w:val="auto"/>
          <w:sz w:val="24"/>
          <w:szCs w:val="24"/>
        </w:rPr>
        <w:t>若因成交商资金链断裂、内部员工工伤、工资报酬、供货商、合作商、贷款纠纷等情况出现上访、投诉或重大网络舆情事件，或者发生</w:t>
      </w:r>
      <w:r>
        <w:rPr>
          <w:rFonts w:hint="eastAsia" w:ascii="宋体" w:hAnsi="宋体" w:cs="宋体"/>
          <w:color w:val="auto"/>
          <w:sz w:val="24"/>
          <w:szCs w:val="24"/>
          <w:lang w:val="zh-CN"/>
        </w:rPr>
        <w:t>学生集体性食物中毒、火灾、拥挤踩踏等群体性安全事故和</w:t>
      </w:r>
      <w:r>
        <w:rPr>
          <w:rFonts w:hint="eastAsia" w:ascii="宋体" w:hAnsi="宋体" w:cs="宋体"/>
          <w:color w:val="auto"/>
          <w:sz w:val="24"/>
          <w:szCs w:val="24"/>
        </w:rPr>
        <w:t>重大</w:t>
      </w:r>
      <w:r>
        <w:rPr>
          <w:rFonts w:hint="eastAsia" w:ascii="宋体" w:hAnsi="宋体" w:cs="宋体"/>
          <w:color w:val="auto"/>
          <w:sz w:val="24"/>
          <w:szCs w:val="24"/>
          <w:lang w:val="zh-CN"/>
        </w:rPr>
        <w:t>网络舆情事件</w:t>
      </w:r>
      <w:r>
        <w:rPr>
          <w:rFonts w:hint="eastAsia" w:ascii="宋体" w:hAnsi="宋体" w:cs="宋体"/>
          <w:bCs/>
          <w:color w:val="auto"/>
          <w:sz w:val="24"/>
          <w:szCs w:val="24"/>
          <w:lang w:val="zh-CN"/>
        </w:rPr>
        <w:t>，</w:t>
      </w:r>
      <w:r>
        <w:rPr>
          <w:rFonts w:hint="eastAsia" w:ascii="宋体" w:hAnsi="宋体"/>
          <w:color w:val="auto"/>
          <w:sz w:val="24"/>
          <w:szCs w:val="24"/>
        </w:rPr>
        <w:t>一经查实，成交商每次向采购人支付违约金</w:t>
      </w:r>
      <w:r>
        <w:rPr>
          <w:rFonts w:ascii="宋体" w:hAnsi="宋体"/>
          <w:color w:val="auto"/>
          <w:sz w:val="24"/>
          <w:szCs w:val="24"/>
        </w:rPr>
        <w:t>500000元，</w:t>
      </w:r>
      <w:r>
        <w:rPr>
          <w:rFonts w:hint="eastAsia" w:ascii="宋体" w:hAnsi="宋体"/>
          <w:color w:val="auto"/>
          <w:sz w:val="24"/>
          <w:szCs w:val="24"/>
        </w:rPr>
        <w:t>如</w:t>
      </w:r>
      <w:r>
        <w:rPr>
          <w:rFonts w:ascii="宋体" w:hAnsi="宋体"/>
          <w:color w:val="auto"/>
          <w:sz w:val="24"/>
          <w:szCs w:val="24"/>
        </w:rPr>
        <w:t>造成重大不良影响</w:t>
      </w:r>
      <w:r>
        <w:rPr>
          <w:rFonts w:hint="eastAsia" w:ascii="宋体" w:hAnsi="宋体"/>
          <w:color w:val="auto"/>
          <w:sz w:val="24"/>
          <w:szCs w:val="24"/>
        </w:rPr>
        <w:t>，</w:t>
      </w:r>
      <w:r>
        <w:rPr>
          <w:rFonts w:ascii="宋体" w:hAnsi="宋体"/>
          <w:color w:val="auto"/>
          <w:sz w:val="24"/>
          <w:szCs w:val="24"/>
        </w:rPr>
        <w:t>采购人有权单方面解除合同，</w:t>
      </w:r>
      <w:r>
        <w:rPr>
          <w:rFonts w:hint="eastAsia" w:ascii="宋体" w:hAnsi="宋体"/>
          <w:color w:val="auto"/>
          <w:sz w:val="24"/>
          <w:szCs w:val="24"/>
        </w:rPr>
        <w:t>且</w:t>
      </w:r>
      <w:r>
        <w:rPr>
          <w:rFonts w:ascii="宋体" w:hAnsi="宋体"/>
          <w:color w:val="auto"/>
          <w:sz w:val="24"/>
          <w:szCs w:val="24"/>
        </w:rPr>
        <w:t>不退还全部履约保证金。</w:t>
      </w:r>
      <w:r>
        <w:rPr>
          <w:rFonts w:hint="eastAsia" w:ascii="宋体" w:hAnsi="宋体"/>
          <w:color w:val="auto"/>
          <w:sz w:val="24"/>
          <w:szCs w:val="24"/>
        </w:rPr>
        <w:t>成交商或成交商工作人员应遵守采购人相关规章制度，因成交商或成交商工作人员原因给自身、采购人或第三方造成的一切人身、财产损害等后果由成交商自行承担。成交商须为食堂购买食品安全责任险和燃气安全责任险，且成交商须自行承担员工和经营范围内发生的人身财产安全、食品安全、燃气安全、消防安全等事故造成的一切经济、行政和法律责任。</w:t>
      </w:r>
    </w:p>
    <w:p w14:paraId="42A8FF3D">
      <w:pPr>
        <w:spacing w:line="440" w:lineRule="exact"/>
        <w:ind w:firstLine="482" w:firstLineChars="200"/>
        <w:jc w:val="left"/>
        <w:rPr>
          <w:rFonts w:ascii="宋体" w:hAnsi="宋体"/>
          <w:b/>
          <w:color w:val="auto"/>
          <w:sz w:val="24"/>
          <w:szCs w:val="24"/>
        </w:rPr>
      </w:pPr>
      <w:r>
        <w:rPr>
          <w:rFonts w:hint="eastAsia" w:ascii="宋体" w:hAnsi="宋体" w:cs="仿宋"/>
          <w:b/>
          <w:color w:val="auto"/>
          <w:sz w:val="24"/>
          <w:szCs w:val="24"/>
        </w:rPr>
        <w:t>成交商必须以本单位名义为本项目食堂所有从业人员购买社保，不能购买社保的超龄人员必须</w:t>
      </w:r>
      <w:r>
        <w:rPr>
          <w:rFonts w:ascii="宋体" w:hAnsi="宋体" w:cs="仿宋"/>
          <w:b/>
          <w:color w:val="auto"/>
          <w:sz w:val="24"/>
          <w:szCs w:val="24"/>
        </w:rPr>
        <w:t>100%购买雇主责任险，如发现少买或漏买，采购人将按每人每月1000元违约金处罚成交商。</w:t>
      </w:r>
    </w:p>
    <w:p w14:paraId="4D4ABD47">
      <w:pPr>
        <w:spacing w:line="440" w:lineRule="exact"/>
        <w:ind w:firstLine="482" w:firstLineChars="200"/>
        <w:jc w:val="left"/>
        <w:rPr>
          <w:rFonts w:ascii="宋体" w:hAnsi="宋体" w:cs="仿宋"/>
          <w:b/>
          <w:color w:val="auto"/>
          <w:sz w:val="24"/>
          <w:szCs w:val="24"/>
        </w:rPr>
      </w:pPr>
      <w:r>
        <w:rPr>
          <w:rFonts w:ascii="宋体" w:hAnsi="宋体" w:cs="仿宋"/>
          <w:b/>
          <w:color w:val="auto"/>
          <w:sz w:val="24"/>
          <w:szCs w:val="24"/>
        </w:rPr>
        <w:t>8.结算要求：</w:t>
      </w:r>
      <w:r>
        <w:rPr>
          <w:rFonts w:hint="eastAsia" w:ascii="宋体" w:hAnsi="宋体" w:cs="仿宋"/>
          <w:b/>
          <w:color w:val="auto"/>
          <w:sz w:val="24"/>
          <w:szCs w:val="24"/>
        </w:rPr>
        <w:t>成交商营业款结算周期则上为每月</w:t>
      </w:r>
      <w:r>
        <w:rPr>
          <w:rFonts w:ascii="宋体" w:hAnsi="宋体" w:cs="仿宋"/>
          <w:b/>
          <w:color w:val="auto"/>
          <w:sz w:val="24"/>
          <w:szCs w:val="24"/>
        </w:rPr>
        <w:t>20日，如遇寒暑</w:t>
      </w:r>
      <w:r>
        <w:rPr>
          <w:rFonts w:hint="eastAsia" w:ascii="宋体" w:hAnsi="宋体" w:cs="仿宋"/>
          <w:b/>
          <w:color w:val="auto"/>
          <w:sz w:val="24"/>
          <w:szCs w:val="24"/>
        </w:rPr>
        <w:t>假和法定节假日，</w:t>
      </w:r>
      <w:r>
        <w:rPr>
          <w:rFonts w:ascii="宋体" w:hAnsi="宋体" w:cs="仿宋"/>
          <w:b/>
          <w:color w:val="auto"/>
          <w:sz w:val="24"/>
          <w:szCs w:val="24"/>
        </w:rPr>
        <w:t>结算周期</w:t>
      </w:r>
      <w:r>
        <w:rPr>
          <w:rFonts w:hint="eastAsia" w:ascii="宋体" w:hAnsi="宋体" w:cs="仿宋"/>
          <w:b/>
          <w:color w:val="auto"/>
          <w:sz w:val="24"/>
          <w:szCs w:val="24"/>
        </w:rPr>
        <w:t>顺延</w:t>
      </w:r>
      <w:r>
        <w:rPr>
          <w:rFonts w:ascii="宋体" w:hAnsi="宋体" w:cs="仿宋"/>
          <w:b/>
          <w:color w:val="auto"/>
          <w:sz w:val="24"/>
          <w:szCs w:val="24"/>
        </w:rPr>
        <w:t>。为防止</w:t>
      </w:r>
      <w:r>
        <w:rPr>
          <w:rFonts w:hint="eastAsia" w:ascii="宋体" w:hAnsi="宋体" w:cs="仿宋"/>
          <w:b/>
          <w:color w:val="auto"/>
          <w:sz w:val="24"/>
          <w:szCs w:val="24"/>
        </w:rPr>
        <w:t>成交商拖欠员工工资、保险，供货商货款和其他合作商款项等，成交商需在采购人发出的营业款结算帐单之日起</w:t>
      </w:r>
      <w:r>
        <w:rPr>
          <w:rFonts w:ascii="宋体" w:hAnsi="宋体" w:cs="仿宋"/>
          <w:b/>
          <w:color w:val="auto"/>
          <w:sz w:val="24"/>
          <w:szCs w:val="24"/>
        </w:rPr>
        <w:t>10日内将员</w:t>
      </w:r>
      <w:r>
        <w:rPr>
          <w:rFonts w:hint="eastAsia" w:ascii="宋体" w:hAnsi="宋体" w:cs="仿宋"/>
          <w:b/>
          <w:color w:val="auto"/>
          <w:sz w:val="24"/>
          <w:szCs w:val="24"/>
        </w:rPr>
        <w:t>工资、保险，供货商货款和其他合作商款项</w:t>
      </w:r>
      <w:r>
        <w:rPr>
          <w:rFonts w:ascii="宋体" w:hAnsi="宋体" w:cs="仿宋"/>
          <w:b/>
          <w:color w:val="auto"/>
          <w:sz w:val="24"/>
          <w:szCs w:val="24"/>
        </w:rPr>
        <w:t>支付到位，采购人在收到</w:t>
      </w:r>
      <w:r>
        <w:rPr>
          <w:rFonts w:hint="eastAsia" w:ascii="宋体" w:hAnsi="宋体" w:cs="仿宋"/>
          <w:b/>
          <w:color w:val="auto"/>
          <w:sz w:val="24"/>
          <w:szCs w:val="24"/>
        </w:rPr>
        <w:t>成交商提交的工资、保险，供货商货款和其他合作商款项支付证明材料后</w:t>
      </w:r>
      <w:r>
        <w:rPr>
          <w:rFonts w:ascii="宋体" w:hAnsi="宋体" w:cs="仿宋"/>
          <w:b/>
          <w:color w:val="auto"/>
          <w:sz w:val="24"/>
          <w:szCs w:val="24"/>
        </w:rPr>
        <w:t>10内将营业款支付到位。</w:t>
      </w:r>
    </w:p>
    <w:p w14:paraId="509DBEF3">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9.</w:t>
      </w:r>
      <w:r>
        <w:rPr>
          <w:rFonts w:hint="eastAsia" w:ascii="宋体" w:hAnsi="宋体" w:cs="仿宋"/>
          <w:color w:val="auto"/>
          <w:sz w:val="24"/>
          <w:szCs w:val="24"/>
        </w:rPr>
        <w:t>成交商必须使用采购人的一卡通系统进行收费，不得采取其他任何支付方式</w:t>
      </w:r>
      <w:r>
        <w:rPr>
          <w:rFonts w:ascii="宋体" w:hAnsi="宋体" w:cs="仿宋"/>
          <w:color w:val="auto"/>
          <w:sz w:val="24"/>
          <w:szCs w:val="24"/>
        </w:rPr>
        <w:t>(除学校统一监管的现金收银以外)。否则，经查实后</w:t>
      </w:r>
      <w:r>
        <w:rPr>
          <w:rFonts w:hint="eastAsia" w:ascii="宋体" w:hAnsi="宋体" w:cs="仿宋"/>
          <w:color w:val="auto"/>
          <w:sz w:val="24"/>
          <w:szCs w:val="24"/>
        </w:rPr>
        <w:t>成交商按照每次</w:t>
      </w:r>
      <w:r>
        <w:rPr>
          <w:rFonts w:ascii="宋体" w:hAnsi="宋体" w:cs="仿宋"/>
          <w:color w:val="auto"/>
          <w:sz w:val="24"/>
          <w:szCs w:val="24"/>
        </w:rPr>
        <w:t>20000元的违约金标准支付采购人，若当月发现三次以上违规交易的情况，则扣除当月营业额的20%作为违约金。采购人不再向</w:t>
      </w:r>
      <w:r>
        <w:rPr>
          <w:rFonts w:hint="eastAsia" w:ascii="宋体" w:hAnsi="宋体" w:cs="仿宋"/>
          <w:color w:val="auto"/>
          <w:sz w:val="24"/>
          <w:szCs w:val="24"/>
        </w:rPr>
        <w:t>成交商收取收费系统维护费，成交商需自行承担采购人食堂新增收费终端设备和数智食堂软硬件的购买、升级、线路改造及日常设备维护费用。</w:t>
      </w:r>
    </w:p>
    <w:p w14:paraId="15F09ACA">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10.</w:t>
      </w:r>
      <w:r>
        <w:rPr>
          <w:rFonts w:hint="eastAsia" w:ascii="宋体" w:hAnsi="宋体" w:cs="仿宋"/>
          <w:color w:val="auto"/>
          <w:sz w:val="24"/>
          <w:szCs w:val="24"/>
        </w:rPr>
        <w:t>成交商须根据食堂的定位和要求进行成本核算。要按照相关规章制度和采购人要求，聘请市内外专家对员工进行安全和业务能力培训，并承担专家指导费；与其他食堂保持和谐经营关系。要采取有效措施确保饮食安全、生产安全和价格稳定，接受采购人监督考核，承担一切安全事故责任。</w:t>
      </w:r>
    </w:p>
    <w:p w14:paraId="0FA6B2F1">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11.本项目</w:t>
      </w:r>
      <w:r>
        <w:rPr>
          <w:rFonts w:hint="eastAsia" w:ascii="宋体" w:hAnsi="宋体" w:cs="仿宋"/>
          <w:color w:val="auto"/>
          <w:sz w:val="24"/>
          <w:szCs w:val="24"/>
        </w:rPr>
        <w:t>成交商所有员工上岗前必须取得健康证，避免因员工身体原因造成的安全事故，否则不能上岗且按照每次违规扣罚2</w:t>
      </w:r>
      <w:r>
        <w:rPr>
          <w:rFonts w:ascii="宋体" w:hAnsi="宋体" w:cs="仿宋"/>
          <w:color w:val="auto"/>
          <w:sz w:val="24"/>
          <w:szCs w:val="24"/>
        </w:rPr>
        <w:t>000元标准执行。</w:t>
      </w:r>
      <w:r>
        <w:rPr>
          <w:rFonts w:hint="eastAsia" w:ascii="宋体" w:hAnsi="宋体" w:cs="仿宋"/>
          <w:color w:val="auto"/>
          <w:sz w:val="24"/>
          <w:szCs w:val="24"/>
        </w:rPr>
        <w:t>成交商还须根据实际用工需求接纳采购人推荐的优秀员工和管理人员。</w:t>
      </w:r>
    </w:p>
    <w:p w14:paraId="25033B82">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12.</w:t>
      </w:r>
      <w:r>
        <w:rPr>
          <w:rFonts w:hint="eastAsia" w:ascii="宋体" w:hAnsi="宋体" w:cs="仿宋"/>
          <w:color w:val="auto"/>
          <w:sz w:val="24"/>
          <w:szCs w:val="24"/>
        </w:rPr>
        <w:t>成交商需自行负责经营区域及分摊的公共区域清洁卫生，其标准必须达到上级主管部门及采购人的相关要求，接受学校的日常监督考核。</w:t>
      </w:r>
    </w:p>
    <w:p w14:paraId="2B14D8AE">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13.</w:t>
      </w:r>
      <w:r>
        <w:rPr>
          <w:rFonts w:hint="eastAsia" w:ascii="宋体" w:hAnsi="宋体" w:cs="仿宋"/>
          <w:color w:val="auto"/>
          <w:sz w:val="24"/>
          <w:szCs w:val="24"/>
        </w:rPr>
        <w:t>成交商须确保饭菜品质，成品菜符合质量要求，按五项指标（饮食卫生、服务态度、饭菜价格、饭菜质量、花色品种）接受采购人后勤部门考核和监督。成交商必须设立纸质意见簿和“一码收集”“一键反馈”等数智化意见采集和反馈系统，听取意见，改进服务，师生满意率达</w:t>
      </w:r>
      <w:r>
        <w:rPr>
          <w:rFonts w:ascii="宋体" w:hAnsi="宋体" w:cs="仿宋"/>
          <w:color w:val="auto"/>
          <w:sz w:val="24"/>
          <w:szCs w:val="24"/>
        </w:rPr>
        <w:t>85%以上。无条件配合采购人创建主管部门组织的学生食堂相关评选和创建活动。</w:t>
      </w:r>
    </w:p>
    <w:p w14:paraId="7926357D">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14.</w:t>
      </w:r>
      <w:r>
        <w:rPr>
          <w:rFonts w:hint="eastAsia" w:ascii="宋体" w:hAnsi="宋体" w:cs="仿宋"/>
          <w:color w:val="auto"/>
          <w:sz w:val="24"/>
          <w:szCs w:val="24"/>
        </w:rPr>
        <w:t>成交商必须把好饮食卫生“四关”，即验收关、拣洗关、烹饪关和销售关；“三消毒”，即餐具消毒、工用具消毒和功能间消毒；“二净”，即窗口服务员工要衣、帽干净整洁；“一留样”，即熟食留样并记录。</w:t>
      </w:r>
    </w:p>
    <w:p w14:paraId="5EC6FF68">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15.</w:t>
      </w:r>
      <w:r>
        <w:rPr>
          <w:rFonts w:hint="eastAsia" w:ascii="宋体" w:hAnsi="宋体" w:cs="仿宋"/>
          <w:color w:val="auto"/>
          <w:sz w:val="24"/>
          <w:szCs w:val="24"/>
        </w:rPr>
        <w:t>成交商做好餐具和工用具的洗涤，洗涤用品必须选用符合国家相关标准的食品级用品，清洗好的餐具和工用具做好保洁工作，餐具需烘干，无水渍。</w:t>
      </w:r>
    </w:p>
    <w:p w14:paraId="4F9605B3">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16.</w:t>
      </w:r>
      <w:r>
        <w:rPr>
          <w:rFonts w:hint="eastAsia" w:ascii="宋体" w:hAnsi="宋体" w:cs="仿宋"/>
          <w:color w:val="auto"/>
          <w:sz w:val="24"/>
          <w:szCs w:val="24"/>
        </w:rPr>
        <w:t>成交商所提供的不锈钢餐具必须符合国家标准</w:t>
      </w:r>
      <w:r>
        <w:rPr>
          <w:rFonts w:ascii="宋体" w:hAnsi="宋体" w:cs="仿宋"/>
          <w:color w:val="auto"/>
          <w:sz w:val="24"/>
          <w:szCs w:val="24"/>
        </w:rPr>
        <w:t>GB/T15067.2-2016，密胺塑料餐具必须符合国家标准GB/T41001-2021，一次性塑料餐饮用具必须符合国家标准GB/T18006.12009，GB/T18006.1-2020，一次性纸</w:t>
      </w:r>
      <w:r>
        <w:rPr>
          <w:rFonts w:hint="eastAsia" w:ascii="宋体" w:hAnsi="宋体" w:cs="仿宋"/>
          <w:color w:val="auto"/>
          <w:sz w:val="24"/>
          <w:szCs w:val="24"/>
        </w:rPr>
        <w:t>碗必须符合国家标准</w:t>
      </w:r>
      <w:r>
        <w:rPr>
          <w:rFonts w:ascii="宋体" w:hAnsi="宋体" w:cs="仿宋"/>
          <w:color w:val="auto"/>
          <w:sz w:val="24"/>
          <w:szCs w:val="24"/>
        </w:rPr>
        <w:t>GB/T27591—2011，一次性筷子（木筷）必须符合国家标准GB/T19790.1-2021，一次性筷子（竹筷）必须符合国家标准GB19790.2-2005，倡导使用环保低碳可降解产品。</w:t>
      </w:r>
    </w:p>
    <w:p w14:paraId="0320D723">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17.</w:t>
      </w:r>
      <w:r>
        <w:rPr>
          <w:rFonts w:hint="eastAsia" w:ascii="宋体" w:hAnsi="宋体" w:cs="仿宋"/>
          <w:color w:val="auto"/>
          <w:sz w:val="24"/>
          <w:szCs w:val="24"/>
        </w:rPr>
        <w:t>成交商应加强员工安全教育，落实安全措施，按加工流程和操作流程规范生产，违章操作者按有关制度严格处罚，确保食品安全、消防安全、生产安全、食堂卫生、环境卫生，“四防”（防毒、防火、防盗、防恐）责任到人，食堂负责人及专职安全员每日负责检查并作好检查记录备查。</w:t>
      </w:r>
    </w:p>
    <w:p w14:paraId="3F4D58EA">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18.</w:t>
      </w:r>
      <w:r>
        <w:rPr>
          <w:rFonts w:hint="eastAsia" w:ascii="宋体" w:hAnsi="宋体" w:cs="仿宋"/>
          <w:color w:val="auto"/>
          <w:sz w:val="24"/>
          <w:szCs w:val="24"/>
        </w:rPr>
        <w:t>成交商经营本项目要实行“四统一”，即统一规划建设、统一管理、统一采购、统一洗消，服从调整和安排。如遇紧急情况和突发事件，成交商必须无条件服从采购人的统一安排和指挥。</w:t>
      </w:r>
    </w:p>
    <w:p w14:paraId="51385DD3">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19.</w:t>
      </w:r>
      <w:r>
        <w:rPr>
          <w:rFonts w:hint="eastAsia" w:ascii="宋体" w:hAnsi="宋体" w:cs="仿宋"/>
          <w:color w:val="auto"/>
          <w:sz w:val="24"/>
          <w:szCs w:val="24"/>
        </w:rPr>
        <w:t>成交商必须按照采购人要求，指派公司负责人全面统筹所经营管理食堂的食品安全、饭菜质量、内部管理等，每月应至少</w:t>
      </w:r>
      <w:r>
        <w:rPr>
          <w:rFonts w:ascii="宋体" w:hAnsi="宋体" w:cs="仿宋"/>
          <w:color w:val="auto"/>
          <w:sz w:val="24"/>
          <w:szCs w:val="24"/>
        </w:rPr>
        <w:t>1次到食堂现场检查食品安全工作并留在检查影像资料和记录备查。</w:t>
      </w:r>
    </w:p>
    <w:p w14:paraId="60BA0D41">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20.招标文件中未尽条款按《中华人民共和国食品安全法》、《中华人民共和国食品安全法实施条例》、《餐饮服务食品安全操作规范》、《GB31654-2021食品安全国家标准餐饮服务通用卫生规范</w:t>
      </w:r>
      <w:r>
        <w:rPr>
          <w:rFonts w:hint="eastAsia" w:ascii="宋体" w:hAnsi="宋体" w:cs="仿宋"/>
          <w:color w:val="auto"/>
          <w:sz w:val="24"/>
          <w:szCs w:val="24"/>
        </w:rPr>
        <w:t>》、《重庆文理学院食品安全管理办法》、《重庆文理学院食堂监管办法》等最新相关文件要求执行。</w:t>
      </w:r>
    </w:p>
    <w:p w14:paraId="1AB8F52E">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21.采购人不提供员工住宿场所，</w:t>
      </w:r>
      <w:r>
        <w:rPr>
          <w:rFonts w:hint="eastAsia" w:ascii="宋体" w:hAnsi="宋体" w:cs="仿宋"/>
          <w:color w:val="auto"/>
          <w:sz w:val="24"/>
          <w:szCs w:val="24"/>
        </w:rPr>
        <w:t>成交商自行解决员工住宿问题，员工不得在食堂内住宿。</w:t>
      </w:r>
    </w:p>
    <w:p w14:paraId="2BDF0429">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22.垃圾处理及油污排放:厨余垃圾成交供应商必须交由政府相关部门指定的有合法资质的单位回收处理，</w:t>
      </w:r>
      <w:bookmarkStart w:id="50" w:name="OLE_LINK12"/>
      <w:r>
        <w:rPr>
          <w:rFonts w:hint="eastAsia" w:ascii="宋体" w:hAnsi="宋体" w:cs="仿宋"/>
          <w:color w:val="auto"/>
          <w:sz w:val="24"/>
          <w:szCs w:val="24"/>
        </w:rPr>
        <w:t>费用由成交供应商承担，</w:t>
      </w:r>
      <w:bookmarkEnd w:id="50"/>
      <w:r>
        <w:rPr>
          <w:rFonts w:hint="eastAsia" w:ascii="宋体" w:hAnsi="宋体" w:cs="仿宋"/>
          <w:color w:val="auto"/>
          <w:sz w:val="24"/>
          <w:szCs w:val="24"/>
        </w:rPr>
        <w:t>严禁私自变卖等违法处理，否则每次扣罚违约金10000元。油污排放：食堂内所有油污必须排入学校现有的化油池，食堂至化油池间的管网根据需要进行必要的改造，并做好疏通和维护保养工作，</w:t>
      </w:r>
      <w:bookmarkStart w:id="51" w:name="OLE_LINK14"/>
      <w:bookmarkStart w:id="52" w:name="OLE_LINK13"/>
      <w:r>
        <w:rPr>
          <w:rFonts w:hint="eastAsia" w:ascii="宋体" w:hAnsi="宋体" w:cs="仿宋"/>
          <w:color w:val="auto"/>
          <w:sz w:val="24"/>
          <w:szCs w:val="24"/>
        </w:rPr>
        <w:t>其费用由成交供应商承担，拒绝改造或者改造不到位的每次扣罚违约金10000元。</w:t>
      </w:r>
    </w:p>
    <w:bookmarkEnd w:id="51"/>
    <w:bookmarkEnd w:id="52"/>
    <w:p w14:paraId="7A1B4FDB">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23.食堂货运升降梯使用要求:现食堂内有部分货运升降梯暂不能使用，如成交供应商需要使用须对其安全性进行加强</w:t>
      </w:r>
      <w:r>
        <w:rPr>
          <w:rFonts w:hint="eastAsia" w:ascii="宋体" w:hAnsi="宋体" w:cs="仿宋"/>
          <w:color w:val="auto"/>
          <w:sz w:val="24"/>
          <w:szCs w:val="24"/>
        </w:rPr>
        <w:t>管理，并取得市场监管部门许可后方可使用，其使用的安全责任和费用由成交供应商承担。</w:t>
      </w:r>
    </w:p>
    <w:p w14:paraId="78C947E1">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 xml:space="preserve">24、物质存贮管理要求:建设数智化库房管理系统，做到物资分区、分类、整齐有序，标识清楚、温度适宜、干净卫生、专人管理、台账清晰。 </w:t>
      </w:r>
    </w:p>
    <w:p w14:paraId="5478FB95">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25.接待餐厅要求：包2成交商须积极配合、参与采购人的各类重大活动（如迎新、专项会务及活动、上级检查评估等），加强桌餐（包房接待）备餐能力，并提供优质服务。按采购人会议、活动主办单位要求提供用餐方案（用餐方案须经采购人会议活动主办单位审核</w:t>
      </w:r>
      <w:r>
        <w:rPr>
          <w:rFonts w:hint="eastAsia" w:ascii="宋体" w:hAnsi="宋体" w:cs="仿宋"/>
          <w:color w:val="auto"/>
          <w:sz w:val="24"/>
          <w:szCs w:val="24"/>
        </w:rPr>
        <w:t>书面同意</w:t>
      </w:r>
      <w:r>
        <w:rPr>
          <w:rFonts w:ascii="宋体" w:hAnsi="宋体" w:cs="仿宋"/>
          <w:color w:val="auto"/>
          <w:sz w:val="24"/>
          <w:szCs w:val="24"/>
        </w:rPr>
        <w:t>后执行），用餐形式包含大型会议自助餐和包房接待餐，方案中涉及的菜品等应优质薄利提供。</w:t>
      </w:r>
    </w:p>
    <w:p w14:paraId="2C232268">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2</w:t>
      </w:r>
      <w:r>
        <w:rPr>
          <w:rFonts w:hint="eastAsia" w:ascii="宋体" w:hAnsi="宋体" w:cs="仿宋"/>
          <w:color w:val="auto"/>
          <w:sz w:val="24"/>
          <w:szCs w:val="24"/>
        </w:rPr>
        <w:t>6</w:t>
      </w:r>
      <w:r>
        <w:rPr>
          <w:rFonts w:ascii="宋体" w:hAnsi="宋体" w:cs="仿宋"/>
          <w:color w:val="auto"/>
          <w:sz w:val="24"/>
          <w:szCs w:val="24"/>
        </w:rPr>
        <w:t>.包1、包3、包5成交商必须在收到中标通知之日起至2025年9月5日正式供餐之前，无条件根据采购人要求做好暑假食堂供餐值班保障工作。所有成交商在2025年9月5日必须达到正式供餐条件要求，否则按违约处理，每延迟一天须支付违约金100000元。</w:t>
      </w:r>
    </w:p>
    <w:p w14:paraId="12CAC329">
      <w:pPr>
        <w:pStyle w:val="4"/>
        <w:spacing w:line="400" w:lineRule="exact"/>
        <w:rPr>
          <w:b w:val="0"/>
          <w:color w:val="auto"/>
        </w:rPr>
      </w:pPr>
      <w:bookmarkStart w:id="53" w:name="_Toc3559"/>
      <w:bookmarkStart w:id="54" w:name="_Toc22378"/>
      <w:r>
        <w:rPr>
          <w:rFonts w:hint="eastAsia"/>
          <w:b w:val="0"/>
          <w:color w:val="auto"/>
        </w:rPr>
        <w:t>（三）食材要求</w:t>
      </w:r>
      <w:bookmarkEnd w:id="53"/>
      <w:bookmarkEnd w:id="54"/>
    </w:p>
    <w:p w14:paraId="4875BD74">
      <w:pPr>
        <w:spacing w:line="440" w:lineRule="exact"/>
        <w:ind w:firstLine="480" w:firstLineChars="200"/>
        <w:jc w:val="left"/>
        <w:rPr>
          <w:rFonts w:ascii="宋体" w:hAnsi="宋体" w:cs="仿宋"/>
          <w:color w:val="auto"/>
          <w:sz w:val="24"/>
          <w:szCs w:val="24"/>
        </w:rPr>
      </w:pPr>
      <w:r>
        <w:rPr>
          <w:rFonts w:ascii="宋体" w:hAnsi="宋体" w:cs="宋体"/>
          <w:color w:val="auto"/>
          <w:sz w:val="24"/>
          <w:szCs w:val="28"/>
        </w:rPr>
        <w:t>1.</w:t>
      </w:r>
      <w:r>
        <w:rPr>
          <w:rFonts w:hint="eastAsia" w:ascii="宋体" w:hAnsi="宋体" w:cs="宋体"/>
          <w:color w:val="auto"/>
          <w:sz w:val="24"/>
          <w:szCs w:val="28"/>
        </w:rPr>
        <w:t>成交商必须建立食堂集中统一采购制度，集中统一采购食材（含米、面、油、肉、蔬菜、一次性餐具以及各类原辅料及调料），其中食用油必须为非转基因品种，米为</w:t>
      </w:r>
      <w:r>
        <w:rPr>
          <w:rFonts w:hint="eastAsia"/>
          <w:color w:val="auto"/>
          <w:sz w:val="24"/>
          <w:szCs w:val="24"/>
        </w:rPr>
        <w:t>品牌优质东北当年产大米</w:t>
      </w:r>
      <w:r>
        <w:rPr>
          <w:rFonts w:hint="eastAsia" w:ascii="宋体" w:hAnsi="宋体" w:cs="宋体"/>
          <w:color w:val="auto"/>
          <w:sz w:val="24"/>
          <w:szCs w:val="28"/>
        </w:rPr>
        <w:t>，未经采购人允许，不得使用及进口冻制食材。成交商必须全力配合采购人搞好食品安全的入口关管理，</w:t>
      </w:r>
      <w:r>
        <w:rPr>
          <w:rFonts w:hint="eastAsia" w:ascii="宋体" w:hAnsi="宋体" w:cs="仿宋"/>
          <w:color w:val="auto"/>
          <w:sz w:val="24"/>
          <w:szCs w:val="24"/>
        </w:rPr>
        <w:t>须保证各类食材供应商资质符合采购人要求，相应证照复印件收集完整，报采购人备案，并</w:t>
      </w:r>
      <w:r>
        <w:rPr>
          <w:rFonts w:hint="eastAsia" w:ascii="宋体" w:hAnsi="宋体" w:cs="宋体"/>
          <w:color w:val="auto"/>
          <w:sz w:val="24"/>
          <w:szCs w:val="28"/>
        </w:rPr>
        <w:t>将原辅料采购相关信息纳入采购人数智食堂系统统一管理。执行好采购人规定的采购原则和制度，确保食材采购管理规范。</w:t>
      </w:r>
    </w:p>
    <w:p w14:paraId="5B5FCD26">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2.</w:t>
      </w:r>
      <w:r>
        <w:rPr>
          <w:rFonts w:hint="eastAsia" w:ascii="宋体" w:hAnsi="宋体" w:cs="仿宋"/>
          <w:color w:val="auto"/>
          <w:sz w:val="24"/>
          <w:szCs w:val="24"/>
        </w:rPr>
        <w:t>成交商必须使用进销存管理系统，在系统中建立所有食材（主料、辅料、调料）进货、出货台账，采购人将根据系统数据对食材进出情况进行核验。成交商须安排专人负责管理进销存系统，确保每天进货、出货数据及时更新，保证食材种类、数量与系统数据一致。</w:t>
      </w:r>
    </w:p>
    <w:p w14:paraId="39E262B3">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3.餐饮原材料的采购须严格执行</w:t>
      </w:r>
      <w:r>
        <w:rPr>
          <w:rFonts w:hint="eastAsia" w:ascii="宋体" w:hAnsi="宋体" w:cs="宋体"/>
          <w:color w:val="auto"/>
          <w:sz w:val="24"/>
          <w:szCs w:val="28"/>
        </w:rPr>
        <w:t>索证索票、登记和验收制度</w:t>
      </w:r>
      <w:r>
        <w:rPr>
          <w:rFonts w:hint="eastAsia" w:ascii="宋体" w:hAnsi="宋体" w:cs="仿宋"/>
          <w:color w:val="auto"/>
          <w:sz w:val="24"/>
          <w:szCs w:val="24"/>
        </w:rPr>
        <w:t>，并建立台帐，</w:t>
      </w:r>
      <w:r>
        <w:rPr>
          <w:rFonts w:hint="eastAsia" w:ascii="宋体" w:hAnsi="宋体" w:cs="宋体"/>
          <w:color w:val="auto"/>
          <w:sz w:val="24"/>
          <w:szCs w:val="28"/>
        </w:rPr>
        <w:t>确保准确溯源。</w:t>
      </w:r>
      <w:r>
        <w:rPr>
          <w:rFonts w:hint="eastAsia" w:ascii="宋体" w:hAnsi="宋体" w:cs="仿宋"/>
          <w:color w:val="auto"/>
          <w:sz w:val="24"/>
          <w:szCs w:val="24"/>
        </w:rPr>
        <w:t>对购买的每批次货物生产厂家的营业执照、卫生许可证、检疫检验、购货单据等相关证明应保存二年以上，以备查验。</w:t>
      </w:r>
      <w:r>
        <w:rPr>
          <w:rFonts w:hint="eastAsia" w:ascii="宋体" w:hAnsi="宋体" w:cs="宋体"/>
          <w:color w:val="auto"/>
          <w:sz w:val="24"/>
          <w:szCs w:val="28"/>
        </w:rPr>
        <w:t>严禁“三无产品”（无生产日期、无质量合格证及无生产厂家）、不合格品、过期、变质食品及原料进入食堂</w:t>
      </w:r>
      <w:r>
        <w:rPr>
          <w:rFonts w:hint="eastAsia" w:ascii="宋体" w:hAnsi="宋体" w:cs="仿宋"/>
          <w:color w:val="auto"/>
          <w:sz w:val="24"/>
          <w:szCs w:val="24"/>
        </w:rPr>
        <w:t>，否则视为违约，</w:t>
      </w:r>
      <w:r>
        <w:rPr>
          <w:rFonts w:ascii="宋体" w:hAnsi="宋体"/>
          <w:color w:val="auto"/>
          <w:sz w:val="24"/>
          <w:szCs w:val="24"/>
        </w:rPr>
        <w:t>采购人有权单方面解除合同，</w:t>
      </w:r>
      <w:r>
        <w:rPr>
          <w:rFonts w:hint="eastAsia" w:ascii="宋体" w:hAnsi="宋体"/>
          <w:color w:val="auto"/>
          <w:sz w:val="24"/>
          <w:szCs w:val="24"/>
        </w:rPr>
        <w:t>且</w:t>
      </w:r>
      <w:r>
        <w:rPr>
          <w:rFonts w:ascii="宋体" w:hAnsi="宋体"/>
          <w:color w:val="auto"/>
          <w:sz w:val="24"/>
          <w:szCs w:val="24"/>
        </w:rPr>
        <w:t>不退还全部履约保证金</w:t>
      </w:r>
      <w:r>
        <w:rPr>
          <w:rFonts w:hint="eastAsia" w:ascii="宋体" w:hAnsi="宋体"/>
          <w:color w:val="auto"/>
          <w:sz w:val="24"/>
          <w:szCs w:val="24"/>
        </w:rPr>
        <w:t>。</w:t>
      </w:r>
    </w:p>
    <w:p w14:paraId="72A0C043">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4.采购人随机检查</w:t>
      </w:r>
      <w:r>
        <w:rPr>
          <w:rFonts w:hint="eastAsia" w:ascii="宋体" w:hAnsi="宋体" w:cs="仿宋"/>
          <w:color w:val="auto"/>
          <w:sz w:val="24"/>
          <w:szCs w:val="24"/>
        </w:rPr>
        <w:t>成交商的伙食原材料采购情况，包括但不限于供应商合同、发票、支付凭证等文件资料，采购人必要时有权委托第三方机构对成交商伙食原料进行检验检测，并由成交商承担检验检测费；检验检测不合格的，成交商承担所有有关责任。成交商需积极配合采购人开展此项工作，不得推诿、拒绝，否则视为违约，每次扣罚违约金10000元。</w:t>
      </w:r>
    </w:p>
    <w:p w14:paraId="5A70A124">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5.</w:t>
      </w:r>
      <w:r>
        <w:rPr>
          <w:rFonts w:hint="eastAsia" w:ascii="宋体" w:hAnsi="宋体" w:cs="仿宋"/>
          <w:color w:val="auto"/>
          <w:sz w:val="24"/>
          <w:szCs w:val="24"/>
        </w:rPr>
        <w:t>成交商烹制饭菜所用的原材料、调味品等应符合国家有关规定，严禁使用非食用辅助材料或添加剂加工食品，否则视为违约，首次扣罚违约金10000元，第二次开始每次50000元。</w:t>
      </w:r>
    </w:p>
    <w:p w14:paraId="0DA3BE2C">
      <w:pPr>
        <w:spacing w:line="400" w:lineRule="exact"/>
        <w:ind w:firstLine="480" w:firstLineChars="200"/>
        <w:rPr>
          <w:rFonts w:ascii="宋体" w:hAnsi="宋体" w:cs="宋体"/>
          <w:color w:val="auto"/>
          <w:sz w:val="24"/>
          <w:szCs w:val="28"/>
        </w:rPr>
      </w:pPr>
      <w:r>
        <w:rPr>
          <w:rFonts w:ascii="宋体" w:hAnsi="宋体" w:cs="宋体"/>
          <w:color w:val="auto"/>
          <w:sz w:val="24"/>
          <w:szCs w:val="28"/>
        </w:rPr>
        <w:t>6.</w:t>
      </w:r>
      <w:r>
        <w:rPr>
          <w:rFonts w:hint="eastAsia" w:ascii="宋体" w:hAnsi="宋体" w:cs="宋体"/>
          <w:color w:val="auto"/>
          <w:sz w:val="24"/>
          <w:szCs w:val="28"/>
        </w:rPr>
        <w:t>成交商须按照《重庆市财政局关于做好贫困地区农副产品预留采购份额工作的通知》（渝财采购〔</w:t>
      </w:r>
      <w:r>
        <w:rPr>
          <w:rFonts w:ascii="宋体" w:hAnsi="宋体" w:cs="宋体"/>
          <w:color w:val="auto"/>
          <w:sz w:val="24"/>
          <w:szCs w:val="28"/>
        </w:rPr>
        <w:t xml:space="preserve">2019〕10 </w:t>
      </w:r>
      <w:r>
        <w:rPr>
          <w:rFonts w:hint="eastAsia" w:ascii="宋体" w:hAnsi="宋体" w:cs="宋体"/>
          <w:color w:val="auto"/>
          <w:sz w:val="24"/>
          <w:szCs w:val="28"/>
        </w:rPr>
        <w:t>号，如有新文件要求，按新文件要求执行）及相关上级部门关于消费帮扶工作的要求，完成采购人预留给贫困地区或乡村振兴帮扶地区农副产品的采购份额，采购金额以采购人核定为准，成交商不得</w:t>
      </w:r>
      <w:r>
        <w:rPr>
          <w:rFonts w:hint="eastAsia" w:ascii="宋体" w:hAnsi="宋体" w:cs="仿宋"/>
          <w:color w:val="auto"/>
          <w:sz w:val="24"/>
          <w:szCs w:val="24"/>
        </w:rPr>
        <w:t>推诿、拒绝，否则，</w:t>
      </w:r>
      <w:r>
        <w:rPr>
          <w:rFonts w:hint="eastAsia" w:ascii="宋体" w:hAnsi="宋体"/>
          <w:color w:val="auto"/>
          <w:sz w:val="24"/>
          <w:szCs w:val="24"/>
        </w:rPr>
        <w:t>成交商每次向采购人支付违约金</w:t>
      </w:r>
      <w:r>
        <w:rPr>
          <w:rFonts w:ascii="宋体" w:hAnsi="宋体"/>
          <w:color w:val="auto"/>
          <w:sz w:val="24"/>
          <w:szCs w:val="24"/>
        </w:rPr>
        <w:t>50000元人民币</w:t>
      </w:r>
      <w:r>
        <w:rPr>
          <w:rFonts w:hint="eastAsia" w:ascii="宋体" w:hAnsi="宋体" w:cs="仿宋"/>
          <w:color w:val="auto"/>
          <w:sz w:val="24"/>
          <w:szCs w:val="24"/>
        </w:rPr>
        <w:t>。</w:t>
      </w:r>
    </w:p>
    <w:p w14:paraId="6688D2F1">
      <w:pPr>
        <w:pStyle w:val="4"/>
        <w:spacing w:line="400" w:lineRule="exact"/>
        <w:rPr>
          <w:b w:val="0"/>
          <w:color w:val="auto"/>
        </w:rPr>
      </w:pPr>
      <w:bookmarkStart w:id="55" w:name="_Toc4245"/>
      <w:r>
        <w:rPr>
          <w:rFonts w:hint="eastAsia"/>
          <w:b w:val="0"/>
          <w:color w:val="auto"/>
        </w:rPr>
        <w:t>（四）食堂消防安全要求</w:t>
      </w:r>
      <w:bookmarkEnd w:id="55"/>
    </w:p>
    <w:p w14:paraId="2E989DCF">
      <w:pPr>
        <w:spacing w:line="400" w:lineRule="exact"/>
        <w:ind w:firstLine="480" w:firstLineChars="200"/>
        <w:rPr>
          <w:rFonts w:ascii="宋体" w:hAnsi="宋体" w:cs="宋体"/>
          <w:color w:val="auto"/>
          <w:sz w:val="24"/>
          <w:szCs w:val="28"/>
        </w:rPr>
      </w:pPr>
      <w:r>
        <w:rPr>
          <w:rFonts w:ascii="宋体" w:hAnsi="宋体" w:cs="宋体"/>
          <w:color w:val="auto"/>
          <w:sz w:val="24"/>
          <w:szCs w:val="28"/>
        </w:rPr>
        <w:t>1.</w:t>
      </w:r>
      <w:r>
        <w:rPr>
          <w:rFonts w:hint="eastAsia" w:ascii="宋体" w:hAnsi="宋体" w:cs="宋体"/>
          <w:color w:val="auto"/>
          <w:sz w:val="24"/>
          <w:szCs w:val="28"/>
        </w:rPr>
        <w:t>成交商必须按照市场监管、消防、环保、燃气等部门及采购人的要求对食堂的燃气设施、一氧化碳探头、燃气报警装置和安全自闭阀、抽排灭火喷淋、新风系统、消防报警、喷淋、烟感、温感、报警系统、特种设备及电路电气设备进行安装、更换、添置、维修、维护、年检并取得相关合格报告或检验合格证明材料交采购人备案，保证相关设施、设备的正常、安全运行，确保通过食品安全、消防安全、燃气安全、环保等部门的验收。为保证服务需要，</w:t>
      </w:r>
      <w:r>
        <w:rPr>
          <w:rFonts w:hint="eastAsia" w:ascii="宋体" w:hAnsi="宋体" w:cs="宋体"/>
          <w:bCs/>
          <w:color w:val="auto"/>
          <w:sz w:val="24"/>
          <w:szCs w:val="28"/>
        </w:rPr>
        <w:t>完成油烟净化器、烟道、烟机及送排风系统的更换</w:t>
      </w:r>
      <w:r>
        <w:rPr>
          <w:rFonts w:hint="eastAsia" w:ascii="宋体" w:hAnsi="宋体" w:cs="宋体"/>
          <w:color w:val="auto"/>
          <w:sz w:val="24"/>
          <w:szCs w:val="28"/>
        </w:rPr>
        <w:t>、清洗、维护，油烟抽排标准符合国家及重庆市有关规定，上述一切改造、安装、更换、维修维护、整改费用由成交商自行承担。</w:t>
      </w:r>
    </w:p>
    <w:p w14:paraId="4ACE9DB8">
      <w:pPr>
        <w:spacing w:line="400" w:lineRule="exact"/>
        <w:ind w:firstLine="480" w:firstLineChars="200"/>
        <w:rPr>
          <w:rFonts w:ascii="宋体" w:hAnsi="宋体" w:cs="宋体"/>
          <w:color w:val="auto"/>
          <w:sz w:val="24"/>
          <w:szCs w:val="28"/>
        </w:rPr>
      </w:pPr>
      <w:r>
        <w:rPr>
          <w:rFonts w:ascii="宋体" w:hAnsi="宋体" w:cs="宋体"/>
          <w:color w:val="auto"/>
          <w:sz w:val="24"/>
          <w:szCs w:val="28"/>
        </w:rPr>
        <w:t>2.</w:t>
      </w:r>
      <w:r>
        <w:rPr>
          <w:rFonts w:hint="eastAsia" w:ascii="宋体" w:hAnsi="宋体" w:cs="宋体"/>
          <w:color w:val="auto"/>
          <w:sz w:val="24"/>
          <w:szCs w:val="28"/>
        </w:rPr>
        <w:t>环境改善完成后，成交商应达到由政府机构认可的第三方机构出具的消防安全验收合格检测报告，相关费用由成交商承担。</w:t>
      </w:r>
    </w:p>
    <w:p w14:paraId="2FCD9A71">
      <w:pPr>
        <w:spacing w:line="400" w:lineRule="exact"/>
        <w:ind w:firstLine="480" w:firstLineChars="200"/>
        <w:rPr>
          <w:rFonts w:ascii="宋体" w:hAnsi="宋体" w:cs="宋体"/>
          <w:color w:val="auto"/>
          <w:sz w:val="24"/>
          <w:szCs w:val="28"/>
        </w:rPr>
      </w:pPr>
      <w:r>
        <w:rPr>
          <w:rFonts w:ascii="宋体" w:hAnsi="宋体" w:cs="宋体"/>
          <w:color w:val="auto"/>
          <w:sz w:val="24"/>
          <w:szCs w:val="28"/>
        </w:rPr>
        <w:t>3.</w:t>
      </w:r>
      <w:r>
        <w:rPr>
          <w:rFonts w:hint="eastAsia" w:ascii="宋体" w:hAnsi="宋体" w:cs="宋体"/>
          <w:color w:val="auto"/>
          <w:sz w:val="24"/>
          <w:szCs w:val="28"/>
        </w:rPr>
        <w:t>成交商必须按消防法规相关要求，食堂防火分隔采用</w:t>
      </w:r>
      <w:r>
        <w:rPr>
          <w:rFonts w:ascii="宋体" w:hAnsi="宋体" w:cs="宋体"/>
          <w:color w:val="auto"/>
          <w:sz w:val="24"/>
          <w:szCs w:val="28"/>
        </w:rPr>
        <w:t>2.0砖墙分隔并使用防火玻璃，装修材料燃烧性能等级需达到B1级（难燃材料）及以上，其中顶棚材料须采用A级（不燃材料），严禁使用易燃可燃材料,具体要求如下：</w:t>
      </w:r>
    </w:p>
    <w:p w14:paraId="006A6376">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w:t>
      </w:r>
      <w:r>
        <w:rPr>
          <w:rFonts w:ascii="宋体" w:hAnsi="宋体" w:cs="宋体"/>
          <w:color w:val="auto"/>
          <w:sz w:val="24"/>
          <w:szCs w:val="28"/>
        </w:rPr>
        <w:t>1）建筑防火规范</w:t>
      </w:r>
    </w:p>
    <w:p w14:paraId="64CD611E">
      <w:pPr>
        <w:spacing w:line="400" w:lineRule="exact"/>
        <w:ind w:firstLine="480" w:firstLineChars="200"/>
        <w:rPr>
          <w:rFonts w:ascii="宋体" w:hAnsi="宋体" w:cs="宋体"/>
          <w:color w:val="auto"/>
          <w:sz w:val="24"/>
          <w:szCs w:val="28"/>
        </w:rPr>
      </w:pPr>
      <w:r>
        <w:rPr>
          <w:rFonts w:ascii="宋体" w:hAnsi="宋体" w:cs="宋体"/>
          <w:color w:val="auto"/>
          <w:sz w:val="24"/>
          <w:szCs w:val="28"/>
        </w:rPr>
        <w:t>a.耐火等级</w:t>
      </w:r>
    </w:p>
    <w:p w14:paraId="0CFCFEA2">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厨房区域应与其他区域采用防火隔墙（≥</w:t>
      </w:r>
      <w:r>
        <w:rPr>
          <w:rFonts w:ascii="宋体" w:hAnsi="宋体" w:cs="宋体"/>
          <w:color w:val="auto"/>
          <w:sz w:val="24"/>
          <w:szCs w:val="28"/>
        </w:rPr>
        <w:t>2h耐火极限）和甲级防火门分隔。</w:t>
      </w:r>
    </w:p>
    <w:p w14:paraId="6DEEEEC5">
      <w:pPr>
        <w:spacing w:line="400" w:lineRule="exact"/>
        <w:ind w:firstLine="480" w:firstLineChars="200"/>
        <w:rPr>
          <w:rFonts w:ascii="宋体" w:hAnsi="宋体" w:cs="宋体"/>
          <w:color w:val="auto"/>
          <w:sz w:val="24"/>
          <w:szCs w:val="28"/>
        </w:rPr>
      </w:pPr>
      <w:r>
        <w:rPr>
          <w:rFonts w:ascii="宋体" w:hAnsi="宋体" w:cs="宋体"/>
          <w:color w:val="auto"/>
          <w:sz w:val="24"/>
          <w:szCs w:val="28"/>
        </w:rPr>
        <w:t>墙面、地面：B1级（难燃）材料</w:t>
      </w:r>
      <w:r>
        <w:rPr>
          <w:rFonts w:hint="eastAsia" w:ascii="宋体" w:hAnsi="宋体" w:cs="宋体"/>
          <w:color w:val="auto"/>
          <w:sz w:val="24"/>
          <w:szCs w:val="28"/>
        </w:rPr>
        <w:t>及以上，</w:t>
      </w:r>
      <w:r>
        <w:rPr>
          <w:rFonts w:ascii="宋体" w:hAnsi="宋体" w:cs="宋体"/>
          <w:color w:val="auto"/>
          <w:sz w:val="24"/>
          <w:szCs w:val="28"/>
        </w:rPr>
        <w:t>顶棚必须使用A级（不燃）材料，禁止使用易燃材料（如泡沫板、木板等）。</w:t>
      </w:r>
    </w:p>
    <w:p w14:paraId="6306C6C1">
      <w:pPr>
        <w:spacing w:line="400" w:lineRule="exact"/>
        <w:ind w:firstLine="480" w:firstLineChars="200"/>
        <w:rPr>
          <w:rFonts w:ascii="宋体" w:hAnsi="宋体" w:cs="宋体"/>
          <w:color w:val="auto"/>
          <w:sz w:val="24"/>
          <w:szCs w:val="28"/>
        </w:rPr>
      </w:pPr>
      <w:r>
        <w:rPr>
          <w:rFonts w:ascii="宋体" w:hAnsi="宋体" w:cs="宋体"/>
          <w:color w:val="auto"/>
          <w:sz w:val="24"/>
          <w:szCs w:val="28"/>
        </w:rPr>
        <w:t>b.安全疏散</w:t>
      </w:r>
    </w:p>
    <w:p w14:paraId="688CFE3F">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出口数量：至少设置</w:t>
      </w:r>
      <w:r>
        <w:rPr>
          <w:rFonts w:ascii="宋体" w:hAnsi="宋体" w:cs="宋体"/>
          <w:color w:val="auto"/>
          <w:sz w:val="24"/>
          <w:szCs w:val="28"/>
        </w:rPr>
        <w:t>2个独立安全出口，且间距≥5米。</w:t>
      </w:r>
    </w:p>
    <w:p w14:paraId="7ECE2DD3">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通道宽度：主疏散通道≥</w:t>
      </w:r>
      <w:r>
        <w:rPr>
          <w:rFonts w:ascii="宋体" w:hAnsi="宋体" w:cs="宋体"/>
          <w:color w:val="auto"/>
          <w:sz w:val="24"/>
          <w:szCs w:val="28"/>
        </w:rPr>
        <w:t>1.4米，次通道≥1.1米，不得堆放杂物。</w:t>
      </w:r>
    </w:p>
    <w:p w14:paraId="4942445F">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疏散门：必须为外开式，宽度≥</w:t>
      </w:r>
      <w:r>
        <w:rPr>
          <w:rFonts w:ascii="宋体" w:hAnsi="宋体" w:cs="宋体"/>
          <w:color w:val="auto"/>
          <w:sz w:val="24"/>
          <w:szCs w:val="28"/>
        </w:rPr>
        <w:t>1.2米，禁止使用推拉门或卷帘门。</w:t>
      </w:r>
    </w:p>
    <w:p w14:paraId="7F6F3049">
      <w:pPr>
        <w:spacing w:line="400" w:lineRule="exact"/>
        <w:ind w:firstLine="480" w:firstLineChars="200"/>
        <w:rPr>
          <w:rFonts w:ascii="宋体" w:hAnsi="宋体" w:cs="宋体"/>
          <w:color w:val="auto"/>
          <w:sz w:val="24"/>
          <w:szCs w:val="28"/>
        </w:rPr>
      </w:pPr>
      <w:r>
        <w:rPr>
          <w:rFonts w:ascii="宋体" w:hAnsi="宋体" w:cs="宋体"/>
          <w:color w:val="auto"/>
          <w:sz w:val="24"/>
          <w:szCs w:val="28"/>
        </w:rPr>
        <w:t>(2)厨房专项要求</w:t>
      </w:r>
    </w:p>
    <w:p w14:paraId="3CD068D7">
      <w:pPr>
        <w:spacing w:line="400" w:lineRule="exact"/>
        <w:ind w:firstLine="480" w:firstLineChars="200"/>
        <w:rPr>
          <w:rFonts w:ascii="宋体" w:hAnsi="宋体" w:cs="宋体"/>
          <w:color w:val="auto"/>
          <w:sz w:val="24"/>
          <w:szCs w:val="28"/>
        </w:rPr>
      </w:pPr>
      <w:r>
        <w:rPr>
          <w:rFonts w:ascii="宋体" w:hAnsi="宋体" w:cs="宋体"/>
          <w:color w:val="auto"/>
          <w:sz w:val="24"/>
          <w:szCs w:val="28"/>
        </w:rPr>
        <w:t>a.防火分隔</w:t>
      </w:r>
    </w:p>
    <w:p w14:paraId="74F4BCC9">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厨房区域必须单独划分，与用餐区采用防火墙（耐火极限≥</w:t>
      </w:r>
      <w:r>
        <w:rPr>
          <w:rFonts w:ascii="宋体" w:hAnsi="宋体" w:cs="宋体"/>
          <w:color w:val="auto"/>
          <w:sz w:val="24"/>
          <w:szCs w:val="28"/>
        </w:rPr>
        <w:t>2h）分隔，就餐区域禁止出现明火操作。</w:t>
      </w:r>
    </w:p>
    <w:p w14:paraId="42C41B78">
      <w:pPr>
        <w:spacing w:line="400" w:lineRule="exact"/>
        <w:ind w:firstLine="480" w:firstLineChars="200"/>
        <w:rPr>
          <w:rFonts w:ascii="宋体" w:hAnsi="宋体" w:cs="宋体"/>
          <w:color w:val="auto"/>
          <w:sz w:val="24"/>
          <w:szCs w:val="28"/>
        </w:rPr>
      </w:pPr>
      <w:r>
        <w:rPr>
          <w:rFonts w:ascii="宋体" w:hAnsi="宋体" w:cs="宋体"/>
          <w:color w:val="auto"/>
          <w:sz w:val="24"/>
          <w:szCs w:val="28"/>
        </w:rPr>
        <w:t>b.燃气表间</w:t>
      </w:r>
      <w:r>
        <w:rPr>
          <w:rFonts w:hint="eastAsia" w:ascii="宋体" w:hAnsi="宋体" w:cs="宋体"/>
          <w:color w:val="auto"/>
          <w:sz w:val="24"/>
          <w:szCs w:val="28"/>
        </w:rPr>
        <w:t>需独立设置，通风次数≥</w:t>
      </w:r>
      <w:r>
        <w:rPr>
          <w:rFonts w:ascii="宋体" w:hAnsi="宋体" w:cs="宋体"/>
          <w:color w:val="auto"/>
          <w:sz w:val="24"/>
          <w:szCs w:val="28"/>
        </w:rPr>
        <w:t>6次/小时。</w:t>
      </w:r>
    </w:p>
    <w:p w14:paraId="5CFFE1E0">
      <w:pPr>
        <w:spacing w:line="400" w:lineRule="exact"/>
        <w:ind w:firstLine="480" w:firstLineChars="200"/>
        <w:rPr>
          <w:rFonts w:ascii="宋体" w:hAnsi="宋体" w:cs="宋体"/>
          <w:color w:val="auto"/>
          <w:sz w:val="24"/>
          <w:szCs w:val="28"/>
        </w:rPr>
      </w:pPr>
      <w:r>
        <w:rPr>
          <w:rFonts w:ascii="宋体" w:hAnsi="宋体" w:cs="宋体"/>
          <w:color w:val="auto"/>
          <w:sz w:val="24"/>
          <w:szCs w:val="28"/>
        </w:rPr>
        <w:t>c.排油烟系统</w:t>
      </w:r>
    </w:p>
    <w:p w14:paraId="754461FB">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排油烟管道应采用不锈钢材质，</w:t>
      </w:r>
      <w:r>
        <w:rPr>
          <w:rFonts w:ascii="宋体" w:hAnsi="宋体" w:cs="宋体"/>
          <w:color w:val="auto"/>
          <w:sz w:val="24"/>
          <w:szCs w:val="28"/>
        </w:rPr>
        <w:t>安装</w:t>
      </w:r>
      <w:r>
        <w:rPr>
          <w:rFonts w:hint="eastAsia" w:ascii="宋体" w:hAnsi="宋体" w:cs="宋体"/>
          <w:color w:val="auto"/>
          <w:sz w:val="24"/>
          <w:szCs w:val="28"/>
        </w:rPr>
        <w:t>防火阀（</w:t>
      </w:r>
      <w:r>
        <w:rPr>
          <w:rFonts w:ascii="宋体" w:hAnsi="宋体" w:cs="宋体"/>
          <w:color w:val="auto"/>
          <w:sz w:val="24"/>
          <w:szCs w:val="28"/>
        </w:rPr>
        <w:t>150℃自动关闭）和油烟净化装置。</w:t>
      </w:r>
    </w:p>
    <w:p w14:paraId="7BF50A6F">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排油烟罩、管道每季月至少清洗</w:t>
      </w:r>
      <w:r>
        <w:rPr>
          <w:rFonts w:ascii="宋体" w:hAnsi="宋体" w:cs="宋体"/>
          <w:color w:val="auto"/>
          <w:sz w:val="24"/>
          <w:szCs w:val="28"/>
        </w:rPr>
        <w:t>1次（需留存清洗记录）。</w:t>
      </w:r>
    </w:p>
    <w:p w14:paraId="6F3EE963">
      <w:pPr>
        <w:spacing w:line="400" w:lineRule="exact"/>
        <w:ind w:firstLine="480" w:firstLineChars="200"/>
        <w:rPr>
          <w:rFonts w:ascii="宋体" w:hAnsi="宋体" w:cs="宋体"/>
          <w:color w:val="auto"/>
          <w:sz w:val="24"/>
          <w:szCs w:val="28"/>
        </w:rPr>
      </w:pPr>
      <w:r>
        <w:rPr>
          <w:rFonts w:ascii="宋体" w:hAnsi="宋体" w:cs="宋体"/>
          <w:color w:val="auto"/>
          <w:sz w:val="24"/>
          <w:szCs w:val="28"/>
        </w:rPr>
        <w:t>d.灭火设施</w:t>
      </w:r>
    </w:p>
    <w:p w14:paraId="716F1346">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厨房必须安装厨房专用自动灭火装置（覆盖炉灶、烟道等），并联动燃气切断阀。</w:t>
      </w:r>
    </w:p>
    <w:p w14:paraId="0928F796">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配置泡沫灭火器（应对油火），每</w:t>
      </w:r>
      <w:r>
        <w:rPr>
          <w:rFonts w:ascii="宋体" w:hAnsi="宋体" w:cs="宋体"/>
          <w:color w:val="auto"/>
          <w:sz w:val="24"/>
          <w:szCs w:val="28"/>
        </w:rPr>
        <w:t>50㎡不少于2具。</w:t>
      </w:r>
    </w:p>
    <w:p w14:paraId="6507F412">
      <w:pPr>
        <w:spacing w:line="400" w:lineRule="exact"/>
        <w:ind w:firstLine="480" w:firstLineChars="200"/>
        <w:rPr>
          <w:rFonts w:ascii="宋体" w:hAnsi="宋体" w:cs="宋体"/>
          <w:color w:val="auto"/>
          <w:sz w:val="24"/>
          <w:szCs w:val="28"/>
        </w:rPr>
      </w:pPr>
      <w:r>
        <w:rPr>
          <w:rFonts w:ascii="宋体" w:hAnsi="宋体" w:cs="宋体"/>
          <w:color w:val="auto"/>
          <w:sz w:val="24"/>
          <w:szCs w:val="28"/>
        </w:rPr>
        <w:t>(3)消防设施配置</w:t>
      </w:r>
    </w:p>
    <w:p w14:paraId="3C5F4015">
      <w:pPr>
        <w:spacing w:line="400" w:lineRule="exact"/>
        <w:ind w:firstLine="480" w:firstLineChars="200"/>
        <w:rPr>
          <w:rFonts w:ascii="宋体" w:hAnsi="宋体" w:cs="宋体"/>
          <w:color w:val="auto"/>
          <w:sz w:val="24"/>
          <w:szCs w:val="28"/>
        </w:rPr>
      </w:pPr>
      <w:r>
        <w:rPr>
          <w:rFonts w:ascii="宋体" w:hAnsi="宋体" w:cs="宋体"/>
          <w:color w:val="auto"/>
          <w:sz w:val="24"/>
          <w:szCs w:val="28"/>
        </w:rPr>
        <w:t>a.火灾报警系统</w:t>
      </w:r>
    </w:p>
    <w:p w14:paraId="1410E2E0">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安装感烟、感温探测器（现有位置不得私自改变、遮挡），厨房需增设可燃气体探测器并全面覆盖操作经营范围（燃气泄漏报警）。</w:t>
      </w:r>
    </w:p>
    <w:p w14:paraId="3CDCA3E0">
      <w:pPr>
        <w:spacing w:line="400" w:lineRule="exact"/>
        <w:ind w:firstLine="480" w:firstLineChars="200"/>
        <w:rPr>
          <w:rFonts w:ascii="宋体" w:hAnsi="宋体" w:cs="宋体"/>
          <w:color w:val="auto"/>
          <w:sz w:val="24"/>
          <w:szCs w:val="28"/>
        </w:rPr>
      </w:pPr>
      <w:r>
        <w:rPr>
          <w:rFonts w:ascii="宋体" w:hAnsi="宋体" w:cs="宋体"/>
          <w:color w:val="auto"/>
          <w:sz w:val="24"/>
          <w:szCs w:val="28"/>
        </w:rPr>
        <w:t>b.报警系统需联动声光警报和应急广播。</w:t>
      </w:r>
    </w:p>
    <w:p w14:paraId="60703298">
      <w:pPr>
        <w:spacing w:line="400" w:lineRule="exact"/>
        <w:ind w:firstLine="480" w:firstLineChars="200"/>
        <w:rPr>
          <w:rFonts w:ascii="宋体" w:hAnsi="宋体" w:cs="宋体"/>
          <w:color w:val="auto"/>
          <w:sz w:val="24"/>
          <w:szCs w:val="28"/>
        </w:rPr>
      </w:pPr>
      <w:r>
        <w:rPr>
          <w:rFonts w:ascii="宋体" w:hAnsi="宋体" w:cs="宋体"/>
          <w:color w:val="auto"/>
          <w:sz w:val="24"/>
          <w:szCs w:val="28"/>
        </w:rPr>
        <w:t>c.喷淋系统</w:t>
      </w:r>
    </w:p>
    <w:p w14:paraId="0C424FA3">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用餐区采用标准喷头（动作温度</w:t>
      </w:r>
      <w:r>
        <w:rPr>
          <w:rFonts w:ascii="宋体" w:hAnsi="宋体" w:cs="宋体"/>
          <w:color w:val="auto"/>
          <w:sz w:val="24"/>
          <w:szCs w:val="28"/>
        </w:rPr>
        <w:t>68℃），厨房区域需用高温喷头（93℃）。</w:t>
      </w:r>
    </w:p>
    <w:p w14:paraId="4BA3147F">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喷淋头与灶具水平距离≥</w:t>
      </w:r>
      <w:r>
        <w:rPr>
          <w:rFonts w:ascii="宋体" w:hAnsi="宋体" w:cs="宋体"/>
          <w:color w:val="auto"/>
          <w:sz w:val="24"/>
          <w:szCs w:val="28"/>
        </w:rPr>
        <w:t>0.8米，避免误喷。</w:t>
      </w:r>
    </w:p>
    <w:p w14:paraId="0D19E30F">
      <w:pPr>
        <w:spacing w:line="400" w:lineRule="exact"/>
        <w:ind w:firstLine="480" w:firstLineChars="200"/>
        <w:rPr>
          <w:rFonts w:ascii="宋体" w:hAnsi="宋体" w:cs="宋体"/>
          <w:color w:val="auto"/>
          <w:sz w:val="24"/>
          <w:szCs w:val="28"/>
        </w:rPr>
      </w:pPr>
      <w:r>
        <w:rPr>
          <w:rFonts w:ascii="宋体" w:hAnsi="宋体" w:cs="宋体"/>
          <w:color w:val="auto"/>
          <w:sz w:val="24"/>
          <w:szCs w:val="28"/>
        </w:rPr>
        <w:t>d.应急照明与标识</w:t>
      </w:r>
    </w:p>
    <w:p w14:paraId="4733E041">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疏散通道、出口处设置持续供电≥</w:t>
      </w:r>
      <w:r>
        <w:rPr>
          <w:rFonts w:ascii="宋体" w:hAnsi="宋体" w:cs="宋体"/>
          <w:color w:val="auto"/>
          <w:sz w:val="24"/>
          <w:szCs w:val="28"/>
        </w:rPr>
        <w:t>1小时的应急照明。</w:t>
      </w:r>
    </w:p>
    <w:p w14:paraId="74B00630">
      <w:pPr>
        <w:spacing w:line="400" w:lineRule="exact"/>
        <w:ind w:firstLine="480" w:firstLineChars="200"/>
        <w:rPr>
          <w:rFonts w:ascii="宋体" w:hAnsi="宋体" w:cs="宋体"/>
          <w:color w:val="auto"/>
          <w:sz w:val="24"/>
          <w:szCs w:val="28"/>
        </w:rPr>
      </w:pPr>
      <w:r>
        <w:rPr>
          <w:rFonts w:hint="eastAsia" w:ascii="宋体" w:hAnsi="宋体" w:cs="宋体"/>
          <w:color w:val="auto"/>
          <w:sz w:val="24"/>
          <w:szCs w:val="28"/>
        </w:rPr>
        <w:t>地面</w:t>
      </w:r>
      <w:r>
        <w:rPr>
          <w:rFonts w:ascii="宋体" w:hAnsi="宋体" w:cs="宋体"/>
          <w:color w:val="auto"/>
          <w:sz w:val="24"/>
          <w:szCs w:val="28"/>
        </w:rPr>
        <w:t>1米以下设置发光疏散指示标志，间距≤20米。</w:t>
      </w:r>
    </w:p>
    <w:p w14:paraId="27F40AE0">
      <w:pPr>
        <w:spacing w:line="400" w:lineRule="exact"/>
        <w:ind w:firstLine="480" w:firstLineChars="200"/>
        <w:rPr>
          <w:rFonts w:ascii="宋体" w:hAnsi="宋体" w:cs="宋体"/>
          <w:color w:val="auto"/>
          <w:sz w:val="24"/>
          <w:szCs w:val="28"/>
        </w:rPr>
      </w:pPr>
      <w:r>
        <w:rPr>
          <w:rFonts w:ascii="宋体" w:hAnsi="宋体" w:cs="宋体"/>
          <w:color w:val="auto"/>
          <w:sz w:val="24"/>
          <w:szCs w:val="28"/>
        </w:rPr>
        <w:t>(4)电气防火要求</w:t>
      </w:r>
    </w:p>
    <w:p w14:paraId="085387A3">
      <w:pPr>
        <w:spacing w:line="400" w:lineRule="exact"/>
        <w:ind w:firstLine="480" w:firstLineChars="200"/>
        <w:rPr>
          <w:rFonts w:ascii="宋体" w:hAnsi="宋体" w:cs="宋体"/>
          <w:color w:val="auto"/>
          <w:sz w:val="24"/>
          <w:szCs w:val="28"/>
        </w:rPr>
      </w:pPr>
      <w:r>
        <w:rPr>
          <w:rFonts w:ascii="宋体" w:hAnsi="宋体" w:cs="宋体"/>
          <w:color w:val="auto"/>
          <w:sz w:val="24"/>
          <w:szCs w:val="28"/>
        </w:rPr>
        <w:t>a.所有电线穿金属管保护或阻燃PVC管</w:t>
      </w:r>
      <w:r>
        <w:rPr>
          <w:rFonts w:hint="eastAsia" w:ascii="宋体" w:hAnsi="宋体" w:cs="宋体"/>
          <w:color w:val="auto"/>
          <w:sz w:val="24"/>
          <w:szCs w:val="28"/>
        </w:rPr>
        <w:t>，禁止私拉临时线路。</w:t>
      </w:r>
    </w:p>
    <w:p w14:paraId="35420846">
      <w:pPr>
        <w:spacing w:line="400" w:lineRule="exact"/>
        <w:ind w:firstLine="480" w:firstLineChars="200"/>
        <w:rPr>
          <w:rFonts w:ascii="宋体" w:hAnsi="宋体" w:cs="宋体"/>
          <w:color w:val="auto"/>
          <w:sz w:val="24"/>
          <w:szCs w:val="28"/>
        </w:rPr>
      </w:pPr>
      <w:r>
        <w:rPr>
          <w:rFonts w:ascii="宋体" w:hAnsi="宋体" w:cs="宋体"/>
          <w:color w:val="auto"/>
          <w:sz w:val="24"/>
          <w:szCs w:val="28"/>
        </w:rPr>
        <w:t>b.大功率设备（如蒸柜、烤箱）需单独回路，配电箱加装漏电保护器。</w:t>
      </w:r>
    </w:p>
    <w:p w14:paraId="1F69D832">
      <w:pPr>
        <w:spacing w:line="400" w:lineRule="exact"/>
        <w:ind w:firstLine="480" w:firstLineChars="200"/>
        <w:rPr>
          <w:rFonts w:ascii="宋体" w:hAnsi="宋体" w:cs="宋体"/>
          <w:color w:val="auto"/>
          <w:sz w:val="24"/>
          <w:szCs w:val="28"/>
        </w:rPr>
      </w:pPr>
      <w:r>
        <w:rPr>
          <w:rFonts w:ascii="宋体" w:hAnsi="宋体" w:cs="宋体"/>
          <w:color w:val="auto"/>
          <w:sz w:val="24"/>
          <w:szCs w:val="28"/>
        </w:rPr>
        <w:t>c.插座、开关距水源≥1米，厨房设备需防水防潮。</w:t>
      </w:r>
    </w:p>
    <w:p w14:paraId="65371D48">
      <w:pPr>
        <w:spacing w:line="400" w:lineRule="exact"/>
        <w:ind w:firstLine="480" w:firstLineChars="200"/>
        <w:rPr>
          <w:rFonts w:ascii="宋体" w:hAnsi="宋体" w:cs="宋体"/>
          <w:color w:val="auto"/>
          <w:sz w:val="24"/>
          <w:szCs w:val="28"/>
        </w:rPr>
      </w:pPr>
      <w:r>
        <w:rPr>
          <w:rFonts w:ascii="宋体" w:hAnsi="宋体" w:cs="宋体"/>
          <w:color w:val="auto"/>
          <w:sz w:val="24"/>
          <w:szCs w:val="28"/>
        </w:rPr>
        <w:t>(5)施工期间管理</w:t>
      </w:r>
    </w:p>
    <w:p w14:paraId="58429CC5">
      <w:pPr>
        <w:spacing w:line="400" w:lineRule="exact"/>
        <w:ind w:firstLine="480" w:firstLineChars="200"/>
        <w:rPr>
          <w:rFonts w:ascii="宋体" w:hAnsi="宋体" w:cs="宋体"/>
          <w:color w:val="auto"/>
          <w:sz w:val="24"/>
          <w:szCs w:val="28"/>
        </w:rPr>
      </w:pPr>
      <w:r>
        <w:rPr>
          <w:rFonts w:ascii="宋体" w:hAnsi="宋体" w:cs="宋体"/>
          <w:color w:val="auto"/>
          <w:sz w:val="24"/>
          <w:szCs w:val="28"/>
        </w:rPr>
        <w:t>动火审批：焊接、切割等作业需办理动火证，现场配置灭火器材并清除周边可燃物。</w:t>
      </w:r>
    </w:p>
    <w:p w14:paraId="601602A5">
      <w:pPr>
        <w:spacing w:line="400" w:lineRule="exact"/>
        <w:ind w:firstLine="480" w:firstLineChars="200"/>
        <w:rPr>
          <w:rFonts w:ascii="宋体" w:hAnsi="宋体" w:cs="宋体"/>
          <w:color w:val="auto"/>
          <w:sz w:val="24"/>
          <w:szCs w:val="28"/>
        </w:rPr>
      </w:pPr>
      <w:r>
        <w:rPr>
          <w:rFonts w:ascii="宋体" w:hAnsi="宋体" w:cs="宋体"/>
          <w:color w:val="auto"/>
          <w:sz w:val="24"/>
          <w:szCs w:val="28"/>
        </w:rPr>
        <w:t>临时用电：使用防爆灯具和电缆，下班后切断电源。</w:t>
      </w:r>
    </w:p>
    <w:p w14:paraId="4CD133DB">
      <w:pPr>
        <w:spacing w:line="400" w:lineRule="exact"/>
        <w:ind w:firstLine="480" w:firstLineChars="200"/>
        <w:rPr>
          <w:rFonts w:ascii="宋体" w:hAnsi="宋体" w:cs="宋体"/>
          <w:color w:val="auto"/>
          <w:sz w:val="24"/>
          <w:szCs w:val="28"/>
        </w:rPr>
      </w:pPr>
      <w:r>
        <w:rPr>
          <w:rFonts w:ascii="宋体" w:hAnsi="宋体" w:cs="宋体"/>
          <w:color w:val="auto"/>
          <w:sz w:val="24"/>
          <w:szCs w:val="28"/>
        </w:rPr>
        <w:t>4.燃气报警探头全覆盖；消防通道畅通、设施设备完好及标识标牌醒目。</w:t>
      </w:r>
      <w:r>
        <w:rPr>
          <w:rFonts w:hint="eastAsia" w:ascii="宋体" w:hAnsi="宋体" w:cs="宋体"/>
          <w:color w:val="auto"/>
          <w:sz w:val="24"/>
          <w:szCs w:val="28"/>
        </w:rPr>
        <w:t>成交商全面负责食堂内的防火、防盗工作和员工的管理工作，认真履行安全职责，不得占用消防通道、遮挡消防设施设备及标牌。注意用水、用电、用气的安全，并做好定期相关培训。配合采购人及国家相关部门定期安全检查，发现安全隐患立即整改。若成交商出现食堂重大消防安全事故并造成重大负面影响的，成交商除承担一切经济和法律责任外，采购人有权单方面解除合同，并扣罚成交商全部履约保证金；若出现食堂消防安全事故未且造成负面影响的，采购人扣罚成交商违约金</w:t>
      </w:r>
      <w:r>
        <w:rPr>
          <w:rFonts w:ascii="宋体" w:hAnsi="宋体" w:cs="宋体"/>
          <w:color w:val="auto"/>
          <w:sz w:val="24"/>
          <w:szCs w:val="28"/>
        </w:rPr>
        <w:t>20000元/次。</w:t>
      </w:r>
    </w:p>
    <w:p w14:paraId="5712B50A">
      <w:pPr>
        <w:spacing w:line="400" w:lineRule="exact"/>
        <w:ind w:firstLine="480" w:firstLineChars="200"/>
        <w:rPr>
          <w:rFonts w:ascii="宋体" w:hAnsi="宋体" w:cs="宋体"/>
          <w:color w:val="auto"/>
          <w:sz w:val="24"/>
          <w:szCs w:val="28"/>
        </w:rPr>
      </w:pPr>
      <w:r>
        <w:rPr>
          <w:rFonts w:ascii="宋体" w:hAnsi="宋体" w:cs="宋体"/>
          <w:color w:val="auto"/>
          <w:sz w:val="24"/>
          <w:szCs w:val="28"/>
        </w:rPr>
        <w:t>5.</w:t>
      </w:r>
      <w:r>
        <w:rPr>
          <w:rFonts w:hint="eastAsia" w:ascii="宋体" w:hAnsi="宋体" w:cs="宋体"/>
          <w:color w:val="auto"/>
          <w:sz w:val="24"/>
          <w:szCs w:val="28"/>
        </w:rPr>
        <w:t>成交商不得损坏原有的消防设施设备，如原有消防设施设备已坏或不能正常使用或覆盖不全，由成交商负责增加、更换，被更换的设施设备交由采购处置；按消防要求，成交商配置足够的灭火器材和后厨</w:t>
      </w:r>
      <w:r>
        <w:rPr>
          <w:rFonts w:ascii="宋体" w:hAnsi="宋体" w:cs="宋体"/>
          <w:color w:val="auto"/>
          <w:sz w:val="24"/>
          <w:szCs w:val="28"/>
        </w:rPr>
        <w:t>F类专用灭火器、灭火</w:t>
      </w:r>
      <w:r>
        <w:rPr>
          <w:rFonts w:hint="eastAsia" w:ascii="宋体" w:hAnsi="宋体" w:cs="宋体"/>
          <w:color w:val="auto"/>
          <w:sz w:val="24"/>
          <w:szCs w:val="28"/>
        </w:rPr>
        <w:t>毯、疏散引导箱，安装满足需要的应急照明和疏散标识。成交商需按消防和物业管理条例自行添置消防设备设施。</w:t>
      </w:r>
    </w:p>
    <w:p w14:paraId="3BDDDF82">
      <w:pPr>
        <w:pStyle w:val="3"/>
        <w:spacing w:line="500" w:lineRule="atLeast"/>
        <w:rPr>
          <w:b w:val="0"/>
          <w:color w:val="auto"/>
        </w:rPr>
      </w:pPr>
      <w:bookmarkStart w:id="56" w:name="_Toc21421"/>
      <w:r>
        <w:rPr>
          <w:rFonts w:hint="eastAsia"/>
          <w:b w:val="0"/>
          <w:color w:val="auto"/>
        </w:rPr>
        <w:t>（五）食堂服务育人要求</w:t>
      </w:r>
      <w:bookmarkEnd w:id="56"/>
    </w:p>
    <w:p w14:paraId="36E267AA">
      <w:pPr>
        <w:spacing w:line="440" w:lineRule="exact"/>
        <w:ind w:firstLine="480" w:firstLineChars="200"/>
        <w:jc w:val="left"/>
        <w:rPr>
          <w:rFonts w:ascii="宋体" w:hAnsi="宋体" w:cs="仿宋"/>
          <w:color w:val="auto"/>
          <w:sz w:val="24"/>
          <w:szCs w:val="24"/>
        </w:rPr>
      </w:pPr>
      <w:r>
        <w:rPr>
          <w:rFonts w:hint="eastAsia" w:ascii="宋体" w:hAnsi="宋体" w:cs="宋体"/>
          <w:color w:val="auto"/>
          <w:sz w:val="24"/>
          <w:szCs w:val="28"/>
        </w:rPr>
        <w:t>成交商围绕后勤育人的要求，应积极配合采购人推进“三全育人”工作，成交商需按照不低于</w:t>
      </w:r>
      <w:r>
        <w:rPr>
          <w:rFonts w:ascii="宋体" w:hAnsi="宋体" w:cs="宋体"/>
          <w:color w:val="auto"/>
          <w:sz w:val="24"/>
          <w:szCs w:val="28"/>
        </w:rPr>
        <w:t>3万元/年的投入，</w:t>
      </w:r>
      <w:r>
        <w:rPr>
          <w:rFonts w:hint="eastAsia" w:ascii="宋体" w:hAnsi="宋体" w:cs="宋体"/>
          <w:color w:val="auto"/>
          <w:sz w:val="24"/>
          <w:szCs w:val="28"/>
        </w:rPr>
        <w:t>无条件</w:t>
      </w:r>
      <w:r>
        <w:rPr>
          <w:rFonts w:ascii="宋体" w:hAnsi="宋体" w:cs="宋体"/>
          <w:color w:val="auto"/>
          <w:sz w:val="24"/>
          <w:szCs w:val="28"/>
        </w:rPr>
        <w:t>协助采购人相关部门做好</w:t>
      </w:r>
      <w:r>
        <w:rPr>
          <w:rFonts w:hint="eastAsia" w:ascii="宋体" w:hAnsi="宋体" w:cs="宋体"/>
          <w:color w:val="auto"/>
          <w:sz w:val="24"/>
          <w:szCs w:val="28"/>
        </w:rPr>
        <w:t>实践体验育人、劳动育人、环境育人、</w:t>
      </w:r>
      <w:r>
        <w:rPr>
          <w:rFonts w:ascii="宋体" w:hAnsi="宋体" w:cs="宋体"/>
          <w:color w:val="auto"/>
          <w:sz w:val="24"/>
          <w:szCs w:val="28"/>
        </w:rPr>
        <w:t>服务育人、</w:t>
      </w:r>
      <w:r>
        <w:rPr>
          <w:rFonts w:hint="eastAsia" w:ascii="宋体" w:hAnsi="宋体" w:cs="宋体"/>
          <w:color w:val="auto"/>
          <w:sz w:val="24"/>
          <w:szCs w:val="28"/>
        </w:rPr>
        <w:t>文化育人和后勤</w:t>
      </w:r>
      <w:r>
        <w:rPr>
          <w:rFonts w:ascii="宋体" w:hAnsi="宋体" w:cs="宋体"/>
          <w:color w:val="auto"/>
          <w:sz w:val="24"/>
          <w:szCs w:val="28"/>
        </w:rPr>
        <w:t>餐饮</w:t>
      </w:r>
      <w:r>
        <w:rPr>
          <w:rFonts w:hint="eastAsia" w:ascii="宋体" w:hAnsi="宋体" w:cs="宋体"/>
          <w:color w:val="auto"/>
          <w:sz w:val="24"/>
          <w:szCs w:val="28"/>
        </w:rPr>
        <w:t>特色</w:t>
      </w:r>
      <w:r>
        <w:rPr>
          <w:rFonts w:ascii="宋体" w:hAnsi="宋体" w:cs="宋体"/>
          <w:color w:val="auto"/>
          <w:sz w:val="24"/>
          <w:szCs w:val="28"/>
        </w:rPr>
        <w:t>文化打造工作。深化共建共享工作机制，在食堂就餐区</w:t>
      </w:r>
      <w:r>
        <w:rPr>
          <w:rFonts w:hint="eastAsia" w:ascii="宋体" w:hAnsi="宋体" w:cs="宋体"/>
          <w:color w:val="auto"/>
          <w:sz w:val="24"/>
          <w:szCs w:val="28"/>
        </w:rPr>
        <w:t>设立数智电子文化展示墙，由中标人投入充足经费开展以食品安全、营养健康、制止餐饮浪费等文化主题活动，积极配合采购人学生伙管会的各项活动规划和落实。成交商还需应采购人要求投入充足经费确保各类饮食文化活动项目的开展、传统佳节氛围营造、勤工助学岗位提供以及勤工助学人员的伙食保障。</w:t>
      </w:r>
      <w:r>
        <w:rPr>
          <w:rFonts w:hint="eastAsia" w:ascii="宋体" w:hAnsi="宋体" w:cs="仿宋"/>
          <w:color w:val="auto"/>
          <w:sz w:val="24"/>
          <w:szCs w:val="24"/>
        </w:rPr>
        <w:t>食堂文化建设符合采购人相关规定，与采购人发展特色契合，打造后勤育人品牌，积极营造和谐校园文化，不得在采购人本招标区域以外从事任何商业、广告、集会等活动。</w:t>
      </w:r>
    </w:p>
    <w:p w14:paraId="22B134E6">
      <w:pPr>
        <w:pStyle w:val="4"/>
        <w:spacing w:line="400" w:lineRule="exact"/>
        <w:rPr>
          <w:b w:val="0"/>
          <w:color w:val="auto"/>
        </w:rPr>
      </w:pPr>
      <w:bookmarkStart w:id="57" w:name="_Toc15914"/>
      <w:r>
        <w:rPr>
          <w:rFonts w:hint="eastAsia"/>
          <w:b w:val="0"/>
          <w:color w:val="auto"/>
        </w:rPr>
        <w:t>（六）招标项目环境改造要求</w:t>
      </w:r>
      <w:bookmarkEnd w:id="57"/>
    </w:p>
    <w:p w14:paraId="597A4E01">
      <w:pPr>
        <w:spacing w:line="400" w:lineRule="exact"/>
        <w:ind w:firstLine="480" w:firstLineChars="200"/>
        <w:jc w:val="left"/>
        <w:rPr>
          <w:rFonts w:ascii="宋体" w:hAnsi="宋体" w:cs="宋体"/>
          <w:color w:val="auto"/>
          <w:sz w:val="24"/>
          <w:szCs w:val="24"/>
        </w:rPr>
      </w:pPr>
      <w:bookmarkStart w:id="58" w:name="_Hlk103589519"/>
      <w:r>
        <w:rPr>
          <w:rFonts w:hint="eastAsia" w:ascii="宋体" w:hAnsi="宋体" w:cs="宋体"/>
          <w:color w:val="auto"/>
          <w:sz w:val="24"/>
          <w:szCs w:val="28"/>
        </w:rPr>
        <w:t>环境改造总体要求：食堂整体的装修改造严格按国家市场监督管理总局最新</w:t>
      </w:r>
      <w:r>
        <w:rPr>
          <w:rFonts w:ascii="宋体" w:hAnsi="宋体" w:cs="宋体"/>
          <w:color w:val="auto"/>
          <w:sz w:val="24"/>
          <w:szCs w:val="28"/>
        </w:rPr>
        <w:t>发布的《餐饮服务食品安全操作规范》内容进行规范化改造。食堂改造后就餐区和后</w:t>
      </w:r>
      <w:r>
        <w:rPr>
          <w:rFonts w:hint="eastAsia" w:ascii="宋体" w:hAnsi="宋体" w:cs="宋体"/>
          <w:color w:val="auto"/>
          <w:sz w:val="24"/>
          <w:szCs w:val="28"/>
        </w:rPr>
        <w:t>厨面积比原则上保持</w:t>
      </w:r>
      <w:r>
        <w:rPr>
          <w:rFonts w:ascii="宋体" w:hAnsi="宋体" w:cs="宋体"/>
          <w:color w:val="auto"/>
          <w:sz w:val="24"/>
          <w:szCs w:val="28"/>
        </w:rPr>
        <w:t>1：1，</w:t>
      </w:r>
      <w:r>
        <w:rPr>
          <w:rFonts w:hint="eastAsia" w:ascii="宋体" w:hAnsi="宋体" w:cs="宋体"/>
          <w:color w:val="auto"/>
          <w:sz w:val="24"/>
          <w:szCs w:val="28"/>
        </w:rPr>
        <w:t>后厨需按照</w:t>
      </w:r>
      <w:r>
        <w:rPr>
          <w:rFonts w:ascii="宋体" w:hAnsi="宋体" w:cs="宋体"/>
          <w:color w:val="auto"/>
          <w:sz w:val="24"/>
          <w:szCs w:val="28"/>
        </w:rPr>
        <w:t>4D及以上厨房标准设计，根据后</w:t>
      </w:r>
      <w:r>
        <w:rPr>
          <w:rFonts w:hint="eastAsia" w:ascii="宋体" w:hAnsi="宋体" w:cs="宋体"/>
          <w:color w:val="auto"/>
          <w:sz w:val="24"/>
          <w:szCs w:val="28"/>
        </w:rPr>
        <w:t>厨设计提供相应的</w:t>
      </w:r>
      <w:r>
        <w:rPr>
          <w:rFonts w:ascii="宋体" w:hAnsi="宋体" w:cs="宋体"/>
          <w:color w:val="auto"/>
          <w:sz w:val="24"/>
          <w:szCs w:val="28"/>
        </w:rPr>
        <w:t>4D及以上厨房（即：整理到位、责任到位、培训到位、执行到位）建设标准及方案。食堂需实现“明厨亮灶”，按照采购人数智食堂建设工作要求自行承担各自食堂建设费用和</w:t>
      </w:r>
      <w:r>
        <w:rPr>
          <w:rFonts w:hint="eastAsia" w:ascii="宋体" w:hAnsi="宋体" w:cs="宋体"/>
          <w:color w:val="auto"/>
          <w:sz w:val="24"/>
          <w:szCs w:val="28"/>
        </w:rPr>
        <w:t>均摊</w:t>
      </w:r>
      <w:r>
        <w:rPr>
          <w:rFonts w:hint="eastAsia" w:ascii="宋体" w:hAnsi="宋体" w:cs="宋体"/>
          <w:color w:val="auto"/>
          <w:sz w:val="24"/>
          <w:szCs w:val="24"/>
        </w:rPr>
        <w:t>数智食堂监管平台</w:t>
      </w:r>
      <w:r>
        <w:rPr>
          <w:rFonts w:hint="eastAsia" w:ascii="宋体" w:hAnsi="宋体" w:cs="宋体"/>
          <w:color w:val="auto"/>
          <w:sz w:val="24"/>
          <w:szCs w:val="28"/>
        </w:rPr>
        <w:t>建设及设备设施费用</w:t>
      </w:r>
      <w:bookmarkEnd w:id="58"/>
      <w:bookmarkStart w:id="59" w:name="OLE_LINK11"/>
      <w:bookmarkStart w:id="60" w:name="OLE_LINK10"/>
      <w:bookmarkStart w:id="61" w:name="_Hlk104212236"/>
      <w:r>
        <w:rPr>
          <w:rFonts w:hint="eastAsia" w:ascii="宋体" w:hAnsi="宋体" w:cs="宋体"/>
          <w:color w:val="auto"/>
          <w:sz w:val="24"/>
          <w:szCs w:val="28"/>
        </w:rPr>
        <w:t>。</w:t>
      </w:r>
    </w:p>
    <w:bookmarkEnd w:id="59"/>
    <w:bookmarkEnd w:id="60"/>
    <w:p w14:paraId="6FBAFCEF">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1.</w:t>
      </w:r>
      <w:r>
        <w:rPr>
          <w:rFonts w:hint="eastAsia" w:ascii="宋体" w:hAnsi="宋体" w:cs="宋体"/>
          <w:color w:val="auto"/>
          <w:sz w:val="24"/>
          <w:szCs w:val="28"/>
        </w:rPr>
        <w:t>厨房及各功能间改造：各食堂食堂需设立包括主食库、副食库、中转库房、留样间、快检室、洗碗间、备餐间、员工（男、女）更衣室、办公室、杂物间、冷冻（冷藏）间、肉类、蔬菜粗加工间、集中加工烹饪间、蒸煮间，各区域均采用色标管理，标识标牌清晰。特色餐加工区域设置必须有利于排水；后厨地面铺贴满足需要的防滑地砖。</w:t>
      </w:r>
      <w:r>
        <w:rPr>
          <w:rFonts w:hint="eastAsia" w:ascii="宋体" w:hAnsi="宋体" w:cs="仿宋"/>
          <w:color w:val="auto"/>
          <w:sz w:val="24"/>
          <w:szCs w:val="24"/>
        </w:rPr>
        <w:t>食堂防火分隔采用</w:t>
      </w:r>
      <w:r>
        <w:rPr>
          <w:rFonts w:ascii="宋体" w:hAnsi="宋体" w:cs="仿宋"/>
          <w:color w:val="auto"/>
          <w:sz w:val="24"/>
          <w:szCs w:val="24"/>
        </w:rPr>
        <w:t>2.0砖墙分隔并使用防火玻璃，燃气报警探头全覆盖；消防通道畅通、设施设备完好及标识标牌醒目。食堂内部功能布局合理，达到食品卫生、消防相关政策和法规要求。</w:t>
      </w:r>
      <w:r>
        <w:rPr>
          <w:rFonts w:hint="eastAsia" w:ascii="宋体" w:hAnsi="宋体" w:cs="仿宋"/>
          <w:color w:val="auto"/>
          <w:sz w:val="24"/>
          <w:szCs w:val="24"/>
        </w:rPr>
        <w:t>成交商应提供高效节水的厨具设备，如低流量水龙头、感应式水阀等，并提供无水或少水的清洁方案；确保后厨排水系统的设计合理，能够快速排水，保持地面干燥；选用环保、易清洁的建筑材料和厨具设备，降低清洁用水量和维护成本，同时结合无水厨房的建设，推行节能措施，提高能源利用效率，提供无水厨房方案的成本效益分析，确保方案具有经济可行性。</w:t>
      </w:r>
    </w:p>
    <w:p w14:paraId="6414A68E">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2.燃气安装要求：</w:t>
      </w:r>
      <w:r>
        <w:rPr>
          <w:rFonts w:hint="eastAsia" w:ascii="宋体" w:hAnsi="宋体" w:cs="宋体"/>
          <w:bCs/>
          <w:color w:val="auto"/>
          <w:sz w:val="24"/>
          <w:szCs w:val="24"/>
        </w:rPr>
        <w:t>成交商须自行联系永川区燃气公司，并按永川区天燃气公司的技术标准和管理要求重新安装布局，且一切费用和风险由成交商自行承担。</w:t>
      </w:r>
      <w:r>
        <w:rPr>
          <w:rFonts w:hint="eastAsia" w:ascii="宋体" w:hAnsi="宋体" w:cs="仿宋"/>
          <w:color w:val="auto"/>
          <w:sz w:val="24"/>
          <w:szCs w:val="24"/>
        </w:rPr>
        <w:t>成交商必须设置自动灭火装置。按照《建筑设计防火规范》</w:t>
      </w:r>
      <w:r>
        <w:rPr>
          <w:rFonts w:ascii="宋体" w:hAnsi="宋体" w:cs="仿宋"/>
          <w:color w:val="auto"/>
          <w:sz w:val="24"/>
          <w:szCs w:val="24"/>
        </w:rPr>
        <w:t>GB 50016—20</w:t>
      </w:r>
      <w:r>
        <w:rPr>
          <w:rFonts w:hint="eastAsia" w:ascii="宋体" w:hAnsi="宋体" w:cs="仿宋"/>
          <w:color w:val="auto"/>
          <w:sz w:val="24"/>
          <w:szCs w:val="24"/>
        </w:rPr>
        <w:t>22</w:t>
      </w:r>
      <w:r>
        <w:rPr>
          <w:rFonts w:ascii="宋体" w:hAnsi="宋体" w:cs="仿宋"/>
          <w:color w:val="auto"/>
          <w:sz w:val="24"/>
          <w:szCs w:val="24"/>
        </w:rPr>
        <w:t xml:space="preserve"> </w:t>
      </w:r>
      <w:r>
        <w:rPr>
          <w:rFonts w:hint="eastAsia" w:ascii="宋体" w:hAnsi="宋体" w:cs="仿宋"/>
          <w:color w:val="auto"/>
          <w:sz w:val="24"/>
          <w:szCs w:val="24"/>
        </w:rPr>
        <w:t>（</w:t>
      </w:r>
      <w:r>
        <w:rPr>
          <w:rFonts w:ascii="宋体" w:hAnsi="宋体" w:cs="仿宋"/>
          <w:color w:val="auto"/>
          <w:sz w:val="24"/>
          <w:szCs w:val="24"/>
        </w:rPr>
        <w:t>20</w:t>
      </w:r>
      <w:r>
        <w:rPr>
          <w:rFonts w:hint="eastAsia" w:ascii="宋体" w:hAnsi="宋体" w:cs="仿宋"/>
          <w:color w:val="auto"/>
          <w:sz w:val="24"/>
          <w:szCs w:val="24"/>
        </w:rPr>
        <w:t>22</w:t>
      </w:r>
      <w:r>
        <w:rPr>
          <w:rFonts w:ascii="宋体" w:hAnsi="宋体" w:cs="仿宋"/>
          <w:color w:val="auto"/>
          <w:sz w:val="24"/>
          <w:szCs w:val="24"/>
        </w:rPr>
        <w:t>年版）要求：餐厅建筑面积大于1000㎡的餐馆或食堂，其烹饪操作间的排油烟罩及烹饪部位应设置自动灭火装置，并应在燃气或燃油管道上设置与自动灭火装置联动的自动切断装置。</w:t>
      </w:r>
    </w:p>
    <w:p w14:paraId="39E2FD05">
      <w:pPr>
        <w:spacing w:line="440" w:lineRule="exact"/>
        <w:ind w:firstLine="480" w:firstLineChars="200"/>
        <w:jc w:val="left"/>
        <w:rPr>
          <w:rFonts w:ascii="宋体" w:hAnsi="宋体" w:cs="仿宋"/>
          <w:color w:val="auto"/>
          <w:sz w:val="24"/>
          <w:szCs w:val="24"/>
        </w:rPr>
      </w:pPr>
      <w:r>
        <w:rPr>
          <w:rFonts w:ascii="宋体" w:hAnsi="宋体" w:cs="仿宋"/>
          <w:color w:val="auto"/>
          <w:sz w:val="24"/>
          <w:szCs w:val="24"/>
        </w:rPr>
        <w:t>3.防水处理要求：</w:t>
      </w:r>
      <w:r>
        <w:rPr>
          <w:rFonts w:hint="eastAsia" w:ascii="宋体" w:hAnsi="宋体" w:cs="仿宋"/>
          <w:color w:val="auto"/>
          <w:sz w:val="24"/>
          <w:szCs w:val="24"/>
        </w:rPr>
        <w:t>成交商应严格按照国家相关规范对食堂重新进行防水改造，装修后必须保证楼层防水处理达到采购人要求。</w:t>
      </w:r>
    </w:p>
    <w:p w14:paraId="21DF9E3D">
      <w:pPr>
        <w:spacing w:line="400" w:lineRule="exact"/>
        <w:ind w:firstLine="480" w:firstLineChars="200"/>
        <w:rPr>
          <w:rFonts w:ascii="宋体" w:hAnsi="宋体" w:cs="宋体"/>
          <w:color w:val="auto"/>
          <w:sz w:val="24"/>
          <w:szCs w:val="28"/>
        </w:rPr>
      </w:pPr>
      <w:r>
        <w:rPr>
          <w:rFonts w:ascii="宋体" w:hAnsi="宋体" w:cs="宋体"/>
          <w:color w:val="auto"/>
          <w:sz w:val="24"/>
          <w:szCs w:val="28"/>
        </w:rPr>
        <w:t>4.公共卫生间设置要求：各食堂按照现有男女蹲位及站位数量设立。总体服务设施齐全，高档、美观、实用、保护隐私。须满足照明设施齐备，小便器和洗手</w:t>
      </w:r>
      <w:r>
        <w:rPr>
          <w:rFonts w:hint="eastAsia" w:ascii="宋体" w:hAnsi="宋体" w:cs="宋体"/>
          <w:color w:val="auto"/>
          <w:sz w:val="24"/>
          <w:szCs w:val="28"/>
        </w:rPr>
        <w:t>盆采用电磁感应冲水，蹲便器采用脚踏阀冲水，洗手盆为大理石台面或岩板一体洗手盆，须安装烘干设备，整体配备高档洁具。窗采用铝合金中空玻璃；门采用铝塑或高档木门（防潮）；地面采用高档防滑地砖；内墙高档瓷砖到顶；顶棚采用铝扣集成吊顶或纸面石膏板吊顶，安装抽排通风设施。</w:t>
      </w:r>
    </w:p>
    <w:p w14:paraId="68A57614">
      <w:pPr>
        <w:spacing w:line="400" w:lineRule="exact"/>
        <w:ind w:firstLine="480" w:firstLineChars="200"/>
        <w:rPr>
          <w:rFonts w:ascii="宋体" w:hAnsi="宋体" w:cs="宋体"/>
          <w:color w:val="auto"/>
          <w:sz w:val="24"/>
          <w:szCs w:val="28"/>
        </w:rPr>
      </w:pPr>
      <w:r>
        <w:rPr>
          <w:rFonts w:ascii="宋体" w:hAnsi="宋体" w:cs="宋体"/>
          <w:color w:val="auto"/>
          <w:sz w:val="24"/>
          <w:szCs w:val="28"/>
        </w:rPr>
        <w:t>5.各食堂就餐区可做适当分区、装修须凸显校园文化特色，融合学校现有标志标识、专业特色、服务育人等内容和功能，整体呈现现代风格，灯光明亮，符合当代大学气质，现有空调全部更换为全新格力或美的空调且食堂覆盖，须满足师生就餐、自习、研讨、工作交流等要求，确保监控设施全覆盖、</w:t>
      </w:r>
      <w:r>
        <w:rPr>
          <w:rFonts w:hint="eastAsia" w:ascii="宋体" w:hAnsi="宋体" w:cs="宋体"/>
          <w:color w:val="auto"/>
          <w:sz w:val="24"/>
          <w:szCs w:val="28"/>
        </w:rPr>
        <w:t>数智食堂功能按</w:t>
      </w:r>
      <w:r>
        <w:rPr>
          <w:rFonts w:hint="eastAsia" w:ascii="宋体" w:hAnsi="宋体" w:cs="宋体"/>
          <w:bCs/>
          <w:color w:val="auto"/>
          <w:sz w:val="24"/>
          <w:szCs w:val="24"/>
        </w:rPr>
        <w:t>“餐饮安全在线”应用手机端（原“重庆阳光食品”</w:t>
      </w:r>
      <w:r>
        <w:rPr>
          <w:rFonts w:ascii="宋体" w:hAnsi="宋体" w:cs="宋体"/>
          <w:bCs/>
          <w:color w:val="auto"/>
          <w:sz w:val="24"/>
          <w:szCs w:val="24"/>
        </w:rPr>
        <w:t>APP）</w:t>
      </w:r>
      <w:r>
        <w:rPr>
          <w:rFonts w:hint="eastAsia" w:ascii="宋体" w:hAnsi="宋体" w:cs="宋体"/>
          <w:color w:val="auto"/>
          <w:sz w:val="24"/>
          <w:szCs w:val="28"/>
        </w:rPr>
        <w:t>功能要求接入并正常使用。</w:t>
      </w:r>
    </w:p>
    <w:p w14:paraId="41E49C2C">
      <w:pPr>
        <w:spacing w:line="400" w:lineRule="exact"/>
        <w:ind w:firstLine="480" w:firstLineChars="200"/>
        <w:rPr>
          <w:rFonts w:ascii="宋体" w:hAnsi="宋体" w:cs="宋体"/>
          <w:color w:val="auto"/>
          <w:sz w:val="24"/>
          <w:szCs w:val="28"/>
        </w:rPr>
      </w:pPr>
      <w:r>
        <w:rPr>
          <w:rFonts w:ascii="宋体" w:hAnsi="宋体" w:cs="宋体"/>
          <w:color w:val="auto"/>
          <w:sz w:val="24"/>
          <w:szCs w:val="28"/>
        </w:rPr>
        <w:t>6.供应商提供4D及以上厨房建设方案：供应商要结合后厨设计，提供相应科学、合理且可行的4D及以上厨房建设方案，实现环境卫生“四无”要求，即地面无油渍、无水迹、无卫生死角、无杂物。墙砖满贴，功能间、加工间及</w:t>
      </w:r>
      <w:r>
        <w:rPr>
          <w:rFonts w:hint="eastAsia" w:ascii="宋体" w:hAnsi="宋体" w:cs="宋体"/>
          <w:color w:val="auto"/>
          <w:sz w:val="24"/>
          <w:szCs w:val="28"/>
        </w:rPr>
        <w:t>售卖间均全屋铝扣板吊顶。</w:t>
      </w:r>
    </w:p>
    <w:p w14:paraId="5FFEF1E9">
      <w:pPr>
        <w:spacing w:line="400" w:lineRule="exact"/>
        <w:ind w:firstLine="480" w:firstLineChars="200"/>
        <w:rPr>
          <w:rFonts w:ascii="宋体" w:hAnsi="宋体" w:cs="宋体"/>
          <w:color w:val="auto"/>
          <w:sz w:val="24"/>
          <w:szCs w:val="28"/>
        </w:rPr>
      </w:pPr>
      <w:r>
        <w:rPr>
          <w:rFonts w:ascii="宋体" w:hAnsi="宋体" w:cs="宋体"/>
          <w:color w:val="auto"/>
          <w:sz w:val="24"/>
          <w:szCs w:val="28"/>
        </w:rPr>
        <w:t>7.</w:t>
      </w:r>
      <w:r>
        <w:rPr>
          <w:rFonts w:hint="eastAsia" w:ascii="宋体" w:hAnsi="宋体" w:cs="宋体"/>
          <w:color w:val="auto"/>
          <w:sz w:val="24"/>
          <w:szCs w:val="28"/>
        </w:rPr>
        <w:t>成交商根据实际需要须对食堂外墙进行整修和改造工作。在合同服务期内，成交商负责对食堂装饰工程、食堂主体外墙、设备设施的质量保修维护工作。按照采购人要求及时、高效完成各项售后维修维护工作。</w:t>
      </w:r>
    </w:p>
    <w:p w14:paraId="50C0ED27">
      <w:pPr>
        <w:spacing w:line="400" w:lineRule="exact"/>
        <w:ind w:firstLine="480" w:firstLineChars="200"/>
        <w:rPr>
          <w:rFonts w:ascii="宋体" w:hAnsi="宋体" w:cs="宋体"/>
          <w:color w:val="auto"/>
          <w:sz w:val="24"/>
          <w:szCs w:val="28"/>
        </w:rPr>
      </w:pPr>
      <w:r>
        <w:rPr>
          <w:rFonts w:ascii="宋体" w:hAnsi="宋体" w:cs="宋体"/>
          <w:color w:val="auto"/>
          <w:sz w:val="24"/>
          <w:szCs w:val="28"/>
        </w:rPr>
        <w:t>8.供应商</w:t>
      </w:r>
      <w:r>
        <w:rPr>
          <w:rFonts w:hint="eastAsia" w:ascii="宋体" w:hAnsi="宋体" w:cs="宋体"/>
          <w:color w:val="auto"/>
          <w:sz w:val="24"/>
          <w:szCs w:val="28"/>
        </w:rPr>
        <w:t>提供数智食堂建设方案：供应商按照采购人数智食堂建设要求，无条件响应并投资完成建设。即采购人数智食堂总平台搭建（须满足采购人两校区所有</w:t>
      </w:r>
      <w:r>
        <w:rPr>
          <w:rFonts w:ascii="宋体" w:hAnsi="宋体" w:cs="宋体"/>
          <w:color w:val="auto"/>
          <w:sz w:val="24"/>
          <w:szCs w:val="28"/>
        </w:rPr>
        <w:t>食堂的统筹监管需求）、本项目食堂必要的硬件建设（具体建设需求参数见</w:t>
      </w:r>
      <w:r>
        <w:rPr>
          <w:rFonts w:hint="eastAsia" w:ascii="宋体" w:hAnsi="宋体" w:cs="宋体"/>
          <w:color w:val="auto"/>
          <w:sz w:val="24"/>
          <w:szCs w:val="28"/>
        </w:rPr>
        <w:t>“五、“数智食堂”建设要求”）。按照采购人数智食堂建设工作要求自行承担各自食堂数智食堂相关费用，</w:t>
      </w:r>
      <w:r>
        <w:rPr>
          <w:rFonts w:hint="eastAsia"/>
          <w:color w:val="auto"/>
          <w:sz w:val="24"/>
        </w:rPr>
        <w:t>其中包</w:t>
      </w:r>
      <w:r>
        <w:rPr>
          <w:color w:val="auto"/>
          <w:sz w:val="24"/>
        </w:rPr>
        <w:t>3</w:t>
      </w:r>
      <w:r>
        <w:rPr>
          <w:rFonts w:hint="eastAsia"/>
          <w:color w:val="auto"/>
          <w:sz w:val="24"/>
        </w:rPr>
        <w:t>的成交商须完成“数智食堂”学校食安监管平台建设要求全部内容，包</w:t>
      </w:r>
      <w:r>
        <w:rPr>
          <w:color w:val="auto"/>
          <w:sz w:val="24"/>
        </w:rPr>
        <w:t>1</w:t>
      </w:r>
      <w:r>
        <w:rPr>
          <w:rFonts w:hint="eastAsia"/>
          <w:color w:val="auto"/>
          <w:sz w:val="24"/>
        </w:rPr>
        <w:t>、包</w:t>
      </w:r>
      <w:r>
        <w:rPr>
          <w:color w:val="auto"/>
          <w:sz w:val="24"/>
        </w:rPr>
        <w:t>2</w:t>
      </w:r>
      <w:r>
        <w:rPr>
          <w:rFonts w:hint="eastAsia"/>
          <w:color w:val="auto"/>
          <w:sz w:val="24"/>
        </w:rPr>
        <w:t>、包</w:t>
      </w:r>
      <w:r>
        <w:rPr>
          <w:color w:val="auto"/>
          <w:sz w:val="24"/>
        </w:rPr>
        <w:t>3</w:t>
      </w:r>
      <w:r>
        <w:rPr>
          <w:rFonts w:hint="eastAsia"/>
          <w:color w:val="auto"/>
          <w:sz w:val="24"/>
        </w:rPr>
        <w:t>、包</w:t>
      </w:r>
      <w:r>
        <w:rPr>
          <w:color w:val="auto"/>
          <w:sz w:val="24"/>
        </w:rPr>
        <w:t>4</w:t>
      </w:r>
      <w:r>
        <w:rPr>
          <w:rFonts w:hint="eastAsia"/>
          <w:color w:val="auto"/>
          <w:sz w:val="24"/>
        </w:rPr>
        <w:t>和包</w:t>
      </w:r>
      <w:r>
        <w:rPr>
          <w:color w:val="auto"/>
          <w:sz w:val="24"/>
        </w:rPr>
        <w:t>5</w:t>
      </w:r>
      <w:r>
        <w:rPr>
          <w:rFonts w:hint="eastAsia"/>
          <w:color w:val="auto"/>
          <w:sz w:val="24"/>
        </w:rPr>
        <w:t>的成交商须按照“数智食堂”食堂数智化设备建设要求完成各自食堂的所有建设。</w:t>
      </w:r>
      <w:r>
        <w:rPr>
          <w:rFonts w:hint="eastAsia" w:ascii="宋体" w:hAnsi="宋体" w:cs="宋体"/>
          <w:color w:val="auto"/>
          <w:sz w:val="24"/>
          <w:szCs w:val="28"/>
        </w:rPr>
        <w:t>整个数智食堂系统须在该食堂装修改造投入使用前建成，经采购人验收后投入使用，成交商须委托系统建设单位负责对采购人的使用人员进行培训，成交商须在数智食堂建设合同中明确系统建设单位负责免费为采购人后续拓展接入的食堂终端设备做好技术服务，成交商同时将该系统的产权移交给采购人并办理移交手续，采购人终身免费使用该系统，成交商数智食堂建设单位须在售后服务期限内负责数智食堂系统的维护，确保整个系统正常使用。录像及管理数据资产归采购人处置，任何数据不得不经采购人书面同意提供给第三方，所有数据必须无条件提供给采购人并提供相关接口或数据库权限。</w:t>
      </w:r>
    </w:p>
    <w:p w14:paraId="55E1A2F4">
      <w:pPr>
        <w:spacing w:line="400" w:lineRule="exact"/>
        <w:ind w:firstLine="480" w:firstLineChars="200"/>
        <w:rPr>
          <w:rFonts w:ascii="宋体" w:hAnsi="宋体" w:cs="宋体"/>
          <w:color w:val="auto"/>
          <w:sz w:val="24"/>
          <w:szCs w:val="28"/>
        </w:rPr>
      </w:pPr>
      <w:r>
        <w:rPr>
          <w:rFonts w:ascii="宋体" w:hAnsi="宋体" w:cs="宋体"/>
          <w:color w:val="auto"/>
          <w:sz w:val="24"/>
          <w:szCs w:val="28"/>
        </w:rPr>
        <w:t>9.本次招标的食堂建筑物现状：现有的室内消防设施仅有消火栓系统、应急疏散指示标志和防火门，没有或部分没有消防报警、喷淋、防排烟、烟感和温感等设施。各供应商务必要充分了解该情况，在装修改造方案中进行合</w:t>
      </w:r>
      <w:r>
        <w:rPr>
          <w:rFonts w:hint="eastAsia" w:ascii="宋体" w:hAnsi="宋体" w:cs="宋体"/>
          <w:color w:val="auto"/>
          <w:sz w:val="24"/>
          <w:szCs w:val="28"/>
        </w:rPr>
        <w:t>规性设计并通过建设行政主管部门的消防设计审查和竣工验收，同时需要将设计方案报采购人的消防安全主管部门审核书面同意后实施。新增的各项消防设施和报警装置，需要统一接入采购人整个消防系统联网，故消防设施设备必须与原有消防系统无缝对接（</w:t>
      </w:r>
      <w:r>
        <w:rPr>
          <w:rFonts w:hint="eastAsia" w:ascii="宋体" w:hAnsi="宋体" w:cs="宋体"/>
          <w:bCs/>
          <w:color w:val="auto"/>
          <w:sz w:val="24"/>
          <w:szCs w:val="28"/>
        </w:rPr>
        <w:t>现在采购人的消防系统使用的是“海湾牌”系列产品</w:t>
      </w:r>
      <w:r>
        <w:rPr>
          <w:rFonts w:hint="eastAsia" w:ascii="宋体" w:hAnsi="宋体" w:cs="宋体"/>
          <w:color w:val="auto"/>
          <w:sz w:val="24"/>
          <w:szCs w:val="28"/>
        </w:rPr>
        <w:t>）。</w:t>
      </w:r>
    </w:p>
    <w:p w14:paraId="07891093">
      <w:pPr>
        <w:spacing w:line="440" w:lineRule="exact"/>
        <w:ind w:firstLine="480" w:firstLineChars="200"/>
        <w:jc w:val="left"/>
        <w:rPr>
          <w:rFonts w:hint="eastAsia" w:ascii="宋体" w:hAnsi="宋体" w:cs="宋体"/>
          <w:color w:val="auto"/>
          <w:sz w:val="24"/>
          <w:szCs w:val="28"/>
        </w:rPr>
      </w:pPr>
      <w:r>
        <w:rPr>
          <w:rFonts w:hint="eastAsia" w:ascii="宋体" w:hAnsi="宋体" w:cs="宋体"/>
          <w:color w:val="auto"/>
          <w:sz w:val="24"/>
          <w:szCs w:val="28"/>
        </w:rPr>
        <w:t>10.食堂油烟排放改造：按照重庆市永川区生态环境局、重庆市永川区教育委员会《关于加快推进学校食堂油烟治理提标改造的通知》的要求：</w:t>
      </w:r>
    </w:p>
    <w:p w14:paraId="77E396B6">
      <w:pPr>
        <w:spacing w:line="440" w:lineRule="exact"/>
        <w:ind w:firstLine="480" w:firstLineChars="200"/>
        <w:jc w:val="left"/>
        <w:rPr>
          <w:rFonts w:hint="eastAsia" w:ascii="宋体" w:hAnsi="宋体" w:cs="宋体"/>
          <w:color w:val="auto"/>
          <w:sz w:val="24"/>
          <w:szCs w:val="28"/>
        </w:rPr>
      </w:pPr>
      <w:r>
        <w:rPr>
          <w:rFonts w:hint="eastAsia" w:ascii="宋体" w:hAnsi="宋体" w:cs="宋体"/>
          <w:color w:val="auto"/>
          <w:sz w:val="24"/>
          <w:szCs w:val="28"/>
        </w:rPr>
        <w:t>技术改造标准：</w:t>
      </w:r>
    </w:p>
    <w:p w14:paraId="25AF2547">
      <w:pPr>
        <w:spacing w:line="440" w:lineRule="exact"/>
        <w:ind w:firstLine="480" w:firstLineChars="200"/>
        <w:jc w:val="left"/>
        <w:rPr>
          <w:rFonts w:hint="eastAsia" w:ascii="宋体" w:hAnsi="宋体" w:cs="宋体"/>
          <w:color w:val="auto"/>
          <w:sz w:val="24"/>
          <w:szCs w:val="28"/>
        </w:rPr>
      </w:pPr>
      <w:r>
        <w:rPr>
          <w:rFonts w:hint="eastAsia" w:ascii="宋体" w:hAnsi="宋体" w:cs="宋体"/>
          <w:color w:val="auto"/>
          <w:sz w:val="24"/>
          <w:szCs w:val="28"/>
        </w:rPr>
        <w:t>(一)设备配置要求。油烟净化处理风量与灶头数量相匹配，设备标准化安装，采用高效静电、湿法冷凝等先进技术，同时净化设备应与排风机联动。</w:t>
      </w:r>
    </w:p>
    <w:p w14:paraId="79CA2BA6">
      <w:pPr>
        <w:spacing w:line="440" w:lineRule="exact"/>
        <w:ind w:firstLine="480" w:firstLineChars="200"/>
        <w:jc w:val="left"/>
        <w:rPr>
          <w:rFonts w:hint="eastAsia" w:ascii="宋体" w:hAnsi="宋体" w:cs="宋体"/>
          <w:color w:val="auto"/>
          <w:sz w:val="24"/>
          <w:szCs w:val="28"/>
        </w:rPr>
      </w:pPr>
      <w:r>
        <w:rPr>
          <w:rFonts w:hint="eastAsia" w:ascii="宋体" w:hAnsi="宋体" w:cs="宋体"/>
          <w:color w:val="auto"/>
          <w:sz w:val="24"/>
          <w:szCs w:val="28"/>
        </w:rPr>
        <w:t>(二)排放限值标准。改造后油烟净化效率需≥95%,油烟排 放浓度稳定≤0.3mg/m³(鼓励达到0.1mg/m³), 非甲烷总烃浓度 ≤5mg/m³,需同步提交第三方监测报告。</w:t>
      </w:r>
    </w:p>
    <w:p w14:paraId="60C77D93">
      <w:pPr>
        <w:spacing w:line="440" w:lineRule="exact"/>
        <w:ind w:firstLine="480" w:firstLineChars="200"/>
        <w:jc w:val="left"/>
        <w:rPr>
          <w:rFonts w:ascii="宋体" w:hAnsi="宋体" w:cs="仿宋"/>
          <w:color w:val="auto"/>
          <w:sz w:val="24"/>
          <w:szCs w:val="24"/>
        </w:rPr>
      </w:pPr>
      <w:r>
        <w:rPr>
          <w:rFonts w:hint="eastAsia" w:ascii="宋体" w:hAnsi="宋体" w:cs="宋体"/>
          <w:color w:val="auto"/>
          <w:sz w:val="24"/>
          <w:szCs w:val="28"/>
        </w:rPr>
        <w:t>(三)运维管理要求。需保证治理设施持续正常运行，严格落实日常巡查工作，定期对设施进行清洗维护，且妥善保存相关记录。鼓励实施治理设施的第三方运维管理模式，以及油烟设备的自动清洗作业。对本条必须响应</w:t>
      </w:r>
      <w:r>
        <w:rPr>
          <w:rFonts w:hint="eastAsia" w:ascii="宋体" w:hAnsi="宋体" w:cs="仿宋"/>
          <w:color w:val="auto"/>
          <w:sz w:val="24"/>
          <w:szCs w:val="24"/>
        </w:rPr>
        <w:t>。</w:t>
      </w:r>
    </w:p>
    <w:p w14:paraId="1A06576B">
      <w:pPr>
        <w:spacing w:line="440" w:lineRule="exact"/>
        <w:ind w:firstLine="480" w:firstLineChars="200"/>
        <w:jc w:val="left"/>
        <w:rPr>
          <w:rFonts w:ascii="宋体" w:hAnsi="宋体" w:cs="宋体"/>
          <w:color w:val="auto"/>
          <w:sz w:val="24"/>
          <w:szCs w:val="28"/>
        </w:rPr>
      </w:pPr>
      <w:bookmarkStart w:id="62" w:name="OLE_LINK3"/>
      <w:bookmarkStart w:id="63" w:name="OLE_LINK4"/>
      <w:r>
        <w:rPr>
          <w:rFonts w:ascii="宋体" w:hAnsi="宋体" w:cs="宋体"/>
          <w:color w:val="auto"/>
          <w:sz w:val="24"/>
          <w:szCs w:val="28"/>
        </w:rPr>
        <w:t>11.</w:t>
      </w:r>
      <w:r>
        <w:rPr>
          <w:rFonts w:hint="eastAsia" w:ascii="宋体" w:hAnsi="宋体" w:cs="宋体"/>
          <w:color w:val="auto"/>
          <w:sz w:val="24"/>
          <w:szCs w:val="28"/>
        </w:rPr>
        <w:t>成交商根据招标条件、自身管理和服务的需要，对加工区的分隔或房间的功能做必要的整合或调整，装修改造方案和施工图须在满足需求、现状条件和设计规范的基础上，由成交商委托有资质的单位进行设计和施工图审查，并按照食堂所在地（重庆市永川区）建设行政主管部门和燃气管理部门、市场监督、消防管理部门的要求，办理好各项合法的建设审批手续后方能组织实施。成交商应在中标通知书发布后</w:t>
      </w:r>
      <w:r>
        <w:rPr>
          <w:rFonts w:ascii="宋体" w:hAnsi="宋体" w:cs="宋体"/>
          <w:color w:val="auto"/>
          <w:sz w:val="24"/>
          <w:szCs w:val="28"/>
        </w:rPr>
        <w:t>10</w:t>
      </w:r>
      <w:r>
        <w:rPr>
          <w:rFonts w:hint="eastAsia" w:ascii="宋体" w:hAnsi="宋体" w:cs="宋体"/>
          <w:color w:val="auto"/>
          <w:sz w:val="24"/>
          <w:szCs w:val="28"/>
        </w:rPr>
        <w:t>日内完成装修改造涉及的平面布局、管网、用电负荷等设计方案论证并通过采购人的审核，作为施工图设计的依据；同时在中标通知书发布后</w:t>
      </w:r>
      <w:r>
        <w:rPr>
          <w:rFonts w:ascii="宋体" w:hAnsi="宋体" w:cs="宋体"/>
          <w:color w:val="auto"/>
          <w:sz w:val="24"/>
          <w:szCs w:val="28"/>
        </w:rPr>
        <w:t xml:space="preserve"> 15日内，提交环境改善投入实施方案和投资概算并通过采购人的审核，作为中标人环境改善投入的实施依据。</w:t>
      </w:r>
      <w:bookmarkEnd w:id="62"/>
      <w:bookmarkEnd w:id="63"/>
    </w:p>
    <w:p w14:paraId="074D6ECF">
      <w:pPr>
        <w:spacing w:line="400" w:lineRule="exact"/>
        <w:ind w:firstLine="480" w:firstLineChars="200"/>
        <w:rPr>
          <w:rFonts w:ascii="宋体" w:hAnsi="宋体" w:cs="宋体"/>
          <w:color w:val="auto"/>
          <w:sz w:val="24"/>
          <w:szCs w:val="28"/>
        </w:rPr>
      </w:pPr>
      <w:r>
        <w:rPr>
          <w:rFonts w:ascii="宋体" w:hAnsi="宋体" w:cs="宋体"/>
          <w:color w:val="auto"/>
          <w:sz w:val="24"/>
          <w:szCs w:val="28"/>
        </w:rPr>
        <w:t>12.</w:t>
      </w:r>
      <w:r>
        <w:rPr>
          <w:rFonts w:hint="eastAsia" w:ascii="宋体" w:hAnsi="宋体" w:cs="宋体"/>
          <w:color w:val="auto"/>
          <w:sz w:val="24"/>
          <w:szCs w:val="28"/>
        </w:rPr>
        <w:t>成交商在装修改造中必须委托有资质的监理单位对施工全过程进行监理，装修改造完工后，成交商自行邀请所在地建设行政主管部门、燃气管理部门、市场监管部门以及其他相关主管部门进行合格验收并取得验收合格意见书。采购人结合装修改造对各食堂区域进行安防升级施工时，成交商须无条件的配合并承担升级所需的费用。在装修改造办理建设审批手续过程中，若需要以采购人名义进行的申报、报验等工作，采购人只负责配合提供采购人的相关信息、已有的工程资料和盖章，其余的所有工作，由成交商完成，并由成交商承担相应的费用。</w:t>
      </w:r>
    </w:p>
    <w:p w14:paraId="6C1071A3">
      <w:pPr>
        <w:spacing w:line="400" w:lineRule="exact"/>
        <w:ind w:firstLine="480" w:firstLineChars="200"/>
        <w:rPr>
          <w:rFonts w:ascii="宋体" w:hAnsi="宋体" w:cs="宋体"/>
          <w:color w:val="auto"/>
          <w:sz w:val="24"/>
          <w:szCs w:val="28"/>
        </w:rPr>
      </w:pPr>
      <w:r>
        <w:rPr>
          <w:rFonts w:ascii="宋体" w:hAnsi="宋体" w:cs="宋体"/>
          <w:color w:val="auto"/>
          <w:sz w:val="24"/>
          <w:szCs w:val="28"/>
        </w:rPr>
        <w:t>13.</w:t>
      </w:r>
      <w:r>
        <w:rPr>
          <w:rFonts w:hint="eastAsia" w:ascii="宋体" w:hAnsi="宋体" w:cs="宋体"/>
          <w:color w:val="auto"/>
          <w:sz w:val="24"/>
          <w:szCs w:val="28"/>
        </w:rPr>
        <w:t>成交商在取得相关主管部门的验收合格意见书和采购人指定的第三方有资质公司出具的项目结算审核报告书的基础上，将一套完整的施工过程资料备齐后</w:t>
      </w:r>
      <w:r>
        <w:rPr>
          <w:rFonts w:ascii="宋体" w:hAnsi="宋体" w:cs="宋体"/>
          <w:color w:val="auto"/>
          <w:sz w:val="24"/>
          <w:szCs w:val="28"/>
        </w:rPr>
        <w:t xml:space="preserve"> 15个工作日内，由采购人组织相关人员组成验收小组，对整个装修改造和设备设施投入进行验收，形成验收意见。装饰装修改造投入的结算编制，按照重庆市 2018 </w:t>
      </w:r>
      <w:r>
        <w:rPr>
          <w:rFonts w:hint="eastAsia" w:ascii="宋体" w:hAnsi="宋体" w:cs="宋体"/>
          <w:color w:val="auto"/>
          <w:sz w:val="24"/>
          <w:szCs w:val="28"/>
        </w:rPr>
        <w:t>年及最新的相关工程定额和文件计价。成交商投入金额审定的允许负偏差范围为中标承诺金额的</w:t>
      </w:r>
      <w:r>
        <w:rPr>
          <w:rFonts w:ascii="宋体" w:hAnsi="宋体" w:cs="宋体"/>
          <w:color w:val="auto"/>
          <w:sz w:val="24"/>
          <w:szCs w:val="28"/>
        </w:rPr>
        <w:t>-2%，若发现实际投资金额超出了允许的负偏差范围，视为未履行中标承诺，</w:t>
      </w:r>
      <w:r>
        <w:rPr>
          <w:rFonts w:hint="eastAsia" w:ascii="宋体" w:hAnsi="宋体" w:cs="宋体"/>
          <w:color w:val="auto"/>
          <w:sz w:val="24"/>
          <w:szCs w:val="28"/>
        </w:rPr>
        <w:t>成交商必须按差额部分</w:t>
      </w:r>
      <w:r>
        <w:rPr>
          <w:rFonts w:hint="eastAsia" w:ascii="宋体" w:hAnsi="宋体" w:cs="仿宋"/>
          <w:color w:val="auto"/>
          <w:sz w:val="24"/>
          <w:szCs w:val="24"/>
        </w:rPr>
        <w:t>补偿给采购人</w:t>
      </w:r>
      <w:r>
        <w:rPr>
          <w:rFonts w:hint="eastAsia" w:ascii="宋体" w:hAnsi="宋体" w:cs="宋体"/>
          <w:color w:val="auto"/>
          <w:sz w:val="24"/>
          <w:szCs w:val="28"/>
        </w:rPr>
        <w:t>，差额补偿金从成交商履约保证金中扣除，如</w:t>
      </w:r>
      <w:r>
        <w:rPr>
          <w:rFonts w:hint="eastAsia" w:ascii="宋体" w:hAnsi="宋体" w:cs="仿宋"/>
          <w:color w:val="auto"/>
          <w:sz w:val="24"/>
          <w:szCs w:val="24"/>
        </w:rPr>
        <w:t>影响师生就餐的，学校还将追究其违约责任。</w:t>
      </w:r>
      <w:r>
        <w:rPr>
          <w:rFonts w:hint="eastAsia" w:ascii="宋体" w:hAnsi="宋体" w:cs="宋体"/>
          <w:color w:val="auto"/>
          <w:sz w:val="24"/>
          <w:szCs w:val="28"/>
        </w:rPr>
        <w:t>装修投入的正偏差，不设上限偏差范围。</w:t>
      </w:r>
    </w:p>
    <w:bookmarkEnd w:id="61"/>
    <w:p w14:paraId="5020E1D3">
      <w:pPr>
        <w:spacing w:line="400" w:lineRule="exact"/>
        <w:ind w:firstLine="480" w:firstLineChars="200"/>
        <w:jc w:val="left"/>
        <w:rPr>
          <w:rFonts w:ascii="宋体" w:hAnsi="宋体" w:cs="宋体"/>
          <w:color w:val="auto"/>
          <w:sz w:val="24"/>
          <w:szCs w:val="28"/>
        </w:rPr>
      </w:pPr>
      <w:bookmarkStart w:id="64" w:name="OLE_LINK62"/>
      <w:bookmarkStart w:id="65" w:name="OLE_LINK63"/>
      <w:bookmarkStart w:id="66" w:name="_Toc6747"/>
      <w:r>
        <w:rPr>
          <w:rFonts w:ascii="宋体" w:hAnsi="宋体" w:cs="宋体"/>
          <w:color w:val="auto"/>
          <w:sz w:val="24"/>
          <w:szCs w:val="28"/>
        </w:rPr>
        <w:t>14.成交商资金投入要求：包1投入资金不得低于250万元，</w:t>
      </w:r>
      <w:bookmarkEnd w:id="64"/>
      <w:bookmarkEnd w:id="65"/>
      <w:r>
        <w:rPr>
          <w:rFonts w:ascii="宋体" w:hAnsi="宋体" w:cs="宋体"/>
          <w:color w:val="auto"/>
          <w:sz w:val="24"/>
          <w:szCs w:val="28"/>
        </w:rPr>
        <w:t>包2投入资金不得低于250万元，包3投入资金不得低于460万，包4投入资金不得低于260万，包5投入资金不得低于250万，该投入费用包括数智食堂建设、环境改善、设施设备购置、餐厨具等，供应商在投标文件中承诺具体金额，但不低于本招标文件要求的最低金额，成交商投入资金以</w:t>
      </w:r>
      <w:r>
        <w:rPr>
          <w:rFonts w:hint="eastAsia" w:ascii="宋体" w:hAnsi="宋体" w:cs="宋体"/>
          <w:color w:val="auto"/>
          <w:sz w:val="24"/>
          <w:szCs w:val="28"/>
        </w:rPr>
        <w:t>采购人指定的</w:t>
      </w:r>
      <w:r>
        <w:rPr>
          <w:rFonts w:ascii="宋体" w:hAnsi="宋体" w:cs="宋体"/>
          <w:color w:val="auto"/>
          <w:sz w:val="24"/>
          <w:szCs w:val="28"/>
        </w:rPr>
        <w:t>第三方有资质的公司出具的项目结算审核报告书为准，结算审核</w:t>
      </w:r>
      <w:r>
        <w:rPr>
          <w:rFonts w:hint="eastAsia" w:ascii="宋体" w:hAnsi="宋体" w:cs="宋体"/>
          <w:color w:val="auto"/>
          <w:sz w:val="24"/>
          <w:szCs w:val="28"/>
        </w:rPr>
        <w:t>费用由成交商自行负担</w:t>
      </w:r>
      <w:r>
        <w:rPr>
          <w:rFonts w:ascii="宋体" w:hAnsi="宋体" w:cs="宋体"/>
          <w:color w:val="auto"/>
          <w:sz w:val="24"/>
          <w:szCs w:val="28"/>
        </w:rPr>
        <w:t>。</w:t>
      </w:r>
    </w:p>
    <w:p w14:paraId="5040B66B">
      <w:pPr>
        <w:spacing w:line="400" w:lineRule="exact"/>
        <w:ind w:firstLine="480" w:firstLineChars="200"/>
        <w:rPr>
          <w:rFonts w:ascii="宋体" w:hAnsi="宋体" w:cs="宋体"/>
          <w:color w:val="auto"/>
          <w:sz w:val="24"/>
          <w:szCs w:val="28"/>
        </w:rPr>
      </w:pPr>
      <w:r>
        <w:rPr>
          <w:rFonts w:ascii="宋体" w:hAnsi="宋体" w:cs="宋体"/>
          <w:color w:val="auto"/>
          <w:sz w:val="24"/>
          <w:szCs w:val="28"/>
        </w:rPr>
        <w:t>15.“三防”设施要求：确保配备符合实际的防鼠、防虫、防蝇设施并能够有效发挥作用，防止鼠类等有害生物侵入。其中，墙壁、地板应无缝隙；所有管道与外界或天花板连接处应封闭，所有管线穿越而产生的孔洞应封堵，孔洞填充牢固，无缝隙；使用水封式地漏；人员、货物与外界相连通道应设有防鼠板；门缝隙、排水管道出水口应按照操作规范要求做好“三防”措施。</w:t>
      </w:r>
    </w:p>
    <w:p w14:paraId="682FCC76">
      <w:pPr>
        <w:spacing w:line="400" w:lineRule="exact"/>
        <w:ind w:firstLine="480" w:firstLineChars="200"/>
        <w:rPr>
          <w:rFonts w:ascii="宋体" w:hAnsi="宋体" w:cs="宋体"/>
          <w:color w:val="auto"/>
          <w:sz w:val="24"/>
          <w:szCs w:val="28"/>
        </w:rPr>
      </w:pPr>
      <w:bookmarkStart w:id="67" w:name="OLE_LINK6"/>
      <w:bookmarkStart w:id="68" w:name="OLE_LINK5"/>
      <w:r>
        <w:rPr>
          <w:rFonts w:ascii="宋体" w:hAnsi="宋体" w:cs="宋体"/>
          <w:color w:val="auto"/>
          <w:sz w:val="24"/>
          <w:szCs w:val="28"/>
        </w:rPr>
        <w:t>16.水电搭接安装要求。原先的所有电气线路和给水管网必须结合自身经营所需电力负荷和使用需求重新规划布局（包括搭接至变压器的主供电电缆），如因食堂能源超负荷，还需承担能源扩容所涉及的费用。成交商整个招标经营区域只能设置一块水、电、气计量表，水电气搭接口由采购人指定，需要配备负荷用电安全要求的用电安全防护设施设备。施工中发生的安全责任事故由成交商自行承担。</w:t>
      </w:r>
      <w:bookmarkEnd w:id="67"/>
      <w:bookmarkEnd w:id="68"/>
    </w:p>
    <w:p w14:paraId="30E6DE21">
      <w:pPr>
        <w:spacing w:line="400" w:lineRule="exact"/>
        <w:ind w:firstLine="480" w:firstLineChars="200"/>
        <w:rPr>
          <w:rFonts w:ascii="宋体" w:hAnsi="宋体" w:cs="宋体"/>
          <w:color w:val="auto"/>
          <w:sz w:val="24"/>
          <w:szCs w:val="28"/>
        </w:rPr>
      </w:pPr>
      <w:r>
        <w:rPr>
          <w:rFonts w:ascii="宋体" w:hAnsi="宋体" w:cs="宋体"/>
          <w:color w:val="auto"/>
          <w:sz w:val="24"/>
          <w:szCs w:val="28"/>
        </w:rPr>
        <w:t>17.包4红河校区三食堂的成交商须邀请专业机构对大厅（隔层）和屋顶现有的钢架结构进行安全监测，并向采购人提交安全监测报告，采购人</w:t>
      </w:r>
      <w:r>
        <w:rPr>
          <w:rFonts w:hint="eastAsia" w:ascii="宋体" w:hAnsi="宋体" w:cs="宋体"/>
          <w:color w:val="auto"/>
          <w:sz w:val="24"/>
          <w:szCs w:val="28"/>
        </w:rPr>
        <w:t>邀请</w:t>
      </w:r>
      <w:r>
        <w:rPr>
          <w:rFonts w:ascii="宋体" w:hAnsi="宋体" w:cs="宋体"/>
          <w:color w:val="auto"/>
          <w:sz w:val="24"/>
          <w:szCs w:val="28"/>
        </w:rPr>
        <w:t>相关</w:t>
      </w:r>
      <w:r>
        <w:rPr>
          <w:rFonts w:hint="eastAsia" w:ascii="宋体" w:hAnsi="宋体" w:cs="宋体"/>
          <w:color w:val="auto"/>
          <w:sz w:val="24"/>
          <w:szCs w:val="28"/>
        </w:rPr>
        <w:t>专业</w:t>
      </w:r>
      <w:r>
        <w:rPr>
          <w:rFonts w:ascii="宋体" w:hAnsi="宋体" w:cs="宋体"/>
          <w:color w:val="auto"/>
          <w:sz w:val="24"/>
          <w:szCs w:val="28"/>
        </w:rPr>
        <w:t>监测机构监测后确认没有安全隐患后成交商方可投入使用，并由成交商自行承担所有相关专业检测费用；如大厅（隔层）和屋顶现有的钢架结构安全监测不合格，须成交商出资进行改造并达到安全要求。</w:t>
      </w:r>
    </w:p>
    <w:p w14:paraId="5309C6BF">
      <w:pPr>
        <w:pStyle w:val="4"/>
        <w:spacing w:line="400" w:lineRule="exact"/>
        <w:rPr>
          <w:b w:val="0"/>
          <w:color w:val="auto"/>
        </w:rPr>
      </w:pPr>
      <w:bookmarkStart w:id="69" w:name="_Toc25555"/>
      <w:r>
        <w:rPr>
          <w:rFonts w:hint="eastAsia"/>
          <w:b w:val="0"/>
          <w:color w:val="auto"/>
        </w:rPr>
        <w:t>（七）教工餐要求</w:t>
      </w:r>
      <w:bookmarkEnd w:id="69"/>
    </w:p>
    <w:p w14:paraId="381BF632">
      <w:pPr>
        <w:snapToGrid w:val="0"/>
        <w:spacing w:line="400" w:lineRule="exact"/>
        <w:ind w:firstLine="480" w:firstLineChars="200"/>
        <w:rPr>
          <w:color w:val="auto"/>
          <w:sz w:val="24"/>
          <w:szCs w:val="24"/>
        </w:rPr>
      </w:pPr>
      <w:r>
        <w:rPr>
          <w:rFonts w:ascii="宋体" w:hAnsi="宋体"/>
          <w:color w:val="auto"/>
          <w:sz w:val="24"/>
          <w:szCs w:val="24"/>
        </w:rPr>
        <w:t>1.采购人以提供的优惠条件要求</w:t>
      </w:r>
      <w:r>
        <w:rPr>
          <w:rFonts w:hint="eastAsia" w:ascii="宋体" w:hAnsi="宋体"/>
          <w:color w:val="auto"/>
          <w:sz w:val="24"/>
          <w:szCs w:val="24"/>
        </w:rPr>
        <w:t>成交商做好自助教工餐。自助教工餐菜品必须有鸡、鸭、鱼、兔、猪、牛羊肉、根茎、瓜果、豆制品、绿叶蔬菜等荤素菜合理搭配的新鲜食材。菜品基本配置：每餐</w:t>
      </w:r>
      <w:r>
        <w:rPr>
          <w:rFonts w:ascii="宋体" w:hAnsi="宋体"/>
          <w:color w:val="auto"/>
          <w:sz w:val="24"/>
          <w:szCs w:val="24"/>
        </w:rPr>
        <w:t xml:space="preserve"> 6荤6素、荤或素汤1道（变换使用）、生牛乳酸奶1盒（每人）或水果1个（每人）、米饭、粥、馒头，</w:t>
      </w:r>
      <w:r>
        <w:rPr>
          <w:rFonts w:hint="eastAsia"/>
          <w:color w:val="auto"/>
          <w:sz w:val="24"/>
          <w:szCs w:val="24"/>
        </w:rPr>
        <w:t>做到饭菜丰富、品种轮换（原则上每周菜品重复率不超过</w:t>
      </w:r>
      <w:r>
        <w:rPr>
          <w:color w:val="auto"/>
          <w:sz w:val="24"/>
          <w:szCs w:val="24"/>
        </w:rPr>
        <w:t>20%</w:t>
      </w:r>
      <w:r>
        <w:rPr>
          <w:rFonts w:hint="eastAsia"/>
          <w:color w:val="auto"/>
          <w:sz w:val="24"/>
          <w:szCs w:val="24"/>
        </w:rPr>
        <w:t>且每天要有</w:t>
      </w:r>
      <w:r>
        <w:rPr>
          <w:color w:val="auto"/>
          <w:sz w:val="24"/>
          <w:szCs w:val="24"/>
        </w:rPr>
        <w:t>1</w:t>
      </w:r>
      <w:r>
        <w:rPr>
          <w:rFonts w:hint="eastAsia"/>
          <w:color w:val="auto"/>
          <w:sz w:val="24"/>
          <w:szCs w:val="24"/>
        </w:rPr>
        <w:t>道主题菜品）、南北风味搭配；做好饭菜保温。</w:t>
      </w:r>
      <w:r>
        <w:rPr>
          <w:rFonts w:hint="eastAsia" w:ascii="宋体" w:hAnsi="宋体"/>
          <w:color w:val="auto"/>
          <w:sz w:val="24"/>
          <w:szCs w:val="24"/>
        </w:rPr>
        <w:t>价格为</w:t>
      </w:r>
      <w:r>
        <w:rPr>
          <w:rFonts w:ascii="宋体" w:hAnsi="宋体"/>
          <w:color w:val="auto"/>
          <w:sz w:val="24"/>
          <w:szCs w:val="24"/>
        </w:rPr>
        <w:t>15元（采购人在编在岗教职工当天第一次只刷卡计次学校补贴15元</w:t>
      </w:r>
      <w:r>
        <w:rPr>
          <w:rFonts w:hint="eastAsia" w:ascii="宋体" w:hAnsi="宋体"/>
          <w:color w:val="auto"/>
          <w:sz w:val="24"/>
          <w:szCs w:val="24"/>
        </w:rPr>
        <w:t>给成交商，第二次刷卡为</w:t>
      </w:r>
      <w:r>
        <w:rPr>
          <w:rFonts w:ascii="宋体" w:hAnsi="宋体"/>
          <w:color w:val="auto"/>
          <w:sz w:val="24"/>
          <w:szCs w:val="24"/>
        </w:rPr>
        <w:t>15元，采购人不再补贴；采购人外聘合同工及退休教职工当天第一次刷卡5元，采购人补贴10元</w:t>
      </w:r>
      <w:r>
        <w:rPr>
          <w:rFonts w:hint="eastAsia" w:ascii="宋体" w:hAnsi="宋体"/>
          <w:color w:val="auto"/>
          <w:sz w:val="24"/>
          <w:szCs w:val="24"/>
        </w:rPr>
        <w:t>给成交商，第二次刷卡为</w:t>
      </w:r>
      <w:r>
        <w:rPr>
          <w:rFonts w:ascii="宋体" w:hAnsi="宋体"/>
          <w:color w:val="auto"/>
          <w:sz w:val="24"/>
          <w:szCs w:val="24"/>
        </w:rPr>
        <w:t>15元，采购人不再补贴）。</w:t>
      </w:r>
      <w:r>
        <w:rPr>
          <w:rFonts w:hint="eastAsia"/>
          <w:color w:val="auto"/>
          <w:sz w:val="24"/>
          <w:szCs w:val="24"/>
        </w:rPr>
        <w:t>成交商每周提前制订教工餐菜单，并提交采购审核，并于每周五前公布下周菜单。</w:t>
      </w:r>
    </w:p>
    <w:p w14:paraId="64FC8136">
      <w:pPr>
        <w:spacing w:line="400" w:lineRule="exact"/>
        <w:ind w:firstLine="480" w:firstLineChars="200"/>
        <w:jc w:val="left"/>
        <w:rPr>
          <w:color w:val="auto"/>
          <w:sz w:val="24"/>
          <w:szCs w:val="24"/>
        </w:rPr>
      </w:pPr>
      <w:r>
        <w:rPr>
          <w:rFonts w:ascii="宋体" w:hAnsi="宋体"/>
          <w:color w:val="auto"/>
          <w:sz w:val="24"/>
          <w:szCs w:val="24"/>
        </w:rPr>
        <w:t>2.</w:t>
      </w:r>
      <w:r>
        <w:rPr>
          <w:rFonts w:hint="eastAsia" w:ascii="宋体" w:hAnsi="宋体"/>
          <w:color w:val="auto"/>
          <w:sz w:val="24"/>
          <w:szCs w:val="24"/>
        </w:rPr>
        <w:t>成交商采购</w:t>
      </w:r>
      <w:r>
        <w:rPr>
          <w:rFonts w:hint="eastAsia"/>
          <w:color w:val="auto"/>
          <w:sz w:val="24"/>
          <w:szCs w:val="24"/>
        </w:rPr>
        <w:t>原料须符合《食品安全法》及其实施条例规定，从正规固定进货渠道采购。主材选择必须为非转基因品牌植物油，品牌优质东北米、优质鲜肉（一级以上），鱼类菜品须用活鱼制作。所选主材需提供相关证明材料交采购人备案。</w:t>
      </w:r>
    </w:p>
    <w:p w14:paraId="5E1712BC">
      <w:pPr>
        <w:spacing w:line="400" w:lineRule="exact"/>
        <w:ind w:firstLine="480" w:firstLineChars="200"/>
        <w:jc w:val="left"/>
        <w:rPr>
          <w:color w:val="auto"/>
          <w:sz w:val="24"/>
          <w:szCs w:val="24"/>
        </w:rPr>
      </w:pPr>
      <w:r>
        <w:rPr>
          <w:color w:val="auto"/>
          <w:sz w:val="24"/>
          <w:szCs w:val="24"/>
        </w:rPr>
        <w:t>3.</w:t>
      </w:r>
      <w:r>
        <w:rPr>
          <w:rFonts w:hint="eastAsia"/>
          <w:color w:val="auto"/>
          <w:sz w:val="24"/>
          <w:szCs w:val="24"/>
        </w:rPr>
        <w:t>采购人将在成交供应商运行期间适时合理调整教工餐供应方式和考核方式，成交供应商须无条件配合。</w:t>
      </w:r>
    </w:p>
    <w:p w14:paraId="7E5ED4AC">
      <w:pPr>
        <w:spacing w:line="400" w:lineRule="exact"/>
        <w:ind w:firstLine="480" w:firstLineChars="200"/>
        <w:jc w:val="left"/>
        <w:rPr>
          <w:color w:val="auto"/>
          <w:sz w:val="24"/>
          <w:szCs w:val="24"/>
        </w:rPr>
      </w:pPr>
      <w:r>
        <w:rPr>
          <w:color w:val="auto"/>
          <w:sz w:val="24"/>
          <w:szCs w:val="24"/>
        </w:rPr>
        <w:t>4.</w:t>
      </w:r>
      <w:r>
        <w:rPr>
          <w:rFonts w:hint="eastAsia"/>
          <w:color w:val="auto"/>
          <w:sz w:val="24"/>
          <w:szCs w:val="24"/>
        </w:rPr>
        <w:t>采购人在勘察阶段提供一年的教工餐菜单供投标人查看，此菜单作为合同期内的教工餐，未经采购人书面同意，不得随意变更。如未查看视为认同此菜单。</w:t>
      </w:r>
    </w:p>
    <w:p w14:paraId="56E5A63F">
      <w:pPr>
        <w:pStyle w:val="3"/>
        <w:spacing w:line="400" w:lineRule="exact"/>
        <w:rPr>
          <w:b w:val="0"/>
          <w:color w:val="auto"/>
        </w:rPr>
      </w:pPr>
      <w:bookmarkStart w:id="70" w:name="_Toc553"/>
      <w:r>
        <w:rPr>
          <w:b w:val="0"/>
          <w:color w:val="auto"/>
        </w:rPr>
        <w:t>*</w:t>
      </w:r>
      <w:r>
        <w:rPr>
          <w:rFonts w:hint="eastAsia"/>
          <w:b w:val="0"/>
          <w:color w:val="auto"/>
        </w:rPr>
        <w:t>五、数智食堂建设要求</w:t>
      </w:r>
      <w:bookmarkEnd w:id="70"/>
    </w:p>
    <w:p w14:paraId="1A1DD83A">
      <w:pPr>
        <w:rPr>
          <w:color w:val="auto"/>
          <w:szCs w:val="28"/>
        </w:rPr>
      </w:pPr>
      <w:r>
        <w:rPr>
          <w:rFonts w:hint="eastAsia"/>
          <w:color w:val="auto"/>
        </w:rPr>
        <w:t>（一）“数智食堂”总体建设要求</w:t>
      </w:r>
    </w:p>
    <w:tbl>
      <w:tblPr>
        <w:tblStyle w:val="59"/>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14:paraId="1008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9391" w:type="dxa"/>
            <w:vAlign w:val="center"/>
          </w:tcPr>
          <w:p w14:paraId="5D17E069">
            <w:pPr>
              <w:keepNext/>
              <w:keepLines/>
              <w:adjustRightInd w:val="0"/>
              <w:snapToGrid w:val="0"/>
              <w:spacing w:line="360" w:lineRule="auto"/>
              <w:jc w:val="center"/>
              <w:rPr>
                <w:color w:val="auto"/>
              </w:rPr>
            </w:pPr>
            <w:r>
              <w:rPr>
                <w:rFonts w:hint="eastAsia" w:ascii="宋体" w:hAnsi="宋体" w:cs="宋体"/>
                <w:color w:val="auto"/>
                <w:szCs w:val="28"/>
              </w:rPr>
              <w:t>总体建设要求</w:t>
            </w:r>
          </w:p>
        </w:tc>
      </w:tr>
      <w:tr w14:paraId="3360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9391" w:type="dxa"/>
            <w:vAlign w:val="center"/>
          </w:tcPr>
          <w:p w14:paraId="2C4F0BA8">
            <w:pPr>
              <w:widowControl/>
              <w:spacing w:line="360" w:lineRule="auto"/>
              <w:ind w:firstLine="480" w:firstLineChars="200"/>
              <w:jc w:val="left"/>
              <w:textAlignment w:val="center"/>
              <w:rPr>
                <w:rFonts w:ascii="宋体" w:hAnsi="宋体" w:cs="宋体"/>
                <w:color w:val="auto"/>
                <w:sz w:val="24"/>
                <w:szCs w:val="24"/>
              </w:rPr>
            </w:pPr>
            <w:r>
              <w:rPr>
                <w:rFonts w:hint="eastAsia" w:ascii="宋体" w:hAnsi="宋体" w:cs="宋体"/>
                <w:color w:val="auto"/>
                <w:sz w:val="24"/>
                <w:szCs w:val="24"/>
              </w:rPr>
              <w:t>项目实施后，须实现以下四个方面的管理及功能：</w:t>
            </w:r>
          </w:p>
          <w:p w14:paraId="125027B8">
            <w:pPr>
              <w:widowControl/>
              <w:spacing w:line="360" w:lineRule="auto"/>
              <w:ind w:firstLine="480" w:firstLineChars="200"/>
              <w:jc w:val="left"/>
              <w:textAlignment w:val="center"/>
              <w:rPr>
                <w:rFonts w:ascii="宋体" w:hAnsi="宋体" w:cs="宋体"/>
                <w:color w:val="auto"/>
                <w:sz w:val="24"/>
                <w:szCs w:val="24"/>
              </w:rPr>
            </w:pPr>
            <w:r>
              <w:rPr>
                <w:rFonts w:hint="eastAsia" w:ascii="宋体" w:hAnsi="宋体" w:cs="宋体"/>
                <w:color w:val="auto"/>
                <w:sz w:val="24"/>
                <w:szCs w:val="24"/>
              </w:rPr>
              <w:t>一是视频监控管理，实时了解后厨动态，实现全流程记录，大厅屏幕实时播放，引导公众直接参与食安监督，提升保障食堂工作人员的自律意识，监管系统实现全覆盖，需接入学校视频监控系统；</w:t>
            </w:r>
          </w:p>
          <w:p w14:paraId="766871B3">
            <w:pPr>
              <w:widowControl/>
              <w:spacing w:line="360" w:lineRule="auto"/>
              <w:ind w:firstLine="480" w:firstLineChars="200"/>
              <w:jc w:val="left"/>
              <w:textAlignment w:val="center"/>
              <w:rPr>
                <w:rFonts w:ascii="宋体" w:hAnsi="宋体" w:cs="宋体"/>
                <w:color w:val="auto"/>
                <w:sz w:val="24"/>
                <w:szCs w:val="24"/>
              </w:rPr>
            </w:pPr>
            <w:r>
              <w:rPr>
                <w:rFonts w:hint="eastAsia" w:ascii="宋体" w:hAnsi="宋体" w:cs="宋体"/>
                <w:color w:val="auto"/>
                <w:sz w:val="24"/>
                <w:szCs w:val="24"/>
              </w:rPr>
              <w:t>二是通过智能物联硬件设备</w:t>
            </w:r>
            <w:r>
              <w:rPr>
                <w:rFonts w:ascii="宋体" w:hAnsi="宋体" w:cs="宋体"/>
                <w:color w:val="auto"/>
                <w:sz w:val="24"/>
                <w:szCs w:val="24"/>
              </w:rPr>
              <w:t>+</w:t>
            </w:r>
            <w:r>
              <w:rPr>
                <w:rFonts w:hint="eastAsia" w:ascii="宋体" w:hAnsi="宋体" w:cs="宋体"/>
                <w:color w:val="auto"/>
                <w:sz w:val="24"/>
                <w:szCs w:val="24"/>
              </w:rPr>
              <w:t>食安管控平台，对食堂进行全面的监管，及时发现违规异常情况，发出预警，从多方面保障校园食品安全，智能物联硬件设备包含智能晨检门禁、智能留样秤、智能留样冰箱、动火离人摄像头、</w:t>
            </w:r>
            <w:r>
              <w:rPr>
                <w:rFonts w:ascii="宋体" w:hAnsi="宋体" w:cs="宋体"/>
                <w:color w:val="auto"/>
                <w:sz w:val="24"/>
                <w:szCs w:val="24"/>
              </w:rPr>
              <w:t>AI行为分析摄像头、AI鼠患识别、</w:t>
            </w:r>
            <w:r>
              <w:rPr>
                <w:rFonts w:hint="eastAsia" w:ascii="宋体" w:hAnsi="宋体" w:cs="宋体"/>
                <w:color w:val="auto"/>
                <w:sz w:val="24"/>
                <w:szCs w:val="24"/>
              </w:rPr>
              <w:t>食安服务终端、仓库物联监管系统、紫外消毒管理系统、餐具消毒系统、冷库监管、水电能耗监管、客流量智能人员统计摄像头、农残检测、重金属检测和智能溯源秤、陌生人识别摄像机等；</w:t>
            </w:r>
          </w:p>
          <w:p w14:paraId="0C3E140C">
            <w:pPr>
              <w:widowControl/>
              <w:spacing w:line="360" w:lineRule="auto"/>
              <w:ind w:firstLine="480" w:firstLineChars="200"/>
              <w:jc w:val="left"/>
              <w:textAlignment w:val="center"/>
              <w:rPr>
                <w:rFonts w:ascii="宋体" w:hAnsi="宋体" w:cs="宋体"/>
                <w:color w:val="auto"/>
                <w:sz w:val="24"/>
                <w:szCs w:val="24"/>
              </w:rPr>
            </w:pPr>
            <w:r>
              <w:rPr>
                <w:rFonts w:hint="eastAsia" w:ascii="宋体" w:hAnsi="宋体" w:cs="宋体"/>
                <w:color w:val="auto"/>
                <w:sz w:val="24"/>
                <w:szCs w:val="24"/>
              </w:rPr>
              <w:t>三是食堂数据化管理，提高管理层的工作效率，包含食堂数据驾驶舱和后勤监管平台数据屏等；</w:t>
            </w:r>
          </w:p>
          <w:p w14:paraId="12F8892B">
            <w:pPr>
              <w:widowControl/>
              <w:spacing w:line="360" w:lineRule="auto"/>
              <w:ind w:firstLine="480" w:firstLineChars="200"/>
              <w:jc w:val="left"/>
              <w:textAlignment w:val="center"/>
              <w:rPr>
                <w:color w:val="auto"/>
              </w:rPr>
            </w:pPr>
            <w:r>
              <w:rPr>
                <w:rFonts w:hint="eastAsia" w:ascii="宋体" w:hAnsi="宋体" w:cs="宋体"/>
                <w:color w:val="auto"/>
                <w:sz w:val="24"/>
                <w:szCs w:val="24"/>
              </w:rPr>
              <w:t>四是后勤监管数智化升级，实现师生满意度管理、菜品菜价审核、菜品溯源监管、数字化巡检和合同考核、处罚管理等。</w:t>
            </w:r>
          </w:p>
        </w:tc>
      </w:tr>
    </w:tbl>
    <w:p w14:paraId="3A3F33A3">
      <w:pPr>
        <w:spacing w:line="440" w:lineRule="exact"/>
        <w:ind w:firstLine="480" w:firstLineChars="200"/>
        <w:jc w:val="left"/>
        <w:rPr>
          <w:rFonts w:ascii="宋体" w:hAnsi="宋体" w:cs="仿宋"/>
          <w:color w:val="auto"/>
          <w:sz w:val="24"/>
          <w:szCs w:val="24"/>
        </w:rPr>
      </w:pPr>
    </w:p>
    <w:p w14:paraId="32F24C5B">
      <w:pPr>
        <w:spacing w:line="440" w:lineRule="exact"/>
        <w:ind w:firstLine="480" w:firstLineChars="200"/>
        <w:jc w:val="left"/>
        <w:rPr>
          <w:color w:val="auto"/>
          <w:sz w:val="24"/>
        </w:rPr>
      </w:pPr>
      <w:r>
        <w:rPr>
          <w:rFonts w:hint="eastAsia" w:ascii="宋体" w:hAnsi="宋体" w:cs="仿宋"/>
          <w:color w:val="auto"/>
          <w:sz w:val="24"/>
          <w:szCs w:val="24"/>
        </w:rPr>
        <w:t>（二）</w:t>
      </w:r>
      <w:r>
        <w:rPr>
          <w:rFonts w:hint="eastAsia"/>
          <w:color w:val="auto"/>
          <w:sz w:val="24"/>
        </w:rPr>
        <w:t>“数智食堂”各包食堂数智化设备建设要求</w:t>
      </w:r>
    </w:p>
    <w:tbl>
      <w:tblPr>
        <w:tblStyle w:val="59"/>
        <w:tblW w:w="4724" w:type="pc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5580"/>
        <w:gridCol w:w="1013"/>
        <w:gridCol w:w="1343"/>
      </w:tblGrid>
      <w:tr w14:paraId="576B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000" w:type="pct"/>
            <w:gridSpan w:val="4"/>
            <w:noWrap/>
            <w:vAlign w:val="center"/>
          </w:tcPr>
          <w:p w14:paraId="6F2987E1">
            <w:pPr>
              <w:widowControl/>
              <w:jc w:val="center"/>
              <w:rPr>
                <w:rFonts w:ascii="宋体" w:hAnsi="宋体" w:cs="宋体"/>
                <w:color w:val="auto"/>
                <w:kern w:val="0"/>
                <w:sz w:val="24"/>
                <w:szCs w:val="24"/>
              </w:rPr>
            </w:pPr>
            <w:r>
              <w:rPr>
                <w:rFonts w:hint="eastAsia" w:cs="宋体"/>
                <w:bCs/>
                <w:color w:val="auto"/>
                <w:szCs w:val="28"/>
              </w:rPr>
              <w:t>“数智食堂”学校食安监管平台建设要求（包</w:t>
            </w:r>
            <w:r>
              <w:rPr>
                <w:rFonts w:cs="宋体"/>
                <w:bCs/>
                <w:color w:val="auto"/>
                <w:szCs w:val="28"/>
              </w:rPr>
              <w:t>3</w:t>
            </w:r>
            <w:r>
              <w:rPr>
                <w:rFonts w:hint="eastAsia" w:cs="宋体"/>
                <w:bCs/>
                <w:color w:val="auto"/>
                <w:szCs w:val="28"/>
              </w:rPr>
              <w:t>）</w:t>
            </w:r>
          </w:p>
        </w:tc>
      </w:tr>
      <w:tr w14:paraId="61A3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38" w:type="pct"/>
            <w:noWrap/>
            <w:vAlign w:val="center"/>
          </w:tcPr>
          <w:p w14:paraId="52C57F98">
            <w:pPr>
              <w:widowControl/>
              <w:jc w:val="center"/>
              <w:rPr>
                <w:rFonts w:ascii="宋体" w:hAnsi="宋体" w:cs="宋体"/>
                <w:color w:val="auto"/>
                <w:kern w:val="0"/>
                <w:sz w:val="24"/>
                <w:szCs w:val="24"/>
              </w:rPr>
            </w:pPr>
            <w:r>
              <w:rPr>
                <w:rFonts w:hint="eastAsia" w:ascii="宋体" w:hAnsi="宋体" w:cs="宋体"/>
                <w:color w:val="auto"/>
                <w:kern w:val="0"/>
                <w:sz w:val="24"/>
                <w:szCs w:val="24"/>
              </w:rPr>
              <w:t>产品名称</w:t>
            </w:r>
          </w:p>
        </w:tc>
        <w:tc>
          <w:tcPr>
            <w:tcW w:w="3067" w:type="pct"/>
            <w:noWrap/>
            <w:vAlign w:val="center"/>
          </w:tcPr>
          <w:p w14:paraId="44A1D672">
            <w:pPr>
              <w:widowControl/>
              <w:jc w:val="center"/>
              <w:rPr>
                <w:rFonts w:ascii="宋体" w:hAnsi="宋体" w:cs="宋体"/>
                <w:color w:val="auto"/>
                <w:kern w:val="0"/>
                <w:sz w:val="24"/>
                <w:szCs w:val="24"/>
              </w:rPr>
            </w:pPr>
            <w:r>
              <w:rPr>
                <w:rFonts w:hint="eastAsia" w:ascii="宋体" w:hAnsi="宋体" w:cs="宋体"/>
                <w:color w:val="auto"/>
                <w:kern w:val="0"/>
                <w:sz w:val="24"/>
                <w:szCs w:val="24"/>
              </w:rPr>
              <w:t>主要技术参数</w:t>
            </w:r>
          </w:p>
        </w:tc>
        <w:tc>
          <w:tcPr>
            <w:tcW w:w="557" w:type="pct"/>
            <w:noWrap/>
            <w:vAlign w:val="center"/>
          </w:tcPr>
          <w:p w14:paraId="1C512E0E">
            <w:pPr>
              <w:widowControl/>
              <w:jc w:val="center"/>
              <w:rPr>
                <w:rFonts w:ascii="宋体" w:hAnsi="宋体" w:cs="宋体"/>
                <w:color w:val="auto"/>
                <w:kern w:val="0"/>
                <w:sz w:val="24"/>
                <w:szCs w:val="24"/>
              </w:rPr>
            </w:pPr>
            <w:r>
              <w:rPr>
                <w:rFonts w:hint="eastAsia" w:ascii="宋体" w:hAnsi="宋体" w:cs="宋体"/>
                <w:color w:val="auto"/>
                <w:kern w:val="0"/>
                <w:sz w:val="24"/>
                <w:szCs w:val="24"/>
              </w:rPr>
              <w:t>单位</w:t>
            </w:r>
          </w:p>
        </w:tc>
        <w:tc>
          <w:tcPr>
            <w:tcW w:w="735" w:type="pct"/>
            <w:noWrap/>
            <w:vAlign w:val="center"/>
          </w:tcPr>
          <w:p w14:paraId="6686E571">
            <w:pPr>
              <w:widowControl/>
              <w:jc w:val="center"/>
              <w:rPr>
                <w:rFonts w:ascii="宋体" w:hAnsi="宋体" w:cs="宋体"/>
                <w:color w:val="auto"/>
                <w:kern w:val="0"/>
                <w:sz w:val="24"/>
                <w:szCs w:val="24"/>
              </w:rPr>
            </w:pPr>
            <w:r>
              <w:rPr>
                <w:rFonts w:hint="eastAsia" w:ascii="宋体" w:hAnsi="宋体" w:cs="宋体"/>
                <w:color w:val="auto"/>
                <w:kern w:val="0"/>
                <w:sz w:val="24"/>
                <w:szCs w:val="24"/>
              </w:rPr>
              <w:t>数量</w:t>
            </w:r>
          </w:p>
        </w:tc>
      </w:tr>
      <w:tr w14:paraId="3167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pct"/>
            <w:vAlign w:val="center"/>
          </w:tcPr>
          <w:p w14:paraId="7B763856">
            <w:pPr>
              <w:jc w:val="center"/>
              <w:rPr>
                <w:rFonts w:ascii="宋体" w:hAnsi="宋体" w:cs="宋体"/>
                <w:color w:val="auto"/>
                <w:kern w:val="0"/>
                <w:sz w:val="24"/>
                <w:szCs w:val="24"/>
                <w:lang w:bidi="ar"/>
              </w:rPr>
            </w:pPr>
            <w:r>
              <w:rPr>
                <w:rFonts w:hint="eastAsia" w:ascii="宋体" w:hAnsi="宋体" w:cs="宋体"/>
                <w:color w:val="auto"/>
                <w:sz w:val="24"/>
                <w:szCs w:val="24"/>
              </w:rPr>
              <w:t>食品安全监督管理平台</w:t>
            </w:r>
          </w:p>
        </w:tc>
        <w:tc>
          <w:tcPr>
            <w:tcW w:w="3067" w:type="pct"/>
          </w:tcPr>
          <w:p w14:paraId="0A30B416">
            <w:pPr>
              <w:pStyle w:val="91"/>
              <w:numPr>
                <w:ilvl w:val="0"/>
                <w:numId w:val="13"/>
              </w:numPr>
              <w:ind w:left="0" w:firstLine="0" w:firstLineChars="0"/>
              <w:rPr>
                <w:rFonts w:cs="宋体"/>
                <w:color w:val="auto"/>
                <w:sz w:val="24"/>
                <w:szCs w:val="24"/>
              </w:rPr>
            </w:pPr>
            <w:r>
              <w:rPr>
                <w:rFonts w:hint="eastAsia" w:cs="宋体"/>
                <w:color w:val="auto"/>
                <w:sz w:val="24"/>
                <w:szCs w:val="24"/>
              </w:rPr>
              <w:t>数智食安监管平台大屏：</w:t>
            </w:r>
          </w:p>
          <w:p w14:paraId="453EF4E2">
            <w:pPr>
              <w:pStyle w:val="91"/>
              <w:numPr>
                <w:ilvl w:val="0"/>
                <w:numId w:val="14"/>
              </w:numPr>
              <w:ind w:left="0" w:firstLine="0" w:firstLineChars="0"/>
              <w:rPr>
                <w:rFonts w:cs="宋体"/>
                <w:color w:val="auto"/>
                <w:sz w:val="24"/>
                <w:szCs w:val="24"/>
              </w:rPr>
            </w:pPr>
            <w:r>
              <w:rPr>
                <w:rFonts w:hint="eastAsia" w:cs="宋体"/>
                <w:color w:val="auto"/>
                <w:sz w:val="24"/>
                <w:szCs w:val="24"/>
              </w:rPr>
              <w:t>食堂概览统计：</w:t>
            </w:r>
          </w:p>
          <w:p w14:paraId="319EDA84">
            <w:pPr>
              <w:pStyle w:val="91"/>
              <w:numPr>
                <w:ilvl w:val="0"/>
                <w:numId w:val="15"/>
              </w:numPr>
              <w:ind w:firstLine="0" w:firstLineChars="0"/>
              <w:rPr>
                <w:rFonts w:cs="宋体"/>
                <w:color w:val="auto"/>
                <w:sz w:val="24"/>
                <w:szCs w:val="24"/>
              </w:rPr>
            </w:pPr>
            <w:r>
              <w:rPr>
                <w:rFonts w:hint="eastAsia" w:cs="宋体"/>
                <w:color w:val="auto"/>
                <w:sz w:val="24"/>
                <w:szCs w:val="24"/>
              </w:rPr>
              <w:t>统计食堂数量、监管数量、食安指挥天数</w:t>
            </w:r>
          </w:p>
          <w:p w14:paraId="5CCB5CE8">
            <w:pPr>
              <w:pStyle w:val="91"/>
              <w:numPr>
                <w:ilvl w:val="0"/>
                <w:numId w:val="15"/>
              </w:numPr>
              <w:ind w:firstLine="0" w:firstLineChars="0"/>
              <w:rPr>
                <w:rFonts w:cs="宋体"/>
                <w:color w:val="auto"/>
                <w:sz w:val="24"/>
                <w:szCs w:val="24"/>
              </w:rPr>
            </w:pPr>
            <w:r>
              <w:rPr>
                <w:rFonts w:hint="eastAsia" w:cs="宋体"/>
                <w:color w:val="auto"/>
                <w:sz w:val="24"/>
                <w:szCs w:val="24"/>
              </w:rPr>
              <w:t>呈现系统统计数据：数智场景、数智设备、智能明厨亮灶、巡检总数</w:t>
            </w:r>
          </w:p>
          <w:p w14:paraId="1631C4B2">
            <w:pPr>
              <w:pStyle w:val="91"/>
              <w:numPr>
                <w:ilvl w:val="0"/>
                <w:numId w:val="14"/>
              </w:numPr>
              <w:ind w:left="0" w:firstLine="0" w:firstLineChars="0"/>
              <w:rPr>
                <w:rFonts w:cs="宋体"/>
                <w:color w:val="auto"/>
                <w:sz w:val="24"/>
                <w:szCs w:val="24"/>
              </w:rPr>
            </w:pPr>
            <w:r>
              <w:rPr>
                <w:rFonts w:hint="eastAsia" w:cs="宋体"/>
                <w:color w:val="auto"/>
                <w:sz w:val="24"/>
                <w:szCs w:val="24"/>
              </w:rPr>
              <w:t>本月食堂巡查食堂得分</w:t>
            </w:r>
          </w:p>
          <w:p w14:paraId="2E3655D7">
            <w:pPr>
              <w:pStyle w:val="91"/>
              <w:widowControl w:val="0"/>
              <w:ind w:firstLine="0" w:firstLineChars="0"/>
              <w:rPr>
                <w:rFonts w:cs="宋体"/>
                <w:color w:val="auto"/>
                <w:sz w:val="24"/>
                <w:szCs w:val="24"/>
              </w:rPr>
            </w:pPr>
            <w:r>
              <w:rPr>
                <w:rFonts w:hint="eastAsia" w:cs="宋体"/>
                <w:color w:val="auto"/>
                <w:sz w:val="24"/>
                <w:szCs w:val="24"/>
              </w:rPr>
              <w:t>统计食堂本月巡检的总和得分</w:t>
            </w:r>
          </w:p>
          <w:p w14:paraId="1E19BF05">
            <w:pPr>
              <w:pStyle w:val="91"/>
              <w:numPr>
                <w:ilvl w:val="0"/>
                <w:numId w:val="14"/>
              </w:numPr>
              <w:ind w:left="0" w:firstLine="0" w:firstLineChars="0"/>
              <w:rPr>
                <w:rFonts w:cs="宋体"/>
                <w:color w:val="auto"/>
                <w:sz w:val="24"/>
                <w:szCs w:val="24"/>
              </w:rPr>
            </w:pPr>
            <w:r>
              <w:rPr>
                <w:rFonts w:hint="eastAsia" w:cs="宋体"/>
                <w:color w:val="auto"/>
                <w:sz w:val="24"/>
                <w:szCs w:val="24"/>
              </w:rPr>
              <w:t>食堂食安地图</w:t>
            </w:r>
          </w:p>
          <w:p w14:paraId="2EFF84EC">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系统获取食堂实时的食安风险数据，出现风险时，进行食堂高亮预警</w:t>
            </w:r>
          </w:p>
          <w:p w14:paraId="495877B4">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点击中部食堂名称，查看该食堂的专管详情</w:t>
            </w:r>
          </w:p>
          <w:p w14:paraId="74E78D92">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查看食堂食安得分</w:t>
            </w:r>
          </w:p>
          <w:p w14:paraId="600B4CB3">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食堂数据概览</w:t>
            </w:r>
          </w:p>
          <w:p w14:paraId="76811891">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食堂员工的健康证分析</w:t>
            </w:r>
          </w:p>
          <w:p w14:paraId="021BED6B">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食堂员工晨检和出勤的数据展示</w:t>
            </w:r>
          </w:p>
          <w:p w14:paraId="5FE9CF22">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食安现场过程监管（数智场景监管）</w:t>
            </w:r>
          </w:p>
          <w:p w14:paraId="00FC7ED4">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食堂留样监管（点击留样状态可查看留样记录）</w:t>
            </w:r>
          </w:p>
          <w:p w14:paraId="06543084">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食堂的菜品展示</w:t>
            </w:r>
          </w:p>
          <w:p w14:paraId="139DBA42">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供应商信息展示</w:t>
            </w:r>
          </w:p>
          <w:p w14:paraId="00DF07CA">
            <w:pPr>
              <w:widowControl/>
              <w:numPr>
                <w:ilvl w:val="0"/>
                <w:numId w:val="16"/>
              </w:numPr>
              <w:ind w:firstLine="0"/>
              <w:jc w:val="left"/>
              <w:rPr>
                <w:rFonts w:ascii="宋体" w:hAnsi="宋体" w:cs="宋体"/>
                <w:color w:val="auto"/>
                <w:sz w:val="24"/>
                <w:szCs w:val="24"/>
              </w:rPr>
            </w:pPr>
            <w:r>
              <w:rPr>
                <w:rFonts w:hint="eastAsia" w:ascii="宋体" w:hAnsi="宋体" w:cs="宋体"/>
                <w:color w:val="auto"/>
                <w:sz w:val="24"/>
                <w:szCs w:val="24"/>
              </w:rPr>
              <w:t>查看食安分数详情，展示门店当前风险，呈现详情</w:t>
            </w:r>
          </w:p>
          <w:p w14:paraId="511D0ECC">
            <w:pPr>
              <w:pStyle w:val="91"/>
              <w:numPr>
                <w:ilvl w:val="0"/>
                <w:numId w:val="14"/>
              </w:numPr>
              <w:ind w:left="0" w:firstLine="0" w:firstLineChars="0"/>
              <w:rPr>
                <w:rFonts w:cs="宋体"/>
                <w:color w:val="auto"/>
                <w:sz w:val="24"/>
                <w:szCs w:val="24"/>
              </w:rPr>
            </w:pPr>
            <w:r>
              <w:rPr>
                <w:rFonts w:hint="eastAsia" w:cs="宋体"/>
                <w:color w:val="auto"/>
                <w:sz w:val="24"/>
                <w:szCs w:val="24"/>
              </w:rPr>
              <w:t>数智设备布防统计</w:t>
            </w:r>
          </w:p>
          <w:p w14:paraId="20866521">
            <w:pPr>
              <w:pStyle w:val="91"/>
              <w:numPr>
                <w:ilvl w:val="0"/>
                <w:numId w:val="17"/>
              </w:numPr>
              <w:ind w:firstLine="0" w:firstLineChars="0"/>
              <w:rPr>
                <w:rFonts w:cs="宋体"/>
                <w:color w:val="auto"/>
                <w:sz w:val="24"/>
                <w:szCs w:val="24"/>
              </w:rPr>
            </w:pPr>
            <w:r>
              <w:rPr>
                <w:rFonts w:hint="eastAsia" w:cs="宋体"/>
                <w:color w:val="auto"/>
                <w:sz w:val="24"/>
                <w:szCs w:val="24"/>
              </w:rPr>
              <w:t>统计所有食堂安装的各类设备类型数量，并针对在线率进行呈现</w:t>
            </w:r>
          </w:p>
          <w:p w14:paraId="2E056C3B">
            <w:pPr>
              <w:pStyle w:val="91"/>
              <w:numPr>
                <w:ilvl w:val="0"/>
                <w:numId w:val="17"/>
              </w:numPr>
              <w:ind w:firstLine="0" w:firstLineChars="0"/>
              <w:rPr>
                <w:rFonts w:cs="宋体"/>
                <w:color w:val="auto"/>
                <w:sz w:val="24"/>
                <w:szCs w:val="24"/>
              </w:rPr>
            </w:pPr>
            <w:r>
              <w:rPr>
                <w:rFonts w:hint="eastAsia" w:cs="宋体"/>
                <w:color w:val="auto"/>
                <w:sz w:val="24"/>
                <w:szCs w:val="24"/>
              </w:rPr>
              <w:t>查看详情：食堂的实时预警提醒、食堂设备监管情况、安全预警中心、数智食堂物联监管数据</w:t>
            </w:r>
          </w:p>
          <w:p w14:paraId="6BEB68CD">
            <w:pPr>
              <w:pStyle w:val="91"/>
              <w:numPr>
                <w:ilvl w:val="0"/>
                <w:numId w:val="14"/>
              </w:numPr>
              <w:ind w:left="0" w:firstLine="0" w:firstLineChars="0"/>
              <w:rPr>
                <w:rFonts w:cs="宋体"/>
                <w:color w:val="auto"/>
                <w:sz w:val="24"/>
                <w:szCs w:val="24"/>
              </w:rPr>
            </w:pPr>
            <w:r>
              <w:rPr>
                <w:rFonts w:hint="eastAsia" w:cs="宋体"/>
                <w:color w:val="auto"/>
                <w:sz w:val="24"/>
                <w:szCs w:val="24"/>
              </w:rPr>
              <w:t>预警走马灯</w:t>
            </w:r>
          </w:p>
          <w:p w14:paraId="06488165">
            <w:pPr>
              <w:pStyle w:val="91"/>
              <w:widowControl w:val="0"/>
              <w:ind w:firstLine="0" w:firstLineChars="0"/>
              <w:rPr>
                <w:rFonts w:cs="宋体"/>
                <w:color w:val="auto"/>
                <w:sz w:val="24"/>
                <w:szCs w:val="24"/>
              </w:rPr>
            </w:pPr>
            <w:r>
              <w:rPr>
                <w:rFonts w:hint="eastAsia" w:cs="宋体"/>
                <w:color w:val="auto"/>
                <w:sz w:val="24"/>
                <w:szCs w:val="24"/>
              </w:rPr>
              <w:t>通过走马灯形式汇报食堂近期的风险事件</w:t>
            </w:r>
          </w:p>
          <w:p w14:paraId="00038A3B">
            <w:pPr>
              <w:pStyle w:val="91"/>
              <w:numPr>
                <w:ilvl w:val="0"/>
                <w:numId w:val="14"/>
              </w:numPr>
              <w:ind w:left="0" w:firstLine="0" w:firstLineChars="0"/>
              <w:rPr>
                <w:rFonts w:cs="宋体"/>
                <w:color w:val="auto"/>
                <w:sz w:val="24"/>
                <w:szCs w:val="24"/>
              </w:rPr>
            </w:pPr>
            <w:r>
              <w:rPr>
                <w:rFonts w:hint="eastAsia" w:cs="宋体"/>
                <w:color w:val="auto"/>
                <w:sz w:val="24"/>
                <w:szCs w:val="24"/>
              </w:rPr>
              <w:t>报警弹窗</w:t>
            </w:r>
          </w:p>
          <w:p w14:paraId="7BBA0052">
            <w:pPr>
              <w:widowControl/>
              <w:numPr>
                <w:ilvl w:val="0"/>
                <w:numId w:val="18"/>
              </w:numPr>
              <w:ind w:firstLine="0"/>
              <w:jc w:val="left"/>
              <w:rPr>
                <w:rFonts w:ascii="宋体" w:hAnsi="宋体" w:cs="宋体"/>
                <w:color w:val="auto"/>
                <w:sz w:val="24"/>
                <w:szCs w:val="24"/>
              </w:rPr>
            </w:pPr>
            <w:r>
              <w:rPr>
                <w:rFonts w:hint="eastAsia" w:ascii="宋体" w:hAnsi="宋体" w:cs="宋体"/>
                <w:color w:val="auto"/>
                <w:sz w:val="24"/>
                <w:szCs w:val="24"/>
              </w:rPr>
              <w:t>报警弹窗：对食堂的设备报警时间进行弹窗提醒</w:t>
            </w:r>
          </w:p>
          <w:p w14:paraId="1EF8A668">
            <w:pPr>
              <w:widowControl/>
              <w:numPr>
                <w:ilvl w:val="0"/>
                <w:numId w:val="18"/>
              </w:numPr>
              <w:ind w:firstLine="0"/>
              <w:jc w:val="left"/>
              <w:rPr>
                <w:rFonts w:cs="宋体"/>
                <w:color w:val="auto"/>
                <w:sz w:val="24"/>
                <w:szCs w:val="24"/>
              </w:rPr>
            </w:pPr>
            <w:r>
              <w:rPr>
                <w:rFonts w:hint="eastAsia" w:ascii="宋体" w:hAnsi="宋体" w:cs="宋体"/>
                <w:color w:val="auto"/>
                <w:sz w:val="24"/>
                <w:szCs w:val="24"/>
              </w:rPr>
              <w:t>报警详情：显示近期的报警事件，支持快捷关闭</w:t>
            </w:r>
          </w:p>
          <w:p w14:paraId="74C20668">
            <w:pPr>
              <w:pStyle w:val="91"/>
              <w:numPr>
                <w:ilvl w:val="0"/>
                <w:numId w:val="14"/>
              </w:numPr>
              <w:ind w:left="0" w:firstLine="0" w:firstLineChars="0"/>
              <w:rPr>
                <w:rFonts w:cs="宋体"/>
                <w:color w:val="auto"/>
                <w:sz w:val="24"/>
                <w:szCs w:val="24"/>
              </w:rPr>
            </w:pPr>
            <w:r>
              <w:rPr>
                <w:rFonts w:hint="eastAsia" w:cs="宋体"/>
                <w:color w:val="auto"/>
                <w:sz w:val="24"/>
                <w:szCs w:val="24"/>
              </w:rPr>
              <w:t>每日食品安全检查记录</w:t>
            </w:r>
          </w:p>
          <w:p w14:paraId="0E353CA7">
            <w:pPr>
              <w:pStyle w:val="91"/>
              <w:numPr>
                <w:ilvl w:val="0"/>
                <w:numId w:val="19"/>
              </w:numPr>
              <w:ind w:firstLine="0" w:firstLineChars="0"/>
              <w:rPr>
                <w:rFonts w:cs="宋体"/>
                <w:color w:val="auto"/>
                <w:sz w:val="24"/>
                <w:szCs w:val="24"/>
              </w:rPr>
            </w:pPr>
            <w:r>
              <w:rPr>
                <w:rFonts w:hint="eastAsia" w:cs="宋体"/>
                <w:color w:val="auto"/>
                <w:sz w:val="24"/>
                <w:szCs w:val="24"/>
              </w:rPr>
              <w:t>公示食堂提交的日管控情况</w:t>
            </w:r>
          </w:p>
          <w:p w14:paraId="031D976F">
            <w:pPr>
              <w:pStyle w:val="91"/>
              <w:numPr>
                <w:ilvl w:val="0"/>
                <w:numId w:val="19"/>
              </w:numPr>
              <w:ind w:firstLine="0" w:firstLineChars="0"/>
              <w:rPr>
                <w:rFonts w:cs="宋体"/>
                <w:color w:val="auto"/>
                <w:sz w:val="24"/>
                <w:szCs w:val="24"/>
              </w:rPr>
            </w:pPr>
            <w:r>
              <w:rPr>
                <w:rFonts w:hint="eastAsia" w:cs="宋体"/>
                <w:color w:val="auto"/>
                <w:sz w:val="24"/>
                <w:szCs w:val="24"/>
              </w:rPr>
              <w:t>查看详情：展示各食堂每日的完成情况，其中包括不合格的问题说明以及整改措施，并跟进展示其整改进度及详情</w:t>
            </w:r>
          </w:p>
          <w:p w14:paraId="740AB908">
            <w:pPr>
              <w:pStyle w:val="91"/>
              <w:numPr>
                <w:ilvl w:val="0"/>
                <w:numId w:val="14"/>
              </w:numPr>
              <w:ind w:left="0" w:firstLine="0" w:firstLineChars="0"/>
              <w:rPr>
                <w:rFonts w:cs="宋体"/>
                <w:color w:val="auto"/>
                <w:sz w:val="24"/>
                <w:szCs w:val="24"/>
              </w:rPr>
            </w:pPr>
            <w:r>
              <w:rPr>
                <w:rFonts w:hint="eastAsia" w:cs="宋体"/>
                <w:color w:val="auto"/>
                <w:sz w:val="24"/>
                <w:szCs w:val="24"/>
              </w:rPr>
              <w:t>每周食品安全治理报告</w:t>
            </w:r>
          </w:p>
          <w:p w14:paraId="152BF2A5">
            <w:pPr>
              <w:widowControl/>
              <w:numPr>
                <w:ilvl w:val="0"/>
                <w:numId w:val="20"/>
              </w:numPr>
              <w:ind w:firstLine="0"/>
              <w:jc w:val="left"/>
              <w:rPr>
                <w:rFonts w:ascii="宋体" w:hAnsi="宋体" w:cs="宋体"/>
                <w:color w:val="auto"/>
                <w:sz w:val="24"/>
                <w:szCs w:val="24"/>
              </w:rPr>
            </w:pPr>
            <w:r>
              <w:rPr>
                <w:rFonts w:hint="eastAsia" w:ascii="宋体" w:hAnsi="宋体" w:cs="宋体"/>
                <w:color w:val="auto"/>
                <w:sz w:val="24"/>
                <w:szCs w:val="24"/>
              </w:rPr>
              <w:t>公示系统创建的周排查记录数据</w:t>
            </w:r>
          </w:p>
          <w:p w14:paraId="366FEC3D">
            <w:pPr>
              <w:widowControl/>
              <w:numPr>
                <w:ilvl w:val="0"/>
                <w:numId w:val="20"/>
              </w:numPr>
              <w:ind w:firstLine="0"/>
              <w:jc w:val="left"/>
              <w:rPr>
                <w:rFonts w:cs="宋体"/>
                <w:color w:val="auto"/>
                <w:sz w:val="24"/>
                <w:szCs w:val="24"/>
              </w:rPr>
            </w:pPr>
            <w:r>
              <w:rPr>
                <w:rFonts w:hint="eastAsia" w:ascii="宋体" w:hAnsi="宋体" w:cs="宋体"/>
                <w:color w:val="auto"/>
                <w:sz w:val="24"/>
                <w:szCs w:val="24"/>
              </w:rPr>
              <w:t>点击可查看详情，包括每周发现的问题及整改情况</w:t>
            </w:r>
          </w:p>
          <w:p w14:paraId="59A5C9DC">
            <w:pPr>
              <w:pStyle w:val="91"/>
              <w:numPr>
                <w:ilvl w:val="0"/>
                <w:numId w:val="14"/>
              </w:numPr>
              <w:ind w:left="0" w:firstLine="0" w:firstLineChars="0"/>
              <w:rPr>
                <w:rFonts w:cs="宋体"/>
                <w:color w:val="auto"/>
                <w:sz w:val="24"/>
                <w:szCs w:val="24"/>
              </w:rPr>
            </w:pPr>
            <w:r>
              <w:rPr>
                <w:rFonts w:hint="eastAsia" w:cs="宋体"/>
                <w:color w:val="auto"/>
                <w:sz w:val="24"/>
                <w:szCs w:val="24"/>
              </w:rPr>
              <w:t>每月食品安全调度报告</w:t>
            </w:r>
          </w:p>
          <w:p w14:paraId="235993A1">
            <w:pPr>
              <w:widowControl/>
              <w:numPr>
                <w:ilvl w:val="0"/>
                <w:numId w:val="21"/>
              </w:numPr>
              <w:ind w:firstLine="0"/>
              <w:jc w:val="left"/>
              <w:rPr>
                <w:rFonts w:ascii="宋体" w:hAnsi="宋体" w:cs="宋体"/>
                <w:color w:val="auto"/>
                <w:sz w:val="24"/>
                <w:szCs w:val="24"/>
              </w:rPr>
            </w:pPr>
            <w:r>
              <w:rPr>
                <w:rFonts w:hint="eastAsia" w:ascii="宋体" w:hAnsi="宋体" w:cs="宋体"/>
                <w:color w:val="auto"/>
                <w:sz w:val="24"/>
                <w:szCs w:val="24"/>
              </w:rPr>
              <w:t>可查看系统创建的月调度报告</w:t>
            </w:r>
          </w:p>
          <w:p w14:paraId="1EAE907F">
            <w:pPr>
              <w:widowControl/>
              <w:numPr>
                <w:ilvl w:val="0"/>
                <w:numId w:val="21"/>
              </w:numPr>
              <w:ind w:firstLine="0"/>
              <w:jc w:val="left"/>
              <w:rPr>
                <w:rFonts w:cs="宋体"/>
                <w:color w:val="auto"/>
                <w:sz w:val="24"/>
                <w:szCs w:val="24"/>
              </w:rPr>
            </w:pPr>
            <w:r>
              <w:rPr>
                <w:rFonts w:hint="eastAsia" w:ascii="宋体" w:hAnsi="宋体" w:cs="宋体"/>
                <w:color w:val="auto"/>
                <w:sz w:val="24"/>
                <w:szCs w:val="24"/>
              </w:rPr>
              <w:t>支持点击查看详情，可直接预览月调度报告中的文件内容</w:t>
            </w:r>
          </w:p>
          <w:p w14:paraId="00FA8A89">
            <w:pPr>
              <w:pStyle w:val="91"/>
              <w:numPr>
                <w:ilvl w:val="0"/>
                <w:numId w:val="13"/>
              </w:numPr>
              <w:ind w:left="0" w:firstLine="0" w:firstLineChars="0"/>
              <w:rPr>
                <w:rFonts w:cs="宋体"/>
                <w:color w:val="auto"/>
                <w:sz w:val="24"/>
                <w:szCs w:val="24"/>
              </w:rPr>
            </w:pPr>
            <w:r>
              <w:rPr>
                <w:rFonts w:hint="eastAsia" w:cs="宋体"/>
                <w:color w:val="auto"/>
                <w:sz w:val="24"/>
                <w:szCs w:val="24"/>
              </w:rPr>
              <w:t>数字巡检屏：</w:t>
            </w:r>
          </w:p>
          <w:p w14:paraId="220A0F0C">
            <w:pPr>
              <w:pStyle w:val="91"/>
              <w:numPr>
                <w:ilvl w:val="0"/>
                <w:numId w:val="22"/>
              </w:numPr>
              <w:ind w:left="0" w:firstLine="0" w:firstLineChars="0"/>
              <w:rPr>
                <w:rFonts w:cs="宋体"/>
                <w:color w:val="auto"/>
                <w:sz w:val="24"/>
                <w:szCs w:val="24"/>
              </w:rPr>
            </w:pPr>
            <w:r>
              <w:rPr>
                <w:rFonts w:hint="eastAsia" w:cs="宋体"/>
                <w:color w:val="auto"/>
                <w:sz w:val="24"/>
                <w:szCs w:val="24"/>
              </w:rPr>
              <w:t>后勤数智巡检：</w:t>
            </w:r>
          </w:p>
          <w:p w14:paraId="68D4A403">
            <w:pPr>
              <w:pStyle w:val="91"/>
              <w:widowControl w:val="0"/>
              <w:ind w:firstLine="0" w:firstLineChars="0"/>
              <w:rPr>
                <w:rFonts w:cs="宋体"/>
                <w:color w:val="auto"/>
                <w:sz w:val="24"/>
                <w:szCs w:val="24"/>
              </w:rPr>
            </w:pPr>
            <w:r>
              <w:rPr>
                <w:rFonts w:hint="eastAsia" w:cs="宋体"/>
                <w:color w:val="auto"/>
                <w:sz w:val="24"/>
                <w:szCs w:val="24"/>
              </w:rPr>
              <w:t>可查看食堂的巡检信息、本月食堂巡检进度、本月巡检提升分析、本月食堂巡检分析、食堂</w:t>
            </w:r>
            <w:r>
              <w:rPr>
                <w:rFonts w:cs="宋体"/>
                <w:color w:val="auto"/>
                <w:sz w:val="24"/>
                <w:szCs w:val="24"/>
              </w:rPr>
              <w:t>3</w:t>
            </w:r>
            <w:r>
              <w:rPr>
                <w:rFonts w:hint="eastAsia" w:cs="宋体"/>
                <w:color w:val="auto"/>
                <w:sz w:val="24"/>
                <w:szCs w:val="24"/>
              </w:rPr>
              <w:t>个月的重点提升方向、食安红榜、待提升排名、食堂实时的巡检进度展示</w:t>
            </w:r>
          </w:p>
          <w:p w14:paraId="3617DC1F">
            <w:pPr>
              <w:pStyle w:val="91"/>
              <w:numPr>
                <w:ilvl w:val="0"/>
                <w:numId w:val="22"/>
              </w:numPr>
              <w:ind w:left="0" w:firstLine="0" w:firstLineChars="0"/>
              <w:rPr>
                <w:rFonts w:cs="宋体"/>
                <w:color w:val="auto"/>
                <w:sz w:val="24"/>
                <w:szCs w:val="24"/>
              </w:rPr>
            </w:pPr>
            <w:r>
              <w:rPr>
                <w:rFonts w:hint="eastAsia" w:cs="宋体"/>
                <w:color w:val="auto"/>
                <w:sz w:val="24"/>
                <w:szCs w:val="24"/>
              </w:rPr>
              <w:t>本月食堂巡检分析：</w:t>
            </w:r>
          </w:p>
          <w:p w14:paraId="22AC7BF2">
            <w:pPr>
              <w:pStyle w:val="91"/>
              <w:widowControl w:val="0"/>
              <w:ind w:firstLine="0" w:firstLineChars="0"/>
              <w:rPr>
                <w:rFonts w:cs="宋体"/>
                <w:color w:val="auto"/>
                <w:sz w:val="24"/>
                <w:szCs w:val="24"/>
              </w:rPr>
            </w:pPr>
            <w:r>
              <w:rPr>
                <w:rFonts w:hint="eastAsia" w:cs="宋体"/>
                <w:color w:val="auto"/>
                <w:sz w:val="24"/>
                <w:szCs w:val="24"/>
              </w:rPr>
              <w:t>统计当月食堂督导巡检与视频巡检的进度情况，点击对应圆环图可查看巡检进度详情</w:t>
            </w:r>
          </w:p>
          <w:p w14:paraId="59B0384E">
            <w:pPr>
              <w:pStyle w:val="91"/>
              <w:numPr>
                <w:ilvl w:val="0"/>
                <w:numId w:val="22"/>
              </w:numPr>
              <w:ind w:left="0" w:firstLine="0" w:firstLineChars="0"/>
              <w:rPr>
                <w:rFonts w:cs="宋体"/>
                <w:color w:val="auto"/>
                <w:sz w:val="24"/>
                <w:szCs w:val="24"/>
              </w:rPr>
            </w:pPr>
            <w:r>
              <w:rPr>
                <w:rFonts w:hint="eastAsia" w:cs="宋体"/>
                <w:color w:val="auto"/>
                <w:sz w:val="24"/>
                <w:szCs w:val="24"/>
              </w:rPr>
              <w:t>自检自清提交统计</w:t>
            </w:r>
          </w:p>
          <w:p w14:paraId="59D1260D">
            <w:pPr>
              <w:pStyle w:val="91"/>
              <w:widowControl w:val="0"/>
              <w:ind w:firstLine="0" w:firstLineChars="0"/>
              <w:rPr>
                <w:rFonts w:cs="宋体"/>
                <w:color w:val="auto"/>
                <w:sz w:val="24"/>
                <w:szCs w:val="24"/>
              </w:rPr>
            </w:pPr>
            <w:r>
              <w:rPr>
                <w:rFonts w:hint="eastAsia" w:cs="宋体"/>
                <w:color w:val="auto"/>
                <w:sz w:val="24"/>
                <w:szCs w:val="24"/>
              </w:rPr>
              <w:t>统计各门店近期的自检自清统计情况，能看到门店的提交情况，如是否提交，是否迟交等</w:t>
            </w:r>
          </w:p>
          <w:p w14:paraId="4B57F26A">
            <w:pPr>
              <w:pStyle w:val="91"/>
              <w:numPr>
                <w:ilvl w:val="0"/>
                <w:numId w:val="22"/>
              </w:numPr>
              <w:ind w:left="0" w:firstLine="0" w:firstLineChars="0"/>
              <w:rPr>
                <w:rFonts w:cs="宋体"/>
                <w:color w:val="auto"/>
                <w:sz w:val="24"/>
                <w:szCs w:val="24"/>
              </w:rPr>
            </w:pPr>
            <w:r>
              <w:rPr>
                <w:rFonts w:hint="eastAsia" w:cs="宋体"/>
                <w:color w:val="auto"/>
                <w:sz w:val="24"/>
                <w:szCs w:val="24"/>
              </w:rPr>
              <w:t>本月食堂巡检进度</w:t>
            </w:r>
          </w:p>
          <w:p w14:paraId="0854E7D9">
            <w:pPr>
              <w:pStyle w:val="91"/>
              <w:widowControl w:val="0"/>
              <w:ind w:firstLine="0" w:firstLineChars="0"/>
              <w:rPr>
                <w:rFonts w:cs="宋体"/>
                <w:color w:val="auto"/>
                <w:sz w:val="24"/>
                <w:szCs w:val="24"/>
              </w:rPr>
            </w:pPr>
            <w:r>
              <w:rPr>
                <w:rFonts w:hint="eastAsia" w:cs="宋体"/>
                <w:color w:val="auto"/>
                <w:sz w:val="24"/>
                <w:szCs w:val="24"/>
              </w:rPr>
              <w:t>分布以柱状图与列表的形式统计当月督查巡检、视频巡检的食堂得分，并进行排名</w:t>
            </w:r>
          </w:p>
          <w:p w14:paraId="74E221AC">
            <w:pPr>
              <w:pStyle w:val="91"/>
              <w:numPr>
                <w:ilvl w:val="0"/>
                <w:numId w:val="22"/>
              </w:numPr>
              <w:ind w:left="0" w:firstLine="0" w:firstLineChars="0"/>
              <w:rPr>
                <w:rFonts w:cs="宋体"/>
                <w:color w:val="auto"/>
                <w:sz w:val="24"/>
                <w:szCs w:val="24"/>
              </w:rPr>
            </w:pPr>
            <w:r>
              <w:rPr>
                <w:rFonts w:hint="eastAsia" w:cs="宋体"/>
                <w:color w:val="auto"/>
                <w:sz w:val="24"/>
                <w:szCs w:val="24"/>
              </w:rPr>
              <w:t>食安红榜</w:t>
            </w:r>
          </w:p>
          <w:p w14:paraId="648BDF5D">
            <w:pPr>
              <w:pStyle w:val="91"/>
              <w:widowControl w:val="0"/>
              <w:ind w:firstLine="0" w:firstLineChars="0"/>
              <w:rPr>
                <w:rFonts w:cs="宋体"/>
                <w:color w:val="auto"/>
                <w:sz w:val="24"/>
                <w:szCs w:val="24"/>
              </w:rPr>
            </w:pPr>
            <w:r>
              <w:rPr>
                <w:rFonts w:hint="eastAsia" w:cs="宋体"/>
                <w:color w:val="auto"/>
                <w:sz w:val="24"/>
                <w:szCs w:val="24"/>
              </w:rPr>
              <w:t>通过公示计算食堂当月的综合得分，并跟进得分对食堂进行排行</w:t>
            </w:r>
          </w:p>
          <w:p w14:paraId="48A07083">
            <w:pPr>
              <w:pStyle w:val="91"/>
              <w:numPr>
                <w:ilvl w:val="0"/>
                <w:numId w:val="22"/>
              </w:numPr>
              <w:ind w:left="0" w:firstLine="0" w:firstLineChars="0"/>
              <w:rPr>
                <w:rFonts w:cs="宋体"/>
                <w:color w:val="auto"/>
                <w:sz w:val="24"/>
                <w:szCs w:val="24"/>
              </w:rPr>
            </w:pPr>
            <w:r>
              <w:rPr>
                <w:rFonts w:hint="eastAsia" w:cs="宋体"/>
                <w:color w:val="auto"/>
                <w:sz w:val="24"/>
                <w:szCs w:val="24"/>
              </w:rPr>
              <w:t>待提升排名</w:t>
            </w:r>
          </w:p>
          <w:p w14:paraId="08724EE2">
            <w:pPr>
              <w:pStyle w:val="91"/>
              <w:widowControl w:val="0"/>
              <w:ind w:firstLine="0" w:firstLineChars="0"/>
              <w:rPr>
                <w:rFonts w:cs="宋体"/>
                <w:color w:val="auto"/>
                <w:sz w:val="24"/>
                <w:szCs w:val="24"/>
              </w:rPr>
            </w:pPr>
            <w:r>
              <w:rPr>
                <w:rFonts w:hint="eastAsia" w:cs="宋体"/>
                <w:color w:val="auto"/>
                <w:sz w:val="24"/>
                <w:szCs w:val="24"/>
              </w:rPr>
              <w:t>统计各食堂当月所排查处理的问题数量，并进行排行</w:t>
            </w:r>
          </w:p>
          <w:p w14:paraId="2FAC7953">
            <w:pPr>
              <w:pStyle w:val="91"/>
              <w:numPr>
                <w:ilvl w:val="0"/>
                <w:numId w:val="22"/>
              </w:numPr>
              <w:ind w:left="0" w:firstLine="0" w:firstLineChars="0"/>
              <w:rPr>
                <w:rFonts w:cs="宋体"/>
                <w:color w:val="auto"/>
                <w:sz w:val="24"/>
                <w:szCs w:val="24"/>
              </w:rPr>
            </w:pPr>
            <w:r>
              <w:rPr>
                <w:rFonts w:hint="eastAsia" w:cs="宋体"/>
                <w:color w:val="auto"/>
                <w:sz w:val="24"/>
                <w:szCs w:val="24"/>
              </w:rPr>
              <w:t>实时巡查进度展示</w:t>
            </w:r>
          </w:p>
          <w:p w14:paraId="0D4B0302">
            <w:pPr>
              <w:widowControl/>
              <w:jc w:val="left"/>
              <w:rPr>
                <w:rFonts w:cs="宋体"/>
                <w:color w:val="auto"/>
                <w:sz w:val="24"/>
                <w:szCs w:val="24"/>
              </w:rPr>
            </w:pPr>
            <w:r>
              <w:rPr>
                <w:rFonts w:hint="eastAsia" w:ascii="宋体" w:hAnsi="宋体" w:cs="宋体"/>
                <w:color w:val="auto"/>
                <w:sz w:val="24"/>
                <w:szCs w:val="24"/>
              </w:rPr>
              <w:t>实时显示轮播近期内所有门店的巡检事件，并显示其巡检结果</w:t>
            </w:r>
          </w:p>
        </w:tc>
        <w:tc>
          <w:tcPr>
            <w:tcW w:w="557" w:type="pct"/>
            <w:vAlign w:val="center"/>
          </w:tcPr>
          <w:p w14:paraId="74000754">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5BB3C15C">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5A04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pct"/>
            <w:vAlign w:val="center"/>
          </w:tcPr>
          <w:p w14:paraId="3BAB429A">
            <w:pPr>
              <w:jc w:val="center"/>
              <w:rPr>
                <w:rFonts w:ascii="宋体" w:hAnsi="宋体" w:cs="宋体"/>
                <w:color w:val="auto"/>
                <w:sz w:val="24"/>
                <w:szCs w:val="24"/>
              </w:rPr>
            </w:pPr>
            <w:r>
              <w:rPr>
                <w:rFonts w:hint="eastAsia" w:ascii="宋体" w:hAnsi="宋体" w:cs="宋体"/>
                <w:color w:val="auto"/>
                <w:sz w:val="24"/>
                <w:szCs w:val="24"/>
              </w:rPr>
              <w:t>食堂信息管理</w:t>
            </w:r>
          </w:p>
          <w:p w14:paraId="39A7C493">
            <w:pPr>
              <w:jc w:val="center"/>
              <w:rPr>
                <w:rFonts w:ascii="宋体" w:hAnsi="宋体" w:cs="宋体"/>
                <w:color w:val="auto"/>
                <w:kern w:val="0"/>
                <w:sz w:val="24"/>
                <w:szCs w:val="24"/>
                <w:lang w:bidi="ar"/>
              </w:rPr>
            </w:pPr>
          </w:p>
        </w:tc>
        <w:tc>
          <w:tcPr>
            <w:tcW w:w="3067" w:type="pct"/>
          </w:tcPr>
          <w:p w14:paraId="5C8FB8DF">
            <w:pPr>
              <w:pStyle w:val="91"/>
              <w:numPr>
                <w:ilvl w:val="0"/>
                <w:numId w:val="23"/>
              </w:numPr>
              <w:ind w:left="0" w:firstLine="0" w:firstLineChars="0"/>
              <w:rPr>
                <w:rFonts w:ascii="宋体" w:hAnsi="宋体" w:cs="宋体"/>
                <w:color w:val="auto"/>
                <w:sz w:val="24"/>
                <w:szCs w:val="24"/>
              </w:rPr>
            </w:pPr>
            <w:r>
              <w:rPr>
                <w:rFonts w:hint="eastAsia" w:ascii="宋体" w:hAnsi="宋体" w:cs="宋体"/>
                <w:color w:val="auto"/>
                <w:kern w:val="0"/>
                <w:sz w:val="24"/>
                <w:szCs w:val="24"/>
                <w:lang w:bidi="ar"/>
              </w:rPr>
              <w:t>食堂类型管理</w:t>
            </w:r>
          </w:p>
          <w:p w14:paraId="282035DA">
            <w:pPr>
              <w:widowControl/>
              <w:jc w:val="left"/>
              <w:rPr>
                <w:rFonts w:ascii="宋体" w:hAnsi="宋体" w:cs="宋体"/>
                <w:color w:val="auto"/>
                <w:sz w:val="24"/>
                <w:szCs w:val="24"/>
              </w:rPr>
            </w:pPr>
            <w:r>
              <w:rPr>
                <w:rFonts w:hint="eastAsia" w:ascii="宋体" w:hAnsi="宋体" w:cs="宋体"/>
                <w:color w:val="auto"/>
                <w:sz w:val="24"/>
                <w:szCs w:val="24"/>
              </w:rPr>
              <w:t>支持维护学校食堂类型，并可进行食堂类型的增删改等操作，食堂类型状态的停用和启用</w:t>
            </w:r>
          </w:p>
          <w:p w14:paraId="0B56EDA4">
            <w:pPr>
              <w:pStyle w:val="91"/>
              <w:numPr>
                <w:ilvl w:val="0"/>
                <w:numId w:val="23"/>
              </w:numPr>
              <w:ind w:left="0" w:firstLine="0" w:firstLineChars="0"/>
              <w:rPr>
                <w:rFonts w:ascii="宋体" w:hAnsi="宋体" w:cs="宋体"/>
                <w:color w:val="auto"/>
                <w:sz w:val="24"/>
                <w:szCs w:val="24"/>
              </w:rPr>
            </w:pPr>
            <w:r>
              <w:rPr>
                <w:rFonts w:hint="eastAsia" w:ascii="宋体" w:hAnsi="宋体" w:cs="宋体"/>
                <w:color w:val="auto"/>
                <w:kern w:val="0"/>
                <w:sz w:val="24"/>
                <w:szCs w:val="24"/>
                <w:lang w:bidi="ar"/>
              </w:rPr>
              <w:t>食堂管理</w:t>
            </w:r>
          </w:p>
          <w:p w14:paraId="69E6D68B">
            <w:pPr>
              <w:widowControl/>
              <w:numPr>
                <w:ilvl w:val="0"/>
                <w:numId w:val="24"/>
              </w:numPr>
              <w:ind w:firstLine="0"/>
              <w:jc w:val="left"/>
              <w:rPr>
                <w:rFonts w:ascii="宋体" w:hAnsi="宋体" w:cs="宋体"/>
                <w:color w:val="auto"/>
                <w:sz w:val="24"/>
                <w:szCs w:val="24"/>
              </w:rPr>
            </w:pPr>
            <w:r>
              <w:rPr>
                <w:rFonts w:hint="eastAsia" w:ascii="宋体" w:hAnsi="宋体" w:cs="宋体"/>
                <w:color w:val="auto"/>
                <w:sz w:val="24"/>
                <w:szCs w:val="24"/>
              </w:rPr>
              <w:t>支持维护学校校区组织信息</w:t>
            </w:r>
          </w:p>
          <w:p w14:paraId="09E9B47F">
            <w:pPr>
              <w:widowControl/>
              <w:numPr>
                <w:ilvl w:val="0"/>
                <w:numId w:val="24"/>
              </w:numPr>
              <w:ind w:firstLine="0"/>
              <w:jc w:val="left"/>
              <w:rPr>
                <w:color w:val="auto"/>
              </w:rPr>
            </w:pPr>
            <w:r>
              <w:rPr>
                <w:rFonts w:hint="eastAsia" w:ascii="宋体" w:hAnsi="宋体" w:cs="宋体"/>
                <w:color w:val="auto"/>
                <w:sz w:val="24"/>
                <w:szCs w:val="24"/>
              </w:rPr>
              <w:t>支持维护学校校区下属食堂信息、运营企业信息、负责人信息、营业执照信息</w:t>
            </w:r>
          </w:p>
          <w:p w14:paraId="2960F1BA">
            <w:pPr>
              <w:pStyle w:val="91"/>
              <w:numPr>
                <w:ilvl w:val="0"/>
                <w:numId w:val="23"/>
              </w:numPr>
              <w:ind w:left="0" w:firstLine="0" w:firstLineChars="0"/>
              <w:rPr>
                <w:color w:val="auto"/>
              </w:rPr>
            </w:pPr>
            <w:r>
              <w:rPr>
                <w:rFonts w:hint="eastAsia" w:ascii="宋体" w:hAnsi="宋体" w:cs="宋体"/>
                <w:color w:val="auto"/>
                <w:kern w:val="0"/>
                <w:sz w:val="24"/>
                <w:szCs w:val="24"/>
                <w:lang w:bidi="ar"/>
              </w:rPr>
              <w:t>食堂设备管理</w:t>
            </w:r>
          </w:p>
          <w:p w14:paraId="63F9475B">
            <w:pPr>
              <w:widowControl/>
              <w:numPr>
                <w:ilvl w:val="0"/>
                <w:numId w:val="25"/>
              </w:numPr>
              <w:ind w:firstLine="0"/>
              <w:jc w:val="left"/>
              <w:rPr>
                <w:rFonts w:ascii="宋体" w:hAnsi="宋体" w:cs="宋体"/>
                <w:color w:val="auto"/>
                <w:sz w:val="24"/>
                <w:szCs w:val="24"/>
              </w:rPr>
            </w:pPr>
            <w:r>
              <w:rPr>
                <w:rFonts w:hint="eastAsia" w:ascii="宋体" w:hAnsi="宋体" w:cs="宋体"/>
                <w:color w:val="auto"/>
                <w:sz w:val="24"/>
                <w:szCs w:val="24"/>
              </w:rPr>
              <w:t>支持进行下属食堂设备维护、查看、配置</w:t>
            </w:r>
          </w:p>
          <w:p w14:paraId="01BEBB36">
            <w:pPr>
              <w:widowControl/>
              <w:numPr>
                <w:ilvl w:val="0"/>
                <w:numId w:val="25"/>
              </w:numPr>
              <w:ind w:firstLine="0"/>
              <w:jc w:val="left"/>
              <w:rPr>
                <w:color w:val="auto"/>
              </w:rPr>
            </w:pPr>
            <w:r>
              <w:rPr>
                <w:rFonts w:hint="eastAsia" w:ascii="宋体" w:hAnsi="宋体" w:cs="宋体"/>
                <w:color w:val="auto"/>
                <w:sz w:val="24"/>
                <w:szCs w:val="24"/>
              </w:rPr>
              <w:t>设备类型：监控设备、门禁设备、物联传感、显示设备</w:t>
            </w:r>
          </w:p>
          <w:p w14:paraId="35B5CC0F">
            <w:pPr>
              <w:pStyle w:val="91"/>
              <w:numPr>
                <w:ilvl w:val="0"/>
                <w:numId w:val="23"/>
              </w:numPr>
              <w:spacing w:line="360" w:lineRule="auto"/>
              <w:ind w:left="0" w:firstLine="0" w:firstLineChars="0"/>
              <w:rPr>
                <w:rFonts w:ascii="宋体" w:hAnsi="宋体" w:cs="宋体"/>
                <w:color w:val="auto"/>
                <w:sz w:val="24"/>
                <w:szCs w:val="24"/>
              </w:rPr>
            </w:pPr>
            <w:r>
              <w:rPr>
                <w:rFonts w:hint="eastAsia" w:ascii="宋体" w:hAnsi="宋体" w:cs="宋体"/>
                <w:color w:val="auto"/>
                <w:kern w:val="0"/>
                <w:sz w:val="24"/>
                <w:szCs w:val="24"/>
                <w:lang w:bidi="ar"/>
              </w:rPr>
              <w:t>场景类型管理</w:t>
            </w:r>
          </w:p>
          <w:p w14:paraId="460F99B9">
            <w:pPr>
              <w:widowControl/>
              <w:numPr>
                <w:ilvl w:val="0"/>
                <w:numId w:val="26"/>
              </w:numPr>
              <w:ind w:firstLine="0"/>
              <w:jc w:val="left"/>
              <w:rPr>
                <w:rFonts w:ascii="宋体" w:hAnsi="宋体" w:cs="宋体"/>
                <w:color w:val="auto"/>
                <w:sz w:val="24"/>
                <w:szCs w:val="24"/>
              </w:rPr>
            </w:pPr>
            <w:r>
              <w:rPr>
                <w:rFonts w:hint="eastAsia" w:ascii="宋体" w:hAnsi="宋体" w:cs="宋体"/>
                <w:color w:val="auto"/>
                <w:sz w:val="24"/>
                <w:szCs w:val="24"/>
              </w:rPr>
              <w:t>部署时默认下发初始六大场景及规则；默认场景无法删除</w:t>
            </w:r>
          </w:p>
          <w:p w14:paraId="6818C40A">
            <w:pPr>
              <w:widowControl/>
              <w:numPr>
                <w:ilvl w:val="0"/>
                <w:numId w:val="26"/>
              </w:numPr>
              <w:ind w:firstLine="0"/>
              <w:jc w:val="left"/>
              <w:rPr>
                <w:color w:val="auto"/>
              </w:rPr>
            </w:pPr>
            <w:r>
              <w:rPr>
                <w:rFonts w:hint="eastAsia" w:ascii="宋体" w:hAnsi="宋体" w:cs="宋体"/>
                <w:color w:val="auto"/>
                <w:sz w:val="24"/>
                <w:szCs w:val="24"/>
              </w:rPr>
              <w:t>支持维护场景类型（增、删、改），场景类型设备配置、默认规则设置</w:t>
            </w:r>
          </w:p>
          <w:p w14:paraId="0EFC1417">
            <w:pPr>
              <w:pStyle w:val="91"/>
              <w:numPr>
                <w:ilvl w:val="0"/>
                <w:numId w:val="23"/>
              </w:numPr>
              <w:ind w:left="0" w:firstLine="0" w:firstLineChars="0"/>
              <w:rPr>
                <w:rFonts w:ascii="宋体" w:hAnsi="宋体" w:cs="宋体"/>
                <w:color w:val="auto"/>
                <w:sz w:val="24"/>
                <w:szCs w:val="24"/>
              </w:rPr>
            </w:pPr>
            <w:r>
              <w:rPr>
                <w:rFonts w:hint="eastAsia" w:ascii="宋体" w:hAnsi="宋体" w:cs="宋体"/>
                <w:color w:val="auto"/>
                <w:kern w:val="0"/>
                <w:sz w:val="24"/>
                <w:szCs w:val="24"/>
                <w:lang w:bidi="ar"/>
              </w:rPr>
              <w:t>物联场景管理</w:t>
            </w:r>
          </w:p>
          <w:p w14:paraId="13FCE026">
            <w:pPr>
              <w:widowControl/>
              <w:jc w:val="left"/>
              <w:rPr>
                <w:rFonts w:ascii="宋体" w:hAnsi="宋体" w:cs="宋体"/>
                <w:color w:val="auto"/>
                <w:sz w:val="24"/>
                <w:szCs w:val="24"/>
              </w:rPr>
            </w:pPr>
            <w:r>
              <w:rPr>
                <w:rFonts w:hint="eastAsia" w:ascii="宋体" w:hAnsi="宋体" w:cs="宋体"/>
                <w:color w:val="auto"/>
                <w:sz w:val="24"/>
                <w:szCs w:val="24"/>
              </w:rPr>
              <w:t>支持维护下属食堂中物联场景空间，同时点击配置可配置绑定设备，对场景空间状态可进行开启或关闭</w:t>
            </w:r>
          </w:p>
        </w:tc>
        <w:tc>
          <w:tcPr>
            <w:tcW w:w="557" w:type="pct"/>
            <w:vAlign w:val="center"/>
          </w:tcPr>
          <w:p w14:paraId="28A66F08">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1DB80280">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7B9D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pct"/>
            <w:vAlign w:val="center"/>
          </w:tcPr>
          <w:p w14:paraId="471BD21F">
            <w:pPr>
              <w:jc w:val="center"/>
              <w:rPr>
                <w:rFonts w:ascii="宋体" w:hAnsi="宋体" w:cs="宋体"/>
                <w:color w:val="auto"/>
                <w:sz w:val="24"/>
                <w:szCs w:val="24"/>
              </w:rPr>
            </w:pPr>
            <w:r>
              <w:rPr>
                <w:rFonts w:hint="eastAsia" w:ascii="宋体" w:hAnsi="宋体" w:cs="宋体"/>
                <w:color w:val="auto"/>
                <w:sz w:val="24"/>
                <w:szCs w:val="24"/>
              </w:rPr>
              <w:t>食安考评管理</w:t>
            </w:r>
          </w:p>
          <w:p w14:paraId="69526F9B">
            <w:pPr>
              <w:jc w:val="center"/>
              <w:rPr>
                <w:rFonts w:ascii="宋体" w:hAnsi="宋体" w:cs="宋体"/>
                <w:color w:val="auto"/>
                <w:kern w:val="0"/>
                <w:sz w:val="24"/>
                <w:szCs w:val="24"/>
                <w:lang w:bidi="ar"/>
              </w:rPr>
            </w:pPr>
          </w:p>
        </w:tc>
        <w:tc>
          <w:tcPr>
            <w:tcW w:w="3067" w:type="pct"/>
          </w:tcPr>
          <w:p w14:paraId="0DA76B4A">
            <w:pPr>
              <w:widowControl/>
              <w:numPr>
                <w:ilvl w:val="0"/>
                <w:numId w:val="27"/>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日管控</w:t>
            </w:r>
          </w:p>
          <w:p w14:paraId="5AFE09BE">
            <w:pPr>
              <w:widowControl/>
              <w:jc w:val="left"/>
              <w:rPr>
                <w:rFonts w:ascii="宋体" w:hAnsi="宋体" w:cs="宋体"/>
                <w:color w:val="auto"/>
                <w:sz w:val="24"/>
                <w:szCs w:val="24"/>
              </w:rPr>
            </w:pPr>
            <w:r>
              <w:rPr>
                <w:rFonts w:hint="eastAsia" w:ascii="宋体" w:hAnsi="宋体" w:cs="宋体"/>
                <w:color w:val="auto"/>
                <w:sz w:val="24"/>
                <w:szCs w:val="24"/>
              </w:rPr>
              <w:t>可查看食堂人员上传的日管控记录，并可以点击查看检查人员和负责人签名，支持导出</w:t>
            </w:r>
          </w:p>
          <w:p w14:paraId="5DADD838">
            <w:pPr>
              <w:widowControl/>
              <w:numPr>
                <w:ilvl w:val="0"/>
                <w:numId w:val="27"/>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周排查</w:t>
            </w:r>
          </w:p>
          <w:p w14:paraId="451320DB">
            <w:pPr>
              <w:widowControl/>
              <w:jc w:val="left"/>
              <w:rPr>
                <w:rFonts w:ascii="宋体" w:hAnsi="宋体" w:cs="宋体"/>
                <w:color w:val="auto"/>
                <w:sz w:val="24"/>
                <w:szCs w:val="24"/>
              </w:rPr>
            </w:pPr>
            <w:r>
              <w:rPr>
                <w:rFonts w:hint="eastAsia" w:ascii="宋体" w:hAnsi="宋体" w:cs="宋体"/>
                <w:color w:val="auto"/>
                <w:sz w:val="24"/>
                <w:szCs w:val="24"/>
              </w:rPr>
              <w:t>可根据选择的报告周期，获取该周期食堂的整改问题信息，可支持排查报告、整改、本周巡检、日管控的导出</w:t>
            </w:r>
          </w:p>
          <w:p w14:paraId="5C09228F">
            <w:pPr>
              <w:widowControl/>
              <w:numPr>
                <w:ilvl w:val="0"/>
                <w:numId w:val="27"/>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月报告</w:t>
            </w:r>
          </w:p>
          <w:p w14:paraId="64B4A4FC">
            <w:pPr>
              <w:widowControl/>
              <w:jc w:val="left"/>
              <w:rPr>
                <w:rFonts w:ascii="宋体" w:hAnsi="宋体" w:cs="宋体"/>
                <w:color w:val="auto"/>
                <w:sz w:val="24"/>
                <w:szCs w:val="24"/>
              </w:rPr>
            </w:pPr>
            <w:r>
              <w:rPr>
                <w:rFonts w:hint="eastAsia" w:ascii="宋体" w:hAnsi="宋体" w:cs="宋体"/>
                <w:color w:val="auto"/>
                <w:sz w:val="24"/>
                <w:szCs w:val="24"/>
              </w:rPr>
              <w:t>可进行选择的周期进行生成一个月报告，支持上传图片，并导出</w:t>
            </w:r>
          </w:p>
          <w:p w14:paraId="3A46572F">
            <w:pPr>
              <w:widowControl/>
              <w:numPr>
                <w:ilvl w:val="0"/>
                <w:numId w:val="27"/>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报告发布</w:t>
            </w:r>
          </w:p>
          <w:p w14:paraId="606F35B9">
            <w:pPr>
              <w:widowControl/>
              <w:jc w:val="left"/>
              <w:rPr>
                <w:rFonts w:ascii="宋体" w:hAnsi="宋体" w:cs="宋体"/>
                <w:color w:val="auto"/>
                <w:sz w:val="24"/>
                <w:szCs w:val="24"/>
              </w:rPr>
            </w:pPr>
            <w:r>
              <w:rPr>
                <w:rFonts w:hint="eastAsia" w:ascii="宋体" w:hAnsi="宋体" w:cs="宋体"/>
                <w:color w:val="auto"/>
                <w:sz w:val="24"/>
                <w:szCs w:val="24"/>
              </w:rPr>
              <w:t>支持将月调度文件上传并在监管平台大屏进行公示，上传的文件支持预览导出</w:t>
            </w:r>
          </w:p>
        </w:tc>
        <w:tc>
          <w:tcPr>
            <w:tcW w:w="557" w:type="pct"/>
            <w:vAlign w:val="center"/>
          </w:tcPr>
          <w:p w14:paraId="496F607F">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131E9D37">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3B20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pct"/>
            <w:vAlign w:val="center"/>
          </w:tcPr>
          <w:p w14:paraId="288956C6">
            <w:pPr>
              <w:jc w:val="center"/>
              <w:rPr>
                <w:rFonts w:ascii="宋体" w:hAnsi="宋体" w:cs="宋体"/>
                <w:color w:val="auto"/>
                <w:sz w:val="24"/>
                <w:szCs w:val="24"/>
              </w:rPr>
            </w:pPr>
            <w:r>
              <w:rPr>
                <w:rFonts w:hint="eastAsia" w:ascii="宋体" w:hAnsi="宋体" w:cs="宋体"/>
                <w:color w:val="auto"/>
                <w:sz w:val="24"/>
                <w:szCs w:val="24"/>
              </w:rPr>
              <w:t>数智食安监管</w:t>
            </w:r>
          </w:p>
          <w:p w14:paraId="2C4CCD05">
            <w:pPr>
              <w:jc w:val="center"/>
              <w:rPr>
                <w:rFonts w:ascii="宋体" w:hAnsi="宋体" w:cs="宋体"/>
                <w:color w:val="auto"/>
                <w:kern w:val="0"/>
                <w:sz w:val="24"/>
                <w:szCs w:val="24"/>
                <w:lang w:bidi="ar"/>
              </w:rPr>
            </w:pPr>
          </w:p>
        </w:tc>
        <w:tc>
          <w:tcPr>
            <w:tcW w:w="3067" w:type="pct"/>
          </w:tcPr>
          <w:p w14:paraId="3993476E">
            <w:pPr>
              <w:widowControl/>
              <w:numPr>
                <w:ilvl w:val="0"/>
                <w:numId w:val="28"/>
              </w:numPr>
              <w:ind w:left="0" w:firstLine="0"/>
              <w:jc w:val="left"/>
              <w:rPr>
                <w:rFonts w:ascii="宋体" w:hAnsi="宋体" w:cs="宋体"/>
                <w:color w:val="auto"/>
                <w:sz w:val="24"/>
                <w:szCs w:val="24"/>
              </w:rPr>
            </w:pPr>
            <w:r>
              <w:rPr>
                <w:rFonts w:hint="eastAsia" w:ascii="宋体" w:hAnsi="宋体" w:cs="宋体"/>
                <w:color w:val="auto"/>
                <w:sz w:val="24"/>
                <w:szCs w:val="24"/>
              </w:rPr>
              <w:t>食安信息监管</w:t>
            </w:r>
          </w:p>
          <w:p w14:paraId="110297DC">
            <w:pPr>
              <w:widowControl/>
              <w:numPr>
                <w:ilvl w:val="0"/>
                <w:numId w:val="29"/>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菜品库管理</w:t>
            </w:r>
          </w:p>
          <w:p w14:paraId="66EB2AD1">
            <w:pPr>
              <w:widowControl/>
              <w:jc w:val="left"/>
              <w:rPr>
                <w:rFonts w:ascii="宋体" w:hAnsi="宋体" w:cs="宋体"/>
                <w:color w:val="auto"/>
                <w:sz w:val="24"/>
                <w:szCs w:val="24"/>
              </w:rPr>
            </w:pPr>
            <w:r>
              <w:rPr>
                <w:rFonts w:hint="eastAsia" w:ascii="宋体" w:hAnsi="宋体" w:cs="宋体"/>
                <w:color w:val="auto"/>
                <w:sz w:val="24"/>
                <w:szCs w:val="24"/>
              </w:rPr>
              <w:t>菜品库管理：查看该系统下所有食堂的菜品库信息，支持查看详情并导出</w:t>
            </w:r>
          </w:p>
          <w:p w14:paraId="047F93A3">
            <w:pPr>
              <w:widowControl/>
              <w:numPr>
                <w:ilvl w:val="0"/>
                <w:numId w:val="29"/>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食安台账管理</w:t>
            </w:r>
          </w:p>
          <w:p w14:paraId="34067300">
            <w:pPr>
              <w:widowControl/>
              <w:jc w:val="left"/>
              <w:rPr>
                <w:rFonts w:ascii="宋体" w:hAnsi="宋体" w:cs="宋体"/>
                <w:color w:val="auto"/>
                <w:sz w:val="24"/>
                <w:szCs w:val="24"/>
              </w:rPr>
            </w:pPr>
            <w:r>
              <w:rPr>
                <w:rFonts w:hint="eastAsia" w:ascii="宋体" w:hAnsi="宋体" w:cs="宋体"/>
                <w:color w:val="auto"/>
                <w:sz w:val="24"/>
                <w:szCs w:val="24"/>
              </w:rPr>
              <w:t>支持查看下属食堂上报食安台账：出入库、食材加工、环境记录、人员健康</w:t>
            </w:r>
          </w:p>
          <w:p w14:paraId="7E546359">
            <w:pPr>
              <w:widowControl/>
              <w:numPr>
                <w:ilvl w:val="0"/>
                <w:numId w:val="29"/>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食堂消毒记录</w:t>
            </w:r>
          </w:p>
          <w:p w14:paraId="782C032E">
            <w:pPr>
              <w:widowControl/>
              <w:jc w:val="left"/>
              <w:rPr>
                <w:rFonts w:ascii="宋体" w:hAnsi="宋体" w:cs="宋体"/>
                <w:color w:val="auto"/>
                <w:sz w:val="24"/>
                <w:szCs w:val="24"/>
              </w:rPr>
            </w:pPr>
            <w:r>
              <w:rPr>
                <w:rFonts w:hint="eastAsia" w:ascii="宋体" w:hAnsi="宋体" w:cs="宋体"/>
                <w:color w:val="auto"/>
                <w:sz w:val="24"/>
                <w:szCs w:val="24"/>
              </w:rPr>
              <w:t>支持查看下属食堂消毒记录：备餐间紫外线灯消毒记录、餐饮具消毒记录</w:t>
            </w:r>
          </w:p>
          <w:p w14:paraId="008C19EC">
            <w:pPr>
              <w:widowControl/>
              <w:numPr>
                <w:ilvl w:val="0"/>
                <w:numId w:val="29"/>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农残检测记录</w:t>
            </w:r>
          </w:p>
          <w:p w14:paraId="58F7C8CB">
            <w:pPr>
              <w:widowControl/>
              <w:jc w:val="left"/>
              <w:rPr>
                <w:rFonts w:ascii="宋体" w:hAnsi="宋体" w:cs="宋体"/>
                <w:color w:val="auto"/>
                <w:sz w:val="24"/>
                <w:szCs w:val="24"/>
              </w:rPr>
            </w:pPr>
            <w:r>
              <w:rPr>
                <w:rFonts w:hint="eastAsia" w:ascii="宋体" w:hAnsi="宋体" w:cs="宋体"/>
                <w:color w:val="auto"/>
                <w:sz w:val="24"/>
                <w:szCs w:val="24"/>
              </w:rPr>
              <w:t>支持查看下属食堂农残检测记录</w:t>
            </w:r>
          </w:p>
          <w:p w14:paraId="5DBA09C0">
            <w:pPr>
              <w:widowControl/>
              <w:numPr>
                <w:ilvl w:val="0"/>
                <w:numId w:val="29"/>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晨检记录</w:t>
            </w:r>
          </w:p>
          <w:p w14:paraId="36353E53">
            <w:pPr>
              <w:widowControl/>
              <w:jc w:val="left"/>
              <w:rPr>
                <w:rFonts w:ascii="宋体" w:hAnsi="宋体" w:cs="宋体"/>
                <w:color w:val="auto"/>
                <w:sz w:val="24"/>
                <w:szCs w:val="24"/>
              </w:rPr>
            </w:pPr>
            <w:r>
              <w:rPr>
                <w:rFonts w:hint="eastAsia" w:ascii="宋体" w:hAnsi="宋体" w:cs="宋体"/>
                <w:color w:val="auto"/>
                <w:sz w:val="24"/>
                <w:szCs w:val="24"/>
              </w:rPr>
              <w:t>晨检记录：展示该客户下所有关联食堂的晨检记录、设备统计、晨检进度、晨检统计，并可进行晨检记录的导出，同时点击查看详情可以查看详细食堂的晨检记录</w:t>
            </w:r>
          </w:p>
          <w:p w14:paraId="7AA6BD3D">
            <w:pPr>
              <w:widowControl/>
              <w:numPr>
                <w:ilvl w:val="0"/>
                <w:numId w:val="29"/>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留样记录</w:t>
            </w:r>
          </w:p>
          <w:p w14:paraId="474BB247">
            <w:pPr>
              <w:widowControl/>
              <w:jc w:val="left"/>
              <w:rPr>
                <w:rFonts w:ascii="宋体" w:hAnsi="宋体" w:cs="宋体"/>
                <w:color w:val="auto"/>
                <w:sz w:val="24"/>
                <w:szCs w:val="24"/>
              </w:rPr>
            </w:pPr>
            <w:r>
              <w:rPr>
                <w:rFonts w:hint="eastAsia" w:ascii="宋体" w:hAnsi="宋体" w:cs="宋体"/>
                <w:color w:val="auto"/>
                <w:sz w:val="24"/>
                <w:szCs w:val="24"/>
              </w:rPr>
              <w:t>支持查看下属食堂每日留样记录、留样进度</w:t>
            </w:r>
          </w:p>
          <w:p w14:paraId="433FF632">
            <w:pPr>
              <w:widowControl/>
              <w:numPr>
                <w:ilvl w:val="0"/>
                <w:numId w:val="28"/>
              </w:numPr>
              <w:ind w:left="0" w:firstLine="0"/>
              <w:jc w:val="left"/>
              <w:rPr>
                <w:rFonts w:ascii="宋体" w:hAnsi="宋体" w:cs="宋体"/>
                <w:color w:val="auto"/>
                <w:sz w:val="24"/>
                <w:szCs w:val="24"/>
              </w:rPr>
            </w:pPr>
            <w:r>
              <w:rPr>
                <w:rFonts w:hint="eastAsia" w:ascii="宋体" w:hAnsi="宋体" w:cs="宋体"/>
                <w:color w:val="auto"/>
                <w:sz w:val="24"/>
                <w:szCs w:val="24"/>
              </w:rPr>
              <w:t>数智监管</w:t>
            </w:r>
          </w:p>
          <w:p w14:paraId="081C926B">
            <w:pPr>
              <w:widowControl/>
              <w:numPr>
                <w:ilvl w:val="0"/>
                <w:numId w:val="30"/>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设备记录</w:t>
            </w:r>
          </w:p>
          <w:p w14:paraId="08EEB609">
            <w:pPr>
              <w:widowControl/>
              <w:jc w:val="left"/>
              <w:rPr>
                <w:rFonts w:ascii="宋体" w:hAnsi="宋体" w:cs="宋体"/>
                <w:color w:val="auto"/>
                <w:sz w:val="24"/>
                <w:szCs w:val="24"/>
              </w:rPr>
            </w:pPr>
            <w:r>
              <w:rPr>
                <w:rFonts w:hint="eastAsia" w:ascii="宋体" w:hAnsi="宋体" w:cs="宋体"/>
                <w:color w:val="auto"/>
                <w:sz w:val="24"/>
                <w:szCs w:val="24"/>
              </w:rPr>
              <w:t>支持查看下属食堂所有设备报警、预警记录（含数智物联场景风险）</w:t>
            </w:r>
          </w:p>
          <w:p w14:paraId="46107040">
            <w:pPr>
              <w:widowControl/>
              <w:numPr>
                <w:ilvl w:val="0"/>
                <w:numId w:val="30"/>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环境监管</w:t>
            </w:r>
          </w:p>
          <w:p w14:paraId="339CE86F">
            <w:pPr>
              <w:widowControl/>
              <w:jc w:val="left"/>
              <w:rPr>
                <w:rFonts w:ascii="宋体" w:hAnsi="宋体" w:cs="宋体"/>
                <w:color w:val="auto"/>
                <w:sz w:val="24"/>
                <w:szCs w:val="24"/>
              </w:rPr>
            </w:pPr>
            <w:r>
              <w:rPr>
                <w:rFonts w:hint="eastAsia" w:ascii="宋体" w:hAnsi="宋体" w:cs="宋体"/>
                <w:color w:val="auto"/>
                <w:sz w:val="24"/>
                <w:szCs w:val="24"/>
              </w:rPr>
              <w:t>支持查看下属食堂食材仓库温湿度情况－主食仓库、副食仓库</w:t>
            </w:r>
          </w:p>
          <w:p w14:paraId="14908522">
            <w:pPr>
              <w:widowControl/>
              <w:numPr>
                <w:ilvl w:val="0"/>
                <w:numId w:val="30"/>
              </w:numPr>
              <w:ind w:left="0" w:firstLine="0"/>
              <w:jc w:val="left"/>
              <w:rPr>
                <w:rFonts w:ascii="宋体" w:hAnsi="宋体" w:cs="宋体"/>
                <w:color w:val="auto"/>
                <w:kern w:val="0"/>
                <w:sz w:val="24"/>
                <w:szCs w:val="24"/>
                <w:lang w:bidi="ar"/>
              </w:rPr>
            </w:pPr>
            <w:r>
              <w:rPr>
                <w:rFonts w:ascii="宋体" w:hAnsi="宋体" w:cs="宋体"/>
                <w:color w:val="auto"/>
                <w:kern w:val="0"/>
                <w:sz w:val="24"/>
                <w:szCs w:val="24"/>
                <w:lang w:bidi="ar"/>
              </w:rPr>
              <w:t>AI智能点检</w:t>
            </w:r>
          </w:p>
          <w:p w14:paraId="1E35332F">
            <w:pPr>
              <w:widowControl/>
              <w:jc w:val="left"/>
              <w:rPr>
                <w:rFonts w:ascii="宋体" w:hAnsi="宋体" w:cs="宋体"/>
                <w:color w:val="auto"/>
                <w:sz w:val="24"/>
                <w:szCs w:val="24"/>
              </w:rPr>
            </w:pPr>
            <w:r>
              <w:rPr>
                <w:rFonts w:hint="eastAsia" w:ascii="宋体" w:hAnsi="宋体" w:cs="宋体"/>
                <w:color w:val="auto"/>
                <w:sz w:val="24"/>
                <w:szCs w:val="24"/>
              </w:rPr>
              <w:t>支持查看</w:t>
            </w:r>
            <w:r>
              <w:rPr>
                <w:rFonts w:ascii="宋体" w:hAnsi="宋体" w:cs="宋体"/>
                <w:color w:val="auto"/>
                <w:sz w:val="24"/>
                <w:szCs w:val="24"/>
              </w:rPr>
              <w:t>AI事件抓拍图片信息</w:t>
            </w:r>
          </w:p>
          <w:p w14:paraId="3B9F06C6">
            <w:pPr>
              <w:widowControl/>
              <w:numPr>
                <w:ilvl w:val="0"/>
                <w:numId w:val="30"/>
              </w:numPr>
              <w:ind w:left="0" w:firstLine="0"/>
              <w:jc w:val="left"/>
              <w:rPr>
                <w:rFonts w:ascii="宋体" w:hAnsi="宋体" w:cs="宋体"/>
                <w:color w:val="auto"/>
                <w:kern w:val="0"/>
                <w:sz w:val="24"/>
                <w:szCs w:val="24"/>
                <w:lang w:bidi="ar"/>
              </w:rPr>
            </w:pPr>
            <w:r>
              <w:rPr>
                <w:rFonts w:ascii="宋体" w:hAnsi="宋体" w:cs="宋体"/>
                <w:color w:val="auto"/>
                <w:kern w:val="0"/>
                <w:sz w:val="24"/>
                <w:szCs w:val="24"/>
                <w:lang w:bidi="ar"/>
              </w:rPr>
              <w:t>AI生物检测</w:t>
            </w:r>
          </w:p>
          <w:p w14:paraId="3C025D46">
            <w:pPr>
              <w:widowControl/>
              <w:jc w:val="left"/>
              <w:rPr>
                <w:rFonts w:ascii="宋体" w:hAnsi="宋体" w:cs="宋体"/>
                <w:color w:val="auto"/>
                <w:sz w:val="24"/>
                <w:szCs w:val="24"/>
              </w:rPr>
            </w:pPr>
            <w:r>
              <w:rPr>
                <w:rFonts w:hint="eastAsia" w:ascii="宋体" w:hAnsi="宋体" w:cs="宋体"/>
                <w:color w:val="auto"/>
                <w:sz w:val="24"/>
                <w:szCs w:val="24"/>
              </w:rPr>
              <w:t>支持查看下属食堂有害生物风险事件，以及处理记录</w:t>
            </w:r>
          </w:p>
          <w:p w14:paraId="112B5DAE">
            <w:pPr>
              <w:widowControl/>
              <w:numPr>
                <w:ilvl w:val="0"/>
                <w:numId w:val="28"/>
              </w:numPr>
              <w:ind w:left="0" w:firstLine="0"/>
              <w:jc w:val="left"/>
              <w:rPr>
                <w:rFonts w:ascii="宋体" w:hAnsi="宋体" w:cs="宋体"/>
                <w:color w:val="auto"/>
                <w:sz w:val="24"/>
                <w:szCs w:val="24"/>
              </w:rPr>
            </w:pPr>
            <w:r>
              <w:rPr>
                <w:rFonts w:hint="eastAsia" w:ascii="宋体" w:hAnsi="宋体" w:cs="宋体"/>
                <w:color w:val="auto"/>
                <w:sz w:val="24"/>
                <w:szCs w:val="24"/>
              </w:rPr>
              <w:t>可查询，导出食品添加剂、菜品留样、原料进货查验及索证、食材入库、食材检测、智能检测、浸泡记录、晨检记录、熟食加工、清洗消毒、环境消杀、紫外线消毒、垃圾处理、餐线温度控制和供应商送货检查记录信息。</w:t>
            </w:r>
          </w:p>
          <w:p w14:paraId="42627008">
            <w:pPr>
              <w:widowControl/>
              <w:numPr>
                <w:ilvl w:val="0"/>
                <w:numId w:val="28"/>
              </w:numPr>
              <w:ind w:left="0" w:firstLine="0"/>
              <w:jc w:val="left"/>
              <w:rPr>
                <w:rFonts w:ascii="宋体" w:hAnsi="宋体" w:cs="宋体"/>
                <w:color w:val="auto"/>
                <w:sz w:val="24"/>
                <w:szCs w:val="24"/>
              </w:rPr>
            </w:pPr>
            <w:r>
              <w:rPr>
                <w:rFonts w:hint="eastAsia" w:ascii="宋体" w:hAnsi="宋体" w:cs="宋体"/>
                <w:color w:val="auto"/>
                <w:sz w:val="24"/>
                <w:szCs w:val="24"/>
              </w:rPr>
              <w:t>可采集物联数据；可根据设定的阈值触发报警。</w:t>
            </w:r>
          </w:p>
          <w:p w14:paraId="30C41EFD">
            <w:pPr>
              <w:widowControl/>
              <w:numPr>
                <w:ilvl w:val="0"/>
                <w:numId w:val="28"/>
              </w:numPr>
              <w:ind w:left="0" w:firstLine="0"/>
              <w:jc w:val="left"/>
              <w:rPr>
                <w:rFonts w:ascii="宋体" w:hAnsi="宋体" w:cs="宋体"/>
                <w:color w:val="auto"/>
                <w:sz w:val="24"/>
                <w:szCs w:val="24"/>
              </w:rPr>
            </w:pPr>
            <w:r>
              <w:rPr>
                <w:rFonts w:hint="eastAsia" w:ascii="宋体" w:hAnsi="宋体" w:cs="宋体"/>
                <w:color w:val="auto"/>
                <w:sz w:val="24"/>
                <w:szCs w:val="24"/>
              </w:rPr>
              <w:t>可通过视频进行厨师工作服</w:t>
            </w:r>
            <w:r>
              <w:rPr>
                <w:rFonts w:ascii="宋体" w:hAnsi="宋体" w:cs="宋体"/>
                <w:color w:val="auto"/>
                <w:sz w:val="24"/>
                <w:szCs w:val="24"/>
              </w:rPr>
              <w:t>/工作帽识别、口罩检测、老鼠检测可发起行为报警；可设置报警处置流程；驾驶中心可通过语音对食堂现场进行喊话；可对风险进行前置提醒。</w:t>
            </w:r>
          </w:p>
          <w:p w14:paraId="61E13AF8">
            <w:pPr>
              <w:widowControl/>
              <w:numPr>
                <w:ilvl w:val="0"/>
                <w:numId w:val="28"/>
              </w:numPr>
              <w:ind w:left="0" w:firstLine="0"/>
              <w:jc w:val="left"/>
              <w:rPr>
                <w:rFonts w:ascii="宋体" w:hAnsi="宋体" w:cs="宋体"/>
                <w:color w:val="auto"/>
                <w:sz w:val="24"/>
                <w:szCs w:val="24"/>
              </w:rPr>
            </w:pPr>
            <w:r>
              <w:rPr>
                <w:rFonts w:hint="eastAsia" w:ascii="宋体" w:hAnsi="宋体" w:cs="宋体"/>
                <w:color w:val="auto"/>
                <w:sz w:val="24"/>
                <w:szCs w:val="24"/>
              </w:rPr>
              <w:t>可统计物联网设备上报的预警数据；可展示动火离人、挡鼠板、防潮网和备餐间的预警信息。</w:t>
            </w:r>
          </w:p>
          <w:p w14:paraId="1ECC10FA">
            <w:pPr>
              <w:widowControl/>
              <w:numPr>
                <w:ilvl w:val="0"/>
                <w:numId w:val="28"/>
              </w:numPr>
              <w:ind w:left="0" w:firstLine="0"/>
              <w:jc w:val="left"/>
              <w:rPr>
                <w:rFonts w:ascii="宋体" w:hAnsi="宋体" w:cs="宋体"/>
                <w:color w:val="auto"/>
                <w:sz w:val="24"/>
                <w:szCs w:val="24"/>
              </w:rPr>
            </w:pPr>
            <w:r>
              <w:rPr>
                <w:rFonts w:hint="eastAsia" w:ascii="宋体" w:hAnsi="宋体" w:cs="宋体"/>
                <w:color w:val="auto"/>
                <w:sz w:val="24"/>
                <w:szCs w:val="24"/>
              </w:rPr>
              <w:t>可查看备餐间消毒和餐饮具消毒信息；可查看消毒结果的达标情况和消毒时间数据信息。</w:t>
            </w:r>
          </w:p>
          <w:p w14:paraId="79E05306">
            <w:pPr>
              <w:widowControl/>
              <w:numPr>
                <w:ilvl w:val="0"/>
                <w:numId w:val="28"/>
              </w:numPr>
              <w:ind w:left="0" w:firstLine="0"/>
              <w:jc w:val="left"/>
              <w:rPr>
                <w:rFonts w:ascii="宋体" w:hAnsi="宋体" w:cs="宋体"/>
                <w:color w:val="auto"/>
                <w:sz w:val="24"/>
                <w:szCs w:val="24"/>
              </w:rPr>
            </w:pPr>
            <w:r>
              <w:rPr>
                <w:rFonts w:hint="eastAsia" w:ascii="宋体" w:hAnsi="宋体" w:cs="宋体"/>
                <w:color w:val="auto"/>
                <w:sz w:val="24"/>
                <w:szCs w:val="24"/>
              </w:rPr>
              <w:t>可查看农残检测的合格数据占比、检测总数和合格总数；可查看门店、样品名称、检测时间、合格情况信息。</w:t>
            </w:r>
          </w:p>
          <w:p w14:paraId="69E76125">
            <w:pPr>
              <w:widowControl/>
              <w:numPr>
                <w:ilvl w:val="0"/>
                <w:numId w:val="28"/>
              </w:numPr>
              <w:ind w:left="0" w:firstLine="0"/>
              <w:jc w:val="left"/>
              <w:rPr>
                <w:rFonts w:ascii="宋体" w:hAnsi="宋体" w:cs="宋体"/>
                <w:color w:val="auto"/>
                <w:sz w:val="24"/>
                <w:szCs w:val="24"/>
              </w:rPr>
            </w:pPr>
            <w:r>
              <w:rPr>
                <w:rFonts w:hint="eastAsia" w:ascii="宋体" w:hAnsi="宋体" w:cs="宋体"/>
                <w:color w:val="auto"/>
                <w:sz w:val="24"/>
                <w:szCs w:val="24"/>
              </w:rPr>
              <w:t>可查看门店和餐次的留样进度；可查看门店、餐次、样品的名称、时间和留样人信息。</w:t>
            </w:r>
          </w:p>
          <w:p w14:paraId="7B060C23">
            <w:pPr>
              <w:widowControl/>
              <w:jc w:val="left"/>
              <w:rPr>
                <w:color w:val="auto"/>
              </w:rPr>
            </w:pPr>
            <w:r>
              <w:rPr>
                <w:rFonts w:ascii="宋体" w:hAnsi="宋体" w:cs="宋体"/>
                <w:color w:val="auto"/>
                <w:sz w:val="24"/>
                <w:szCs w:val="24"/>
              </w:rPr>
              <w:t>10.可查看晨检人姓名、编号、所属门店和体温数据信息。</w:t>
            </w:r>
          </w:p>
        </w:tc>
        <w:tc>
          <w:tcPr>
            <w:tcW w:w="557" w:type="pct"/>
            <w:vAlign w:val="center"/>
          </w:tcPr>
          <w:p w14:paraId="0AEBF520">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494F08A7">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0B64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pct"/>
            <w:vAlign w:val="center"/>
          </w:tcPr>
          <w:p w14:paraId="1ECDD7EA">
            <w:pPr>
              <w:jc w:val="center"/>
              <w:rPr>
                <w:rFonts w:ascii="宋体" w:hAnsi="宋体" w:cs="宋体"/>
                <w:color w:val="auto"/>
                <w:sz w:val="24"/>
                <w:szCs w:val="24"/>
              </w:rPr>
            </w:pPr>
            <w:r>
              <w:rPr>
                <w:rFonts w:hint="eastAsia" w:ascii="宋体" w:hAnsi="宋体" w:cs="宋体"/>
                <w:color w:val="auto"/>
                <w:sz w:val="24"/>
                <w:szCs w:val="24"/>
              </w:rPr>
              <w:t>数字巡检</w:t>
            </w:r>
          </w:p>
          <w:p w14:paraId="7388121A">
            <w:pPr>
              <w:jc w:val="center"/>
              <w:rPr>
                <w:rFonts w:ascii="宋体" w:hAnsi="宋体" w:cs="宋体"/>
                <w:color w:val="auto"/>
                <w:kern w:val="0"/>
                <w:sz w:val="24"/>
                <w:szCs w:val="24"/>
                <w:lang w:bidi="ar"/>
              </w:rPr>
            </w:pPr>
          </w:p>
        </w:tc>
        <w:tc>
          <w:tcPr>
            <w:tcW w:w="3067" w:type="pct"/>
          </w:tcPr>
          <w:p w14:paraId="39DF9897">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巡检配置</w:t>
            </w:r>
          </w:p>
          <w:p w14:paraId="4E1446D0">
            <w:pPr>
              <w:widowControl/>
              <w:numPr>
                <w:ilvl w:val="0"/>
                <w:numId w:val="32"/>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检查表管理</w:t>
            </w:r>
          </w:p>
          <w:p w14:paraId="1B34FFB3">
            <w:pPr>
              <w:widowControl/>
              <w:jc w:val="left"/>
              <w:rPr>
                <w:rFonts w:ascii="宋体" w:hAnsi="宋体" w:cs="宋体"/>
                <w:color w:val="auto"/>
                <w:sz w:val="24"/>
                <w:szCs w:val="24"/>
              </w:rPr>
            </w:pPr>
            <w:r>
              <w:rPr>
                <w:rFonts w:hint="eastAsia" w:ascii="宋体" w:hAnsi="宋体" w:cs="宋体"/>
                <w:color w:val="auto"/>
                <w:sz w:val="24"/>
                <w:szCs w:val="24"/>
              </w:rPr>
              <w:t>支持维护巡检所需检查表信息，并可进行检查表的增删改导，同时可以对检查表进行检查项设定，可对检查表进行关联食堂、关联用户等操作，可对检查表状态进行启用和停用</w:t>
            </w:r>
          </w:p>
          <w:p w14:paraId="1F061D1B">
            <w:pPr>
              <w:widowControl/>
              <w:numPr>
                <w:ilvl w:val="0"/>
                <w:numId w:val="32"/>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任务管理</w:t>
            </w:r>
          </w:p>
          <w:p w14:paraId="4C84435E">
            <w:pPr>
              <w:widowControl/>
              <w:jc w:val="left"/>
              <w:rPr>
                <w:rFonts w:ascii="宋体" w:hAnsi="宋体" w:cs="宋体"/>
                <w:color w:val="auto"/>
                <w:sz w:val="24"/>
                <w:szCs w:val="24"/>
              </w:rPr>
            </w:pPr>
            <w:r>
              <w:rPr>
                <w:rFonts w:hint="eastAsia" w:ascii="宋体" w:hAnsi="宋体" w:cs="宋体"/>
                <w:color w:val="auto"/>
                <w:sz w:val="24"/>
                <w:szCs w:val="24"/>
              </w:rPr>
              <w:t>支持维护线下巡店任务及巡检员，并可进行巡检任务的新增，同时可以对巡检任务进行取消任务，点击查看详情可以查看巡检任务记录详情</w:t>
            </w:r>
          </w:p>
          <w:p w14:paraId="14640380">
            <w:pPr>
              <w:widowControl/>
              <w:numPr>
                <w:ilvl w:val="0"/>
                <w:numId w:val="32"/>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点位类型管理</w:t>
            </w:r>
          </w:p>
          <w:p w14:paraId="19C58F7B">
            <w:pPr>
              <w:widowControl/>
              <w:jc w:val="left"/>
              <w:rPr>
                <w:rFonts w:ascii="宋体" w:hAnsi="宋体" w:cs="宋体"/>
                <w:color w:val="auto"/>
                <w:sz w:val="24"/>
                <w:szCs w:val="24"/>
              </w:rPr>
            </w:pPr>
            <w:r>
              <w:rPr>
                <w:rFonts w:hint="eastAsia" w:ascii="宋体" w:hAnsi="宋体" w:cs="宋体"/>
                <w:color w:val="auto"/>
                <w:sz w:val="24"/>
                <w:szCs w:val="24"/>
              </w:rPr>
              <w:t>支持维护视频巡检所需，摄像头点位信息</w:t>
            </w:r>
          </w:p>
          <w:p w14:paraId="49120FD2">
            <w:pPr>
              <w:widowControl/>
              <w:numPr>
                <w:ilvl w:val="0"/>
                <w:numId w:val="32"/>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抽查类型管理</w:t>
            </w:r>
          </w:p>
          <w:p w14:paraId="5DA6D8F5">
            <w:pPr>
              <w:widowControl/>
              <w:jc w:val="left"/>
              <w:rPr>
                <w:rFonts w:ascii="宋体" w:hAnsi="宋体" w:cs="宋体"/>
                <w:color w:val="auto"/>
                <w:sz w:val="24"/>
                <w:szCs w:val="24"/>
              </w:rPr>
            </w:pPr>
            <w:r>
              <w:rPr>
                <w:rFonts w:hint="eastAsia" w:ascii="宋体" w:hAnsi="宋体" w:cs="宋体"/>
                <w:color w:val="auto"/>
                <w:sz w:val="24"/>
                <w:szCs w:val="24"/>
              </w:rPr>
              <w:t>支持维护随机抽查类型</w:t>
            </w:r>
          </w:p>
          <w:p w14:paraId="40F34677">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自检自清</w:t>
            </w:r>
          </w:p>
          <w:p w14:paraId="3C917EDB">
            <w:pPr>
              <w:widowControl/>
              <w:numPr>
                <w:ilvl w:val="0"/>
                <w:numId w:val="33"/>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日检模板</w:t>
            </w:r>
          </w:p>
          <w:p w14:paraId="3AC1AED2">
            <w:pPr>
              <w:widowControl/>
              <w:jc w:val="left"/>
              <w:rPr>
                <w:rFonts w:ascii="宋体" w:hAnsi="宋体" w:cs="宋体"/>
                <w:color w:val="auto"/>
                <w:sz w:val="24"/>
                <w:szCs w:val="24"/>
              </w:rPr>
            </w:pPr>
            <w:r>
              <w:rPr>
                <w:rFonts w:hint="eastAsia" w:ascii="宋体" w:hAnsi="宋体" w:cs="宋体"/>
                <w:color w:val="auto"/>
                <w:sz w:val="24"/>
                <w:szCs w:val="24"/>
              </w:rPr>
              <w:t>支持维护日检模板，并可进行日检模板的增删改，同时点击预览可以预览日检模版，点击权限设置可对日检模板进行编辑权限设置</w:t>
            </w:r>
          </w:p>
          <w:p w14:paraId="4B862411">
            <w:pPr>
              <w:widowControl/>
              <w:numPr>
                <w:ilvl w:val="0"/>
                <w:numId w:val="33"/>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日检规则</w:t>
            </w:r>
          </w:p>
          <w:p w14:paraId="28E765DB">
            <w:pPr>
              <w:widowControl/>
              <w:jc w:val="left"/>
              <w:rPr>
                <w:rFonts w:ascii="宋体" w:hAnsi="宋体" w:cs="宋体"/>
                <w:color w:val="auto"/>
                <w:sz w:val="24"/>
                <w:szCs w:val="24"/>
              </w:rPr>
            </w:pPr>
            <w:r>
              <w:rPr>
                <w:rFonts w:hint="eastAsia" w:ascii="宋体" w:hAnsi="宋体" w:cs="宋体"/>
                <w:color w:val="auto"/>
                <w:sz w:val="24"/>
                <w:szCs w:val="24"/>
              </w:rPr>
              <w:t>支持维护日检规则，并可进行日检模板的增删改，同时点击校验可校验日检规则，点击日检规则状态可以日检规则进行启用和停用</w:t>
            </w:r>
          </w:p>
          <w:p w14:paraId="6E1BEBA4">
            <w:pPr>
              <w:widowControl/>
              <w:numPr>
                <w:ilvl w:val="0"/>
                <w:numId w:val="33"/>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日志列表</w:t>
            </w:r>
          </w:p>
          <w:p w14:paraId="7AFF6882">
            <w:pPr>
              <w:widowControl/>
              <w:jc w:val="left"/>
              <w:rPr>
                <w:rFonts w:ascii="宋体" w:hAnsi="宋体" w:cs="宋体"/>
                <w:color w:val="auto"/>
                <w:sz w:val="24"/>
                <w:szCs w:val="24"/>
              </w:rPr>
            </w:pPr>
            <w:r>
              <w:rPr>
                <w:rFonts w:hint="eastAsia" w:ascii="宋体" w:hAnsi="宋体" w:cs="宋体"/>
                <w:color w:val="auto"/>
                <w:sz w:val="24"/>
                <w:szCs w:val="24"/>
              </w:rPr>
              <w:t>支持查看、审核所有日志列表记录、我需要看的日志和我需要审核的日志</w:t>
            </w:r>
          </w:p>
          <w:p w14:paraId="6A8EDDC3">
            <w:pPr>
              <w:widowControl/>
              <w:numPr>
                <w:ilvl w:val="0"/>
                <w:numId w:val="33"/>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日志统计</w:t>
            </w:r>
          </w:p>
          <w:p w14:paraId="303EF789">
            <w:pPr>
              <w:widowControl/>
              <w:jc w:val="left"/>
              <w:rPr>
                <w:rFonts w:ascii="宋体" w:hAnsi="宋体" w:cs="宋体"/>
                <w:color w:val="auto"/>
                <w:sz w:val="24"/>
                <w:szCs w:val="24"/>
              </w:rPr>
            </w:pPr>
            <w:r>
              <w:rPr>
                <w:rFonts w:hint="eastAsia" w:ascii="宋体" w:hAnsi="宋体" w:cs="宋体"/>
                <w:color w:val="auto"/>
                <w:sz w:val="24"/>
                <w:szCs w:val="24"/>
              </w:rPr>
              <w:t>支持查看所有日志的提交结果统计和审核结果统计，点击日志可查看日志提交统计的详情</w:t>
            </w:r>
          </w:p>
          <w:p w14:paraId="411839BB">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巡检考评</w:t>
            </w:r>
          </w:p>
          <w:p w14:paraId="54F83B85">
            <w:pPr>
              <w:widowControl/>
              <w:numPr>
                <w:ilvl w:val="0"/>
                <w:numId w:val="34"/>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整改审核</w:t>
            </w:r>
          </w:p>
          <w:p w14:paraId="455C855D">
            <w:pPr>
              <w:widowControl/>
              <w:numPr>
                <w:ilvl w:val="0"/>
                <w:numId w:val="35"/>
              </w:numPr>
              <w:ind w:firstLine="0"/>
              <w:jc w:val="left"/>
              <w:rPr>
                <w:rFonts w:ascii="宋体" w:hAnsi="宋体" w:cs="宋体"/>
                <w:color w:val="auto"/>
                <w:sz w:val="24"/>
                <w:szCs w:val="24"/>
              </w:rPr>
            </w:pPr>
            <w:r>
              <w:rPr>
                <w:rFonts w:hint="eastAsia" w:ascii="宋体" w:hAnsi="宋体" w:cs="宋体"/>
                <w:color w:val="auto"/>
                <w:sz w:val="24"/>
                <w:szCs w:val="24"/>
              </w:rPr>
              <w:t>展示该客户下的所有巡检整改审核记录，点击查看可查看巡店整改的详情记录</w:t>
            </w:r>
          </w:p>
          <w:p w14:paraId="31C735B6">
            <w:pPr>
              <w:widowControl/>
              <w:jc w:val="left"/>
              <w:rPr>
                <w:rFonts w:ascii="宋体" w:hAnsi="宋体" w:cs="宋体"/>
                <w:color w:val="auto"/>
                <w:sz w:val="24"/>
                <w:szCs w:val="24"/>
              </w:rPr>
            </w:pPr>
            <w:r>
              <w:rPr>
                <w:rFonts w:ascii="宋体" w:hAnsi="宋体" w:cs="宋体"/>
                <w:color w:val="auto"/>
                <w:sz w:val="24"/>
                <w:szCs w:val="24"/>
              </w:rPr>
              <w:t>a.督查巡检</w:t>
            </w:r>
          </w:p>
          <w:p w14:paraId="468EBD2A">
            <w:pPr>
              <w:widowControl/>
              <w:jc w:val="left"/>
              <w:rPr>
                <w:rFonts w:ascii="宋体" w:hAnsi="宋体" w:cs="宋体"/>
                <w:color w:val="auto"/>
                <w:sz w:val="24"/>
                <w:szCs w:val="24"/>
              </w:rPr>
            </w:pPr>
            <w:r>
              <w:rPr>
                <w:rFonts w:ascii="宋体" w:hAnsi="宋体" w:cs="宋体"/>
                <w:color w:val="auto"/>
                <w:sz w:val="24"/>
                <w:szCs w:val="24"/>
              </w:rPr>
              <w:t>b.</w:t>
            </w:r>
            <w:r>
              <w:rPr>
                <w:rFonts w:hint="eastAsia" w:ascii="宋体" w:hAnsi="宋体" w:cs="宋体"/>
                <w:color w:val="auto"/>
                <w:sz w:val="24"/>
                <w:szCs w:val="24"/>
              </w:rPr>
              <w:t>任务巡检</w:t>
            </w:r>
          </w:p>
          <w:p w14:paraId="51063B68">
            <w:pPr>
              <w:widowControl/>
              <w:jc w:val="left"/>
              <w:rPr>
                <w:rFonts w:ascii="宋体" w:hAnsi="宋体" w:cs="宋体"/>
                <w:color w:val="auto"/>
                <w:sz w:val="24"/>
                <w:szCs w:val="24"/>
              </w:rPr>
            </w:pPr>
            <w:r>
              <w:rPr>
                <w:rFonts w:ascii="宋体" w:hAnsi="宋体" w:cs="宋体"/>
                <w:color w:val="auto"/>
                <w:sz w:val="24"/>
                <w:szCs w:val="24"/>
              </w:rPr>
              <w:t>c.</w:t>
            </w:r>
            <w:r>
              <w:rPr>
                <w:rFonts w:hint="eastAsia" w:ascii="宋体" w:hAnsi="宋体" w:cs="宋体"/>
                <w:color w:val="auto"/>
                <w:sz w:val="24"/>
                <w:szCs w:val="24"/>
              </w:rPr>
              <w:t>视频巡检</w:t>
            </w:r>
          </w:p>
          <w:p w14:paraId="6B6E7C5E">
            <w:pPr>
              <w:widowControl/>
              <w:jc w:val="left"/>
              <w:rPr>
                <w:rFonts w:ascii="宋体" w:hAnsi="宋体" w:cs="宋体"/>
                <w:color w:val="auto"/>
                <w:sz w:val="24"/>
                <w:szCs w:val="24"/>
              </w:rPr>
            </w:pPr>
            <w:r>
              <w:rPr>
                <w:rFonts w:ascii="宋体" w:hAnsi="宋体" w:cs="宋体"/>
                <w:color w:val="auto"/>
                <w:sz w:val="24"/>
                <w:szCs w:val="24"/>
              </w:rPr>
              <w:t>d.日管控</w:t>
            </w:r>
          </w:p>
          <w:p w14:paraId="590FE458">
            <w:pPr>
              <w:widowControl/>
              <w:numPr>
                <w:ilvl w:val="0"/>
                <w:numId w:val="34"/>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线下巡检记录</w:t>
            </w:r>
          </w:p>
          <w:p w14:paraId="643F8A7F">
            <w:pPr>
              <w:widowControl/>
              <w:numPr>
                <w:ilvl w:val="0"/>
                <w:numId w:val="36"/>
              </w:numPr>
              <w:ind w:firstLine="0"/>
              <w:jc w:val="left"/>
              <w:rPr>
                <w:rFonts w:ascii="宋体" w:hAnsi="宋体" w:cs="宋体"/>
                <w:color w:val="auto"/>
                <w:sz w:val="24"/>
                <w:szCs w:val="24"/>
              </w:rPr>
            </w:pPr>
            <w:r>
              <w:rPr>
                <w:rFonts w:hint="eastAsia" w:ascii="宋体" w:hAnsi="宋体" w:cs="宋体"/>
                <w:color w:val="auto"/>
                <w:sz w:val="24"/>
                <w:szCs w:val="24"/>
              </w:rPr>
              <w:t>展示该客户下所有的线下巡检记录，点击查看可查看详情</w:t>
            </w:r>
          </w:p>
          <w:p w14:paraId="0C7BD570">
            <w:pPr>
              <w:widowControl/>
              <w:jc w:val="left"/>
              <w:rPr>
                <w:rFonts w:ascii="宋体" w:hAnsi="宋体" w:cs="宋体"/>
                <w:color w:val="auto"/>
                <w:sz w:val="24"/>
                <w:szCs w:val="24"/>
              </w:rPr>
            </w:pPr>
            <w:r>
              <w:rPr>
                <w:rFonts w:ascii="宋体" w:hAnsi="宋体" w:cs="宋体"/>
                <w:color w:val="auto"/>
                <w:sz w:val="24"/>
                <w:szCs w:val="24"/>
              </w:rPr>
              <w:t>a.任务巡检</w:t>
            </w:r>
          </w:p>
          <w:p w14:paraId="43A7454D">
            <w:pPr>
              <w:widowControl/>
              <w:jc w:val="left"/>
              <w:rPr>
                <w:rFonts w:ascii="宋体" w:hAnsi="宋体" w:cs="宋体"/>
                <w:color w:val="auto"/>
                <w:sz w:val="24"/>
                <w:szCs w:val="24"/>
              </w:rPr>
            </w:pPr>
            <w:r>
              <w:rPr>
                <w:rFonts w:ascii="宋体" w:hAnsi="宋体" w:cs="宋体"/>
                <w:color w:val="auto"/>
                <w:sz w:val="24"/>
                <w:szCs w:val="24"/>
              </w:rPr>
              <w:t>b.</w:t>
            </w:r>
            <w:r>
              <w:rPr>
                <w:rFonts w:hint="eastAsia" w:ascii="宋体" w:hAnsi="宋体" w:cs="宋体"/>
                <w:color w:val="auto"/>
                <w:sz w:val="24"/>
                <w:szCs w:val="24"/>
              </w:rPr>
              <w:t>督查巡检</w:t>
            </w:r>
          </w:p>
          <w:p w14:paraId="178A83AA">
            <w:pPr>
              <w:widowControl/>
              <w:jc w:val="left"/>
              <w:rPr>
                <w:color w:val="auto"/>
              </w:rPr>
            </w:pPr>
            <w:r>
              <w:rPr>
                <w:rFonts w:ascii="宋体" w:hAnsi="宋体" w:cs="宋体"/>
                <w:color w:val="auto"/>
                <w:sz w:val="24"/>
                <w:szCs w:val="24"/>
              </w:rPr>
              <w:t>c.</w:t>
            </w:r>
            <w:r>
              <w:rPr>
                <w:rFonts w:hint="eastAsia" w:ascii="宋体" w:hAnsi="宋体" w:cs="宋体"/>
                <w:color w:val="auto"/>
                <w:sz w:val="24"/>
                <w:szCs w:val="24"/>
              </w:rPr>
              <w:t>食堂自检</w:t>
            </w:r>
          </w:p>
          <w:p w14:paraId="6600AF24">
            <w:pPr>
              <w:widowControl/>
              <w:numPr>
                <w:ilvl w:val="0"/>
                <w:numId w:val="34"/>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视频巡检记录</w:t>
            </w:r>
          </w:p>
          <w:p w14:paraId="5206E195">
            <w:pPr>
              <w:widowControl/>
              <w:numPr>
                <w:ilvl w:val="0"/>
                <w:numId w:val="37"/>
              </w:numPr>
              <w:ind w:firstLine="0"/>
              <w:jc w:val="left"/>
              <w:rPr>
                <w:rFonts w:ascii="宋体" w:hAnsi="宋体" w:cs="宋体"/>
                <w:color w:val="auto"/>
                <w:sz w:val="24"/>
                <w:szCs w:val="24"/>
              </w:rPr>
            </w:pPr>
            <w:r>
              <w:rPr>
                <w:rFonts w:hint="eastAsia" w:ascii="宋体" w:hAnsi="宋体" w:cs="宋体"/>
                <w:color w:val="auto"/>
                <w:sz w:val="24"/>
                <w:szCs w:val="24"/>
              </w:rPr>
              <w:t>示该客户下的所有视频巡检记录，并可进行视频巡检记录的导出，同时点击可查看详情</w:t>
            </w:r>
          </w:p>
          <w:p w14:paraId="654EA75E">
            <w:pPr>
              <w:widowControl/>
              <w:jc w:val="left"/>
              <w:rPr>
                <w:rFonts w:ascii="宋体" w:hAnsi="宋体" w:cs="宋体"/>
                <w:color w:val="auto"/>
                <w:sz w:val="24"/>
                <w:szCs w:val="24"/>
              </w:rPr>
            </w:pPr>
            <w:r>
              <w:rPr>
                <w:rFonts w:ascii="宋体" w:hAnsi="宋体" w:cs="宋体"/>
                <w:color w:val="auto"/>
                <w:sz w:val="24"/>
                <w:szCs w:val="24"/>
              </w:rPr>
              <w:t>a.视频巡检</w:t>
            </w:r>
          </w:p>
          <w:p w14:paraId="035FEF61">
            <w:pPr>
              <w:widowControl/>
              <w:jc w:val="left"/>
              <w:rPr>
                <w:color w:val="auto"/>
              </w:rPr>
            </w:pPr>
            <w:r>
              <w:rPr>
                <w:rFonts w:ascii="宋体" w:hAnsi="宋体" w:cs="宋体"/>
                <w:color w:val="auto"/>
                <w:sz w:val="24"/>
                <w:szCs w:val="24"/>
              </w:rPr>
              <w:t>b.</w:t>
            </w:r>
            <w:r>
              <w:rPr>
                <w:rFonts w:hint="eastAsia" w:ascii="宋体" w:hAnsi="宋体" w:cs="宋体"/>
                <w:color w:val="auto"/>
                <w:sz w:val="24"/>
                <w:szCs w:val="24"/>
              </w:rPr>
              <w:t>视频抽检</w:t>
            </w:r>
          </w:p>
          <w:p w14:paraId="777C12D9">
            <w:pPr>
              <w:widowControl/>
              <w:numPr>
                <w:ilvl w:val="0"/>
                <w:numId w:val="34"/>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随机抽查记录</w:t>
            </w:r>
          </w:p>
          <w:p w14:paraId="6499C99C">
            <w:pPr>
              <w:widowControl/>
              <w:jc w:val="left"/>
              <w:rPr>
                <w:rFonts w:ascii="宋体" w:hAnsi="宋体" w:cs="宋体"/>
                <w:color w:val="auto"/>
                <w:sz w:val="24"/>
                <w:szCs w:val="24"/>
              </w:rPr>
            </w:pPr>
            <w:r>
              <w:rPr>
                <w:rFonts w:hint="eastAsia" w:ascii="宋体" w:hAnsi="宋体" w:cs="宋体"/>
                <w:color w:val="auto"/>
                <w:sz w:val="24"/>
                <w:szCs w:val="24"/>
              </w:rPr>
              <w:t>随机抽查记录：展示该客户下的所有随机抽查记录，并可进行随机抽查记录的导出，同时点击详情可以查看详细的随机抽查记录详情</w:t>
            </w:r>
          </w:p>
          <w:p w14:paraId="2FCD355B">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巡检分析</w:t>
            </w:r>
          </w:p>
          <w:p w14:paraId="434E6B43">
            <w:pPr>
              <w:widowControl/>
              <w:numPr>
                <w:ilvl w:val="0"/>
                <w:numId w:val="38"/>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巡检报表</w:t>
            </w:r>
          </w:p>
          <w:p w14:paraId="1ACBBBC3">
            <w:pPr>
              <w:widowControl/>
              <w:jc w:val="left"/>
              <w:rPr>
                <w:rFonts w:ascii="宋体" w:hAnsi="宋体" w:cs="宋体"/>
                <w:color w:val="auto"/>
                <w:sz w:val="24"/>
                <w:szCs w:val="24"/>
              </w:rPr>
            </w:pPr>
            <w:r>
              <w:rPr>
                <w:rFonts w:hint="eastAsia" w:ascii="宋体" w:hAnsi="宋体" w:cs="宋体"/>
                <w:color w:val="auto"/>
                <w:sz w:val="24"/>
                <w:szCs w:val="24"/>
              </w:rPr>
              <w:t>可根据选择的巡检类型、巡检日期、食堂、检查表导出巡检报表，导出之后再下载列表点击详情进行查看</w:t>
            </w:r>
          </w:p>
          <w:p w14:paraId="0A4B262B">
            <w:pPr>
              <w:widowControl/>
              <w:numPr>
                <w:ilvl w:val="0"/>
                <w:numId w:val="38"/>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考评分数排名</w:t>
            </w:r>
          </w:p>
          <w:p w14:paraId="7F6BD6C5">
            <w:pPr>
              <w:widowControl/>
              <w:jc w:val="left"/>
              <w:rPr>
                <w:rFonts w:ascii="宋体" w:hAnsi="宋体" w:cs="宋体"/>
                <w:color w:val="auto"/>
                <w:sz w:val="24"/>
                <w:szCs w:val="24"/>
              </w:rPr>
            </w:pPr>
            <w:r>
              <w:rPr>
                <w:rFonts w:hint="eastAsia" w:ascii="宋体" w:hAnsi="宋体" w:cs="宋体"/>
                <w:color w:val="auto"/>
                <w:sz w:val="24"/>
                <w:szCs w:val="24"/>
              </w:rPr>
              <w:t>支持查看督查巡检、食堂自检、任务巡检的考评分数记录，点击导出可导出考评分数记录</w:t>
            </w:r>
          </w:p>
          <w:p w14:paraId="16D38007">
            <w:pPr>
              <w:widowControl/>
              <w:numPr>
                <w:ilvl w:val="0"/>
                <w:numId w:val="38"/>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巡查问题分析</w:t>
            </w:r>
          </w:p>
          <w:p w14:paraId="31E9B609">
            <w:pPr>
              <w:widowControl/>
              <w:jc w:val="left"/>
              <w:rPr>
                <w:rFonts w:ascii="宋体" w:hAnsi="宋体" w:cs="宋体"/>
                <w:color w:val="auto"/>
                <w:sz w:val="24"/>
                <w:szCs w:val="24"/>
              </w:rPr>
            </w:pPr>
            <w:r>
              <w:rPr>
                <w:rFonts w:hint="eastAsia" w:ascii="宋体" w:hAnsi="宋体" w:cs="宋体"/>
                <w:color w:val="auto"/>
                <w:sz w:val="24"/>
                <w:szCs w:val="24"/>
              </w:rPr>
              <w:t>支持查看检查项统计、检查项分类统计、检查表统计的所有巡检问题记录，点击导出可导出巡检问题分析记录</w:t>
            </w:r>
          </w:p>
          <w:p w14:paraId="693F5BFF">
            <w:pPr>
              <w:widowControl/>
              <w:numPr>
                <w:ilvl w:val="0"/>
                <w:numId w:val="38"/>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整改统计</w:t>
            </w:r>
          </w:p>
          <w:p w14:paraId="3F4C77F4">
            <w:pPr>
              <w:widowControl/>
              <w:jc w:val="left"/>
              <w:rPr>
                <w:rFonts w:ascii="宋体" w:hAnsi="宋体" w:cs="宋体"/>
                <w:color w:val="auto"/>
                <w:sz w:val="24"/>
                <w:szCs w:val="24"/>
              </w:rPr>
            </w:pPr>
            <w:r>
              <w:rPr>
                <w:rFonts w:hint="eastAsia" w:ascii="宋体" w:hAnsi="宋体" w:cs="宋体"/>
                <w:color w:val="auto"/>
                <w:sz w:val="24"/>
                <w:szCs w:val="24"/>
              </w:rPr>
              <w:t>支持查看下属食堂全部整改统计，点击导出可导出整改统计的记录</w:t>
            </w:r>
          </w:p>
          <w:p w14:paraId="4E0F6ABB">
            <w:pPr>
              <w:widowControl/>
              <w:numPr>
                <w:ilvl w:val="0"/>
                <w:numId w:val="38"/>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考勤统计</w:t>
            </w:r>
          </w:p>
          <w:p w14:paraId="4BCBB588">
            <w:pPr>
              <w:widowControl/>
              <w:jc w:val="left"/>
              <w:rPr>
                <w:rFonts w:ascii="宋体" w:hAnsi="宋体" w:cs="宋体"/>
                <w:color w:val="auto"/>
                <w:sz w:val="24"/>
                <w:szCs w:val="24"/>
              </w:rPr>
            </w:pPr>
            <w:r>
              <w:rPr>
                <w:rFonts w:hint="eastAsia" w:ascii="宋体" w:hAnsi="宋体" w:cs="宋体"/>
                <w:color w:val="auto"/>
                <w:sz w:val="24"/>
                <w:szCs w:val="24"/>
              </w:rPr>
              <w:t>支持查看巡检、自检全部考勤统计，点击查看详情可查看巡查考勤情况详情</w:t>
            </w:r>
          </w:p>
          <w:p w14:paraId="38B496DC">
            <w:pPr>
              <w:widowControl/>
              <w:numPr>
                <w:ilvl w:val="0"/>
                <w:numId w:val="38"/>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统计报表</w:t>
            </w:r>
          </w:p>
          <w:p w14:paraId="450B44E6">
            <w:pPr>
              <w:widowControl/>
              <w:jc w:val="left"/>
              <w:rPr>
                <w:rFonts w:ascii="宋体" w:hAnsi="宋体" w:cs="宋体"/>
                <w:color w:val="auto"/>
                <w:sz w:val="24"/>
                <w:szCs w:val="24"/>
              </w:rPr>
            </w:pPr>
            <w:r>
              <w:rPr>
                <w:rFonts w:hint="eastAsia" w:ascii="宋体" w:hAnsi="宋体" w:cs="宋体"/>
                <w:color w:val="auto"/>
                <w:sz w:val="24"/>
                <w:szCs w:val="24"/>
              </w:rPr>
              <w:t>可进行巡检数据统计、全国可视化情况表、全国巡检率的数据导出</w:t>
            </w:r>
          </w:p>
          <w:p w14:paraId="548CB9B3">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视频巡查</w:t>
            </w:r>
          </w:p>
          <w:p w14:paraId="78BB3ACC">
            <w:pPr>
              <w:widowControl/>
              <w:numPr>
                <w:ilvl w:val="0"/>
                <w:numId w:val="39"/>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视频查看</w:t>
            </w:r>
          </w:p>
          <w:p w14:paraId="3D71FFC4">
            <w:pPr>
              <w:widowControl/>
              <w:jc w:val="left"/>
              <w:rPr>
                <w:rFonts w:ascii="宋体" w:hAnsi="宋体" w:cs="宋体"/>
                <w:color w:val="auto"/>
                <w:sz w:val="24"/>
                <w:szCs w:val="24"/>
              </w:rPr>
            </w:pPr>
            <w:r>
              <w:rPr>
                <w:rFonts w:hint="eastAsia" w:ascii="宋体" w:hAnsi="宋体" w:cs="宋体"/>
                <w:color w:val="auto"/>
                <w:sz w:val="24"/>
                <w:szCs w:val="24"/>
              </w:rPr>
              <w:t>支持选择门店，查看监控视频</w:t>
            </w:r>
          </w:p>
          <w:p w14:paraId="6FC82C6D">
            <w:pPr>
              <w:widowControl/>
              <w:numPr>
                <w:ilvl w:val="0"/>
                <w:numId w:val="39"/>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视频巡检</w:t>
            </w:r>
          </w:p>
          <w:p w14:paraId="3556A56A">
            <w:pPr>
              <w:widowControl/>
              <w:jc w:val="left"/>
              <w:rPr>
                <w:rFonts w:ascii="宋体" w:hAnsi="宋体" w:cs="宋体"/>
                <w:color w:val="auto"/>
                <w:sz w:val="24"/>
                <w:szCs w:val="24"/>
              </w:rPr>
            </w:pPr>
            <w:r>
              <w:rPr>
                <w:rFonts w:hint="eastAsia" w:ascii="宋体" w:hAnsi="宋体" w:cs="宋体"/>
                <w:color w:val="auto"/>
                <w:sz w:val="24"/>
                <w:szCs w:val="24"/>
              </w:rPr>
              <w:t>支持选择门店，进行视频巡检</w:t>
            </w:r>
          </w:p>
          <w:p w14:paraId="00030AFD">
            <w:pPr>
              <w:widowControl/>
              <w:numPr>
                <w:ilvl w:val="0"/>
                <w:numId w:val="39"/>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视频抽检</w:t>
            </w:r>
          </w:p>
          <w:p w14:paraId="41992118">
            <w:pPr>
              <w:widowControl/>
              <w:jc w:val="left"/>
              <w:rPr>
                <w:rFonts w:ascii="宋体" w:hAnsi="宋体" w:cs="宋体"/>
                <w:color w:val="auto"/>
                <w:sz w:val="24"/>
                <w:szCs w:val="24"/>
              </w:rPr>
            </w:pPr>
            <w:r>
              <w:rPr>
                <w:rFonts w:hint="eastAsia" w:ascii="宋体" w:hAnsi="宋体" w:cs="宋体"/>
                <w:color w:val="auto"/>
                <w:sz w:val="24"/>
                <w:szCs w:val="24"/>
              </w:rPr>
              <w:t>支持选择门店，进行视频抽检</w:t>
            </w:r>
          </w:p>
          <w:p w14:paraId="44A2141F">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处理意见</w:t>
            </w:r>
          </w:p>
          <w:p w14:paraId="7DB4F6C1">
            <w:pPr>
              <w:widowControl/>
              <w:numPr>
                <w:ilvl w:val="0"/>
                <w:numId w:val="40"/>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处理记录</w:t>
            </w:r>
          </w:p>
          <w:p w14:paraId="36936574">
            <w:pPr>
              <w:widowControl/>
              <w:jc w:val="left"/>
              <w:rPr>
                <w:rFonts w:ascii="宋体" w:hAnsi="宋体" w:cs="宋体"/>
                <w:color w:val="auto"/>
                <w:sz w:val="24"/>
                <w:szCs w:val="24"/>
              </w:rPr>
            </w:pPr>
            <w:r>
              <w:rPr>
                <w:rFonts w:hint="eastAsia" w:ascii="宋体" w:hAnsi="宋体" w:cs="宋体"/>
                <w:color w:val="auto"/>
                <w:sz w:val="24"/>
                <w:szCs w:val="24"/>
              </w:rPr>
              <w:t>支持查看下属食堂巡检罚单详情</w:t>
            </w:r>
          </w:p>
          <w:p w14:paraId="287C501F">
            <w:pPr>
              <w:widowControl/>
              <w:numPr>
                <w:ilvl w:val="0"/>
                <w:numId w:val="40"/>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处理类型管理</w:t>
            </w:r>
          </w:p>
          <w:p w14:paraId="7402611F">
            <w:pPr>
              <w:widowControl/>
              <w:jc w:val="left"/>
              <w:rPr>
                <w:rFonts w:ascii="宋体" w:hAnsi="宋体" w:cs="宋体"/>
                <w:color w:val="auto"/>
                <w:sz w:val="24"/>
                <w:szCs w:val="24"/>
              </w:rPr>
            </w:pPr>
            <w:r>
              <w:rPr>
                <w:rFonts w:hint="eastAsia" w:ascii="宋体" w:hAnsi="宋体" w:cs="宋体"/>
                <w:color w:val="auto"/>
                <w:sz w:val="24"/>
                <w:szCs w:val="24"/>
              </w:rPr>
              <w:t>支持维护罚单类型，并可进行罚单类型的增删改等操作</w:t>
            </w:r>
          </w:p>
          <w:p w14:paraId="6969F9F0">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可对门店检查的问题进行整改；可导出巡检记录信息；可筛选巡检表类型信息；可新增检查表信息；可新增门店巡检记录信息；可关联门店的检查表信息；可查看巡检视频；可查看视频巡检记录信息。</w:t>
            </w:r>
          </w:p>
          <w:p w14:paraId="72AB0941">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可对预警、报警、现场抽查中发现的问题进行整改和给予处罚；可对实施过程、工作进度进行查询和管控。</w:t>
            </w:r>
          </w:p>
          <w:p w14:paraId="11FFBDF3">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可设置门店自检表；可设置表格内容、必填项和问题的红、黄、蓝标注；可对自检提交结果进行统计；可展示自检表下的数据统计结果；可对自检结果进行审核。</w:t>
            </w:r>
          </w:p>
          <w:p w14:paraId="1FF7D4A4">
            <w:pPr>
              <w:widowControl/>
              <w:numPr>
                <w:ilvl w:val="0"/>
                <w:numId w:val="31"/>
              </w:numPr>
              <w:ind w:left="0" w:firstLine="0"/>
              <w:jc w:val="left"/>
              <w:rPr>
                <w:rFonts w:ascii="宋体" w:hAnsi="宋体" w:cs="宋体"/>
                <w:color w:val="auto"/>
                <w:sz w:val="24"/>
                <w:szCs w:val="24"/>
              </w:rPr>
            </w:pPr>
            <w:r>
              <w:rPr>
                <w:rFonts w:hint="eastAsia" w:ascii="宋体" w:hAnsi="宋体" w:cs="宋体"/>
                <w:color w:val="auto"/>
                <w:sz w:val="24"/>
                <w:szCs w:val="24"/>
              </w:rPr>
              <w:t>可通过视频画面对门店现场情况进行考核评分；可抓拍问题图片；视频巡检检查表的检查项目可按视频区域进行切换；可切换不同区域的检查项；可提交视频检查表；可生成视频巡检记录。</w:t>
            </w:r>
          </w:p>
          <w:p w14:paraId="379FE8BA">
            <w:pPr>
              <w:widowControl/>
              <w:jc w:val="left"/>
              <w:rPr>
                <w:color w:val="auto"/>
              </w:rPr>
            </w:pPr>
            <w:r>
              <w:rPr>
                <w:rFonts w:ascii="宋体" w:hAnsi="宋体" w:cs="宋体"/>
                <w:color w:val="auto"/>
                <w:sz w:val="24"/>
                <w:szCs w:val="24"/>
              </w:rPr>
              <w:t>11.可设置任务模式下的独立检查表；可查询任务完成情况；可对任务进行派发可根据人员派发任务巡检。</w:t>
            </w:r>
          </w:p>
        </w:tc>
        <w:tc>
          <w:tcPr>
            <w:tcW w:w="557" w:type="pct"/>
            <w:vAlign w:val="center"/>
          </w:tcPr>
          <w:p w14:paraId="572C7490">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361F9A81">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5697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pct"/>
            <w:vAlign w:val="center"/>
          </w:tcPr>
          <w:p w14:paraId="51CFE794">
            <w:pPr>
              <w:jc w:val="center"/>
              <w:rPr>
                <w:rFonts w:ascii="宋体" w:hAnsi="宋体" w:cs="宋体"/>
                <w:color w:val="auto"/>
                <w:sz w:val="24"/>
                <w:szCs w:val="24"/>
              </w:rPr>
            </w:pPr>
            <w:r>
              <w:rPr>
                <w:rFonts w:hint="eastAsia" w:ascii="宋体" w:hAnsi="宋体" w:cs="宋体"/>
                <w:color w:val="auto"/>
                <w:sz w:val="24"/>
                <w:szCs w:val="24"/>
              </w:rPr>
              <w:t>后勤服务监管</w:t>
            </w:r>
          </w:p>
          <w:p w14:paraId="322873B8">
            <w:pPr>
              <w:jc w:val="center"/>
              <w:rPr>
                <w:rFonts w:ascii="宋体" w:hAnsi="宋体" w:cs="宋体"/>
                <w:color w:val="auto"/>
                <w:kern w:val="0"/>
                <w:sz w:val="24"/>
                <w:szCs w:val="24"/>
                <w:lang w:bidi="ar"/>
              </w:rPr>
            </w:pPr>
          </w:p>
        </w:tc>
        <w:tc>
          <w:tcPr>
            <w:tcW w:w="3067" w:type="pct"/>
          </w:tcPr>
          <w:p w14:paraId="24097CD6">
            <w:pPr>
              <w:widowControl/>
              <w:numPr>
                <w:ilvl w:val="0"/>
                <w:numId w:val="41"/>
              </w:numPr>
              <w:ind w:left="0" w:firstLine="0"/>
              <w:jc w:val="left"/>
              <w:rPr>
                <w:rFonts w:ascii="宋体" w:hAnsi="宋体" w:cs="宋体"/>
                <w:color w:val="auto"/>
                <w:sz w:val="24"/>
                <w:szCs w:val="24"/>
              </w:rPr>
            </w:pPr>
            <w:r>
              <w:rPr>
                <w:rFonts w:hint="eastAsia" w:ascii="宋体" w:hAnsi="宋体" w:cs="宋体"/>
                <w:color w:val="auto"/>
                <w:sz w:val="24"/>
                <w:szCs w:val="24"/>
              </w:rPr>
              <w:t>菜单菜价管控</w:t>
            </w:r>
          </w:p>
          <w:p w14:paraId="600336FD">
            <w:pPr>
              <w:widowControl/>
              <w:numPr>
                <w:ilvl w:val="0"/>
                <w:numId w:val="42"/>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菜价审核</w:t>
            </w:r>
          </w:p>
          <w:p w14:paraId="19C0BD47">
            <w:pPr>
              <w:widowControl/>
              <w:jc w:val="left"/>
              <w:rPr>
                <w:color w:val="auto"/>
              </w:rPr>
            </w:pPr>
            <w:r>
              <w:rPr>
                <w:rFonts w:hint="eastAsia" w:ascii="宋体" w:hAnsi="宋体" w:cs="宋体"/>
                <w:color w:val="auto"/>
                <w:sz w:val="24"/>
                <w:szCs w:val="24"/>
              </w:rPr>
              <w:t>可审核食堂提报的菜价信息</w:t>
            </w:r>
          </w:p>
          <w:p w14:paraId="4A996485">
            <w:pPr>
              <w:widowControl/>
              <w:numPr>
                <w:ilvl w:val="0"/>
                <w:numId w:val="42"/>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实时菜价</w:t>
            </w:r>
          </w:p>
          <w:p w14:paraId="0AF060F0">
            <w:pPr>
              <w:widowControl/>
              <w:jc w:val="left"/>
              <w:rPr>
                <w:rFonts w:ascii="宋体" w:hAnsi="宋体" w:cs="宋体"/>
                <w:color w:val="auto"/>
                <w:sz w:val="24"/>
                <w:szCs w:val="24"/>
              </w:rPr>
            </w:pPr>
            <w:r>
              <w:rPr>
                <w:rFonts w:hint="eastAsia" w:ascii="宋体" w:hAnsi="宋体" w:cs="宋体"/>
                <w:color w:val="auto"/>
                <w:sz w:val="24"/>
                <w:szCs w:val="24"/>
              </w:rPr>
              <w:t>可查看食堂所有菜品的提报记录情况</w:t>
            </w:r>
          </w:p>
          <w:p w14:paraId="1BCB5615">
            <w:pPr>
              <w:widowControl/>
              <w:numPr>
                <w:ilvl w:val="0"/>
                <w:numId w:val="41"/>
              </w:numPr>
              <w:ind w:left="0" w:firstLine="0"/>
              <w:jc w:val="left"/>
              <w:rPr>
                <w:rFonts w:ascii="宋体" w:hAnsi="宋体" w:cs="宋体"/>
                <w:color w:val="auto"/>
                <w:sz w:val="24"/>
                <w:szCs w:val="24"/>
              </w:rPr>
            </w:pPr>
            <w:r>
              <w:rPr>
                <w:rFonts w:hint="eastAsia" w:ascii="宋体" w:hAnsi="宋体" w:cs="宋体"/>
                <w:color w:val="auto"/>
                <w:sz w:val="24"/>
                <w:szCs w:val="24"/>
              </w:rPr>
              <w:t>服务管理</w:t>
            </w:r>
          </w:p>
          <w:p w14:paraId="535CB018">
            <w:pPr>
              <w:widowControl/>
              <w:numPr>
                <w:ilvl w:val="0"/>
                <w:numId w:val="43"/>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问题反馈与建议</w:t>
            </w:r>
          </w:p>
          <w:p w14:paraId="487AA5CB">
            <w:pPr>
              <w:widowControl/>
              <w:numPr>
                <w:ilvl w:val="0"/>
                <w:numId w:val="44"/>
              </w:numPr>
              <w:ind w:firstLine="0"/>
              <w:jc w:val="left"/>
              <w:rPr>
                <w:rFonts w:ascii="宋体" w:hAnsi="宋体" w:cs="宋体"/>
                <w:color w:val="auto"/>
                <w:sz w:val="24"/>
                <w:szCs w:val="24"/>
              </w:rPr>
            </w:pPr>
            <w:r>
              <w:rPr>
                <w:rFonts w:hint="eastAsia" w:ascii="宋体" w:hAnsi="宋体" w:cs="宋体"/>
                <w:color w:val="auto"/>
                <w:sz w:val="24"/>
                <w:szCs w:val="24"/>
              </w:rPr>
              <w:t>可查看用餐人员反馈的意见或留言记录</w:t>
            </w:r>
          </w:p>
          <w:p w14:paraId="24450DAA">
            <w:pPr>
              <w:widowControl/>
              <w:numPr>
                <w:ilvl w:val="0"/>
                <w:numId w:val="44"/>
              </w:numPr>
              <w:ind w:firstLine="0"/>
              <w:jc w:val="left"/>
              <w:rPr>
                <w:color w:val="auto"/>
              </w:rPr>
            </w:pPr>
            <w:r>
              <w:rPr>
                <w:rFonts w:hint="eastAsia" w:ascii="宋体" w:hAnsi="宋体" w:cs="宋体"/>
                <w:color w:val="auto"/>
                <w:sz w:val="24"/>
                <w:szCs w:val="24"/>
              </w:rPr>
              <w:t>可回复用餐人员反馈的消息或留言</w:t>
            </w:r>
          </w:p>
          <w:p w14:paraId="6D7D8EB2">
            <w:pPr>
              <w:widowControl/>
              <w:numPr>
                <w:ilvl w:val="0"/>
                <w:numId w:val="43"/>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服务配置</w:t>
            </w:r>
          </w:p>
          <w:p w14:paraId="721A8372">
            <w:pPr>
              <w:widowControl/>
              <w:numPr>
                <w:ilvl w:val="0"/>
                <w:numId w:val="45"/>
              </w:numPr>
              <w:ind w:firstLine="0"/>
              <w:jc w:val="left"/>
              <w:rPr>
                <w:rFonts w:ascii="宋体" w:hAnsi="宋体" w:cs="宋体"/>
                <w:color w:val="auto"/>
                <w:sz w:val="24"/>
                <w:szCs w:val="24"/>
              </w:rPr>
            </w:pPr>
            <w:r>
              <w:rPr>
                <w:rFonts w:hint="eastAsia" w:ascii="宋体" w:hAnsi="宋体" w:cs="宋体"/>
                <w:color w:val="auto"/>
                <w:sz w:val="24"/>
                <w:szCs w:val="24"/>
              </w:rPr>
              <w:t>支持设置下属食堂使用用餐反馈功能的规则</w:t>
            </w:r>
          </w:p>
          <w:p w14:paraId="0AC2B275">
            <w:pPr>
              <w:widowControl/>
              <w:jc w:val="left"/>
              <w:rPr>
                <w:rFonts w:ascii="宋体" w:hAnsi="宋体" w:cs="宋体"/>
                <w:color w:val="auto"/>
                <w:sz w:val="24"/>
                <w:szCs w:val="24"/>
              </w:rPr>
            </w:pPr>
            <w:r>
              <w:rPr>
                <w:rFonts w:ascii="宋体" w:hAnsi="宋体" w:cs="宋体"/>
                <w:color w:val="auto"/>
                <w:sz w:val="24"/>
                <w:szCs w:val="24"/>
              </w:rPr>
              <w:t>a.同步设置：支持开启配置功能，由学校统一定义就餐问题处理功能规则</w:t>
            </w:r>
          </w:p>
          <w:p w14:paraId="636B1F2C">
            <w:pPr>
              <w:widowControl/>
              <w:jc w:val="left"/>
              <w:rPr>
                <w:rFonts w:ascii="宋体" w:hAnsi="宋体" w:cs="宋体"/>
                <w:color w:val="auto"/>
                <w:sz w:val="24"/>
                <w:szCs w:val="24"/>
              </w:rPr>
            </w:pPr>
            <w:r>
              <w:rPr>
                <w:rFonts w:ascii="宋体" w:hAnsi="宋体" w:cs="宋体"/>
                <w:color w:val="auto"/>
                <w:sz w:val="24"/>
                <w:szCs w:val="24"/>
              </w:rPr>
              <w:t>b.反馈类型：支持配置就餐问题反馈的问题类型</w:t>
            </w:r>
          </w:p>
          <w:p w14:paraId="25336C51">
            <w:pPr>
              <w:widowControl/>
              <w:jc w:val="left"/>
              <w:rPr>
                <w:rFonts w:ascii="宋体" w:hAnsi="宋体" w:cs="宋体"/>
                <w:color w:val="auto"/>
                <w:sz w:val="24"/>
                <w:szCs w:val="24"/>
              </w:rPr>
            </w:pPr>
            <w:r>
              <w:rPr>
                <w:rFonts w:ascii="宋体" w:hAnsi="宋体" w:cs="宋体"/>
                <w:color w:val="auto"/>
                <w:sz w:val="24"/>
                <w:szCs w:val="24"/>
              </w:rPr>
              <w:t>c.</w:t>
            </w:r>
            <w:r>
              <w:rPr>
                <w:rFonts w:hint="eastAsia" w:ascii="宋体" w:hAnsi="宋体" w:cs="宋体"/>
                <w:color w:val="auto"/>
                <w:sz w:val="24"/>
                <w:szCs w:val="24"/>
              </w:rPr>
              <w:t>反馈设置：支持配置就餐问题反馈提交内容</w:t>
            </w:r>
          </w:p>
          <w:p w14:paraId="3A8C6412">
            <w:pPr>
              <w:widowControl/>
              <w:jc w:val="left"/>
              <w:rPr>
                <w:rFonts w:ascii="宋体" w:hAnsi="宋体" w:cs="宋体"/>
                <w:color w:val="auto"/>
                <w:sz w:val="24"/>
                <w:szCs w:val="24"/>
              </w:rPr>
            </w:pPr>
            <w:r>
              <w:rPr>
                <w:rFonts w:ascii="宋体" w:hAnsi="宋体" w:cs="宋体"/>
                <w:color w:val="auto"/>
                <w:sz w:val="24"/>
                <w:szCs w:val="24"/>
              </w:rPr>
              <w:t>d.</w:t>
            </w:r>
            <w:r>
              <w:rPr>
                <w:rFonts w:hint="eastAsia" w:ascii="宋体" w:hAnsi="宋体" w:cs="宋体"/>
                <w:color w:val="auto"/>
                <w:sz w:val="24"/>
                <w:szCs w:val="24"/>
              </w:rPr>
              <w:t>效率监管：支持配置就餐问题处理期限、超时预警要求</w:t>
            </w:r>
          </w:p>
          <w:p w14:paraId="15ED3B44">
            <w:pPr>
              <w:widowControl/>
              <w:jc w:val="left"/>
              <w:rPr>
                <w:color w:val="auto"/>
              </w:rPr>
            </w:pPr>
            <w:r>
              <w:rPr>
                <w:rFonts w:ascii="宋体" w:hAnsi="宋体" w:cs="宋体"/>
                <w:color w:val="auto"/>
                <w:sz w:val="24"/>
                <w:szCs w:val="24"/>
              </w:rPr>
              <w:t>e.</w:t>
            </w:r>
            <w:r>
              <w:rPr>
                <w:rFonts w:hint="eastAsia" w:ascii="宋体" w:hAnsi="宋体" w:cs="宋体"/>
                <w:color w:val="auto"/>
                <w:sz w:val="24"/>
                <w:szCs w:val="24"/>
              </w:rPr>
              <w:t>审核设置：支持开启就餐问题处理审核机制</w:t>
            </w:r>
          </w:p>
          <w:p w14:paraId="6D222416">
            <w:pPr>
              <w:widowControl/>
              <w:numPr>
                <w:ilvl w:val="0"/>
                <w:numId w:val="43"/>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反馈超时风险</w:t>
            </w:r>
          </w:p>
          <w:p w14:paraId="55902835">
            <w:pPr>
              <w:widowControl/>
              <w:jc w:val="left"/>
              <w:rPr>
                <w:rFonts w:ascii="宋体" w:hAnsi="宋体" w:cs="宋体"/>
                <w:color w:val="auto"/>
                <w:sz w:val="24"/>
                <w:szCs w:val="24"/>
              </w:rPr>
            </w:pPr>
            <w:r>
              <w:rPr>
                <w:rFonts w:hint="eastAsia" w:ascii="宋体" w:hAnsi="宋体" w:cs="宋体"/>
                <w:color w:val="auto"/>
                <w:sz w:val="24"/>
                <w:szCs w:val="24"/>
              </w:rPr>
              <w:t>可查看所有反馈消息处理超时的记录</w:t>
            </w:r>
          </w:p>
          <w:p w14:paraId="2E57CBB2">
            <w:pPr>
              <w:widowControl/>
              <w:numPr>
                <w:ilvl w:val="0"/>
                <w:numId w:val="41"/>
              </w:numPr>
              <w:ind w:left="0" w:firstLine="0"/>
              <w:jc w:val="left"/>
              <w:rPr>
                <w:rFonts w:ascii="宋体" w:hAnsi="宋体" w:cs="宋体"/>
                <w:color w:val="auto"/>
                <w:sz w:val="24"/>
                <w:szCs w:val="24"/>
              </w:rPr>
            </w:pPr>
            <w:r>
              <w:rPr>
                <w:rFonts w:hint="eastAsia" w:ascii="宋体" w:hAnsi="宋体" w:cs="宋体"/>
                <w:color w:val="auto"/>
                <w:sz w:val="24"/>
                <w:szCs w:val="24"/>
              </w:rPr>
              <w:t>满意度调研</w:t>
            </w:r>
          </w:p>
          <w:p w14:paraId="6C6D9E67">
            <w:pPr>
              <w:widowControl/>
              <w:numPr>
                <w:ilvl w:val="0"/>
                <w:numId w:val="46"/>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问卷管理</w:t>
            </w:r>
          </w:p>
          <w:p w14:paraId="430A998C">
            <w:pPr>
              <w:widowControl/>
              <w:jc w:val="left"/>
              <w:rPr>
                <w:rFonts w:ascii="宋体" w:hAnsi="宋体" w:cs="宋体"/>
                <w:color w:val="auto"/>
                <w:sz w:val="24"/>
                <w:szCs w:val="24"/>
              </w:rPr>
            </w:pPr>
            <w:r>
              <w:rPr>
                <w:rFonts w:hint="eastAsia" w:ascii="宋体" w:hAnsi="宋体" w:cs="宋体"/>
                <w:color w:val="auto"/>
                <w:sz w:val="24"/>
                <w:szCs w:val="24"/>
              </w:rPr>
              <w:t>可创建并管理问卷</w:t>
            </w:r>
          </w:p>
          <w:p w14:paraId="40A4CE0F">
            <w:pPr>
              <w:widowControl/>
              <w:numPr>
                <w:ilvl w:val="0"/>
                <w:numId w:val="46"/>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链接管理</w:t>
            </w:r>
          </w:p>
          <w:p w14:paraId="7CD097A8">
            <w:pPr>
              <w:widowControl/>
              <w:jc w:val="left"/>
              <w:rPr>
                <w:rFonts w:ascii="宋体" w:hAnsi="宋体" w:cs="宋体"/>
                <w:color w:val="auto"/>
                <w:sz w:val="24"/>
                <w:szCs w:val="24"/>
              </w:rPr>
            </w:pPr>
            <w:r>
              <w:rPr>
                <w:rFonts w:hint="eastAsia" w:ascii="宋体" w:hAnsi="宋体" w:cs="宋体"/>
                <w:color w:val="auto"/>
                <w:sz w:val="24"/>
                <w:szCs w:val="24"/>
              </w:rPr>
              <w:t>可创建并管理链接，链接可关联问卷并进行投放</w:t>
            </w:r>
          </w:p>
          <w:p w14:paraId="7AEF057A">
            <w:pPr>
              <w:widowControl/>
              <w:numPr>
                <w:ilvl w:val="0"/>
                <w:numId w:val="41"/>
              </w:numPr>
              <w:ind w:left="0" w:firstLine="0"/>
              <w:jc w:val="left"/>
              <w:rPr>
                <w:rFonts w:ascii="宋体" w:hAnsi="宋体" w:cs="宋体"/>
                <w:color w:val="auto"/>
                <w:sz w:val="24"/>
                <w:szCs w:val="24"/>
              </w:rPr>
            </w:pPr>
            <w:r>
              <w:rPr>
                <w:rFonts w:hint="eastAsia" w:ascii="宋体" w:hAnsi="宋体" w:cs="宋体"/>
                <w:color w:val="auto"/>
                <w:sz w:val="24"/>
                <w:szCs w:val="24"/>
              </w:rPr>
              <w:t>宣传管理</w:t>
            </w:r>
          </w:p>
          <w:p w14:paraId="35FB4BBB">
            <w:pPr>
              <w:widowControl/>
              <w:numPr>
                <w:ilvl w:val="0"/>
                <w:numId w:val="47"/>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宣传管理</w:t>
            </w:r>
          </w:p>
          <w:p w14:paraId="5290F172">
            <w:pPr>
              <w:widowControl/>
              <w:jc w:val="left"/>
              <w:rPr>
                <w:rFonts w:ascii="宋体" w:hAnsi="宋体" w:cs="宋体"/>
                <w:color w:val="auto"/>
                <w:sz w:val="24"/>
                <w:szCs w:val="24"/>
              </w:rPr>
            </w:pPr>
            <w:r>
              <w:rPr>
                <w:rFonts w:hint="eastAsia" w:ascii="宋体" w:hAnsi="宋体" w:cs="宋体"/>
                <w:color w:val="auto"/>
                <w:sz w:val="24"/>
                <w:szCs w:val="24"/>
              </w:rPr>
              <w:t>支持查看下属食堂前厅服务系统展示的宣传资料，并可进行修改</w:t>
            </w:r>
          </w:p>
          <w:p w14:paraId="1B22255D">
            <w:pPr>
              <w:widowControl/>
              <w:numPr>
                <w:ilvl w:val="0"/>
                <w:numId w:val="47"/>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公示台账管理</w:t>
            </w:r>
          </w:p>
          <w:p w14:paraId="39A80455">
            <w:pPr>
              <w:widowControl/>
              <w:jc w:val="left"/>
              <w:rPr>
                <w:rFonts w:ascii="宋体" w:hAnsi="宋体" w:cs="宋体"/>
                <w:color w:val="auto"/>
                <w:sz w:val="24"/>
                <w:szCs w:val="24"/>
              </w:rPr>
            </w:pPr>
            <w:r>
              <w:rPr>
                <w:rFonts w:hint="eastAsia" w:ascii="宋体" w:hAnsi="宋体" w:cs="宋体"/>
                <w:color w:val="auto"/>
                <w:sz w:val="24"/>
                <w:szCs w:val="24"/>
              </w:rPr>
              <w:t>支持查看下属食堂前厅服务系统展示的电子台账情况，并可进行修改</w:t>
            </w:r>
          </w:p>
          <w:p w14:paraId="022ED49C">
            <w:pPr>
              <w:widowControl/>
              <w:numPr>
                <w:ilvl w:val="0"/>
                <w:numId w:val="47"/>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明厨亮灶管理</w:t>
            </w:r>
          </w:p>
          <w:p w14:paraId="55D03A40">
            <w:pPr>
              <w:widowControl/>
              <w:jc w:val="left"/>
              <w:rPr>
                <w:rFonts w:ascii="宋体" w:hAnsi="宋体" w:cs="宋体"/>
                <w:color w:val="auto"/>
                <w:sz w:val="24"/>
                <w:szCs w:val="24"/>
              </w:rPr>
            </w:pPr>
            <w:r>
              <w:rPr>
                <w:rFonts w:hint="eastAsia" w:ascii="宋体" w:hAnsi="宋体" w:cs="宋体"/>
                <w:color w:val="auto"/>
                <w:sz w:val="24"/>
                <w:szCs w:val="24"/>
              </w:rPr>
              <w:t>支持查看下属食堂前厅服务系统展示的后厨明厨亮灶画面情况，并可进行修改</w:t>
            </w:r>
          </w:p>
          <w:p w14:paraId="4AFDBAF4">
            <w:pPr>
              <w:widowControl/>
              <w:numPr>
                <w:ilvl w:val="0"/>
                <w:numId w:val="41"/>
              </w:numPr>
              <w:ind w:left="0" w:firstLine="0"/>
              <w:jc w:val="left"/>
              <w:rPr>
                <w:rFonts w:ascii="宋体" w:hAnsi="宋体" w:cs="宋体"/>
                <w:color w:val="auto"/>
                <w:kern w:val="0"/>
                <w:sz w:val="24"/>
                <w:szCs w:val="24"/>
                <w:lang w:bidi="ar"/>
              </w:rPr>
            </w:pPr>
            <w:r>
              <w:rPr>
                <w:rFonts w:ascii="宋体" w:hAnsi="宋体" w:cs="宋体"/>
                <w:color w:val="auto"/>
                <w:kern w:val="0"/>
                <w:sz w:val="24"/>
                <w:szCs w:val="24"/>
                <w:lang w:bidi="ar"/>
              </w:rPr>
              <w:t>AI报警事件分析</w:t>
            </w:r>
          </w:p>
          <w:p w14:paraId="1F4567B0">
            <w:pPr>
              <w:widowControl/>
              <w:numPr>
                <w:ilvl w:val="0"/>
                <w:numId w:val="48"/>
              </w:numPr>
              <w:ind w:left="0" w:firstLine="0"/>
              <w:jc w:val="left"/>
              <w:rPr>
                <w:rFonts w:ascii="宋体" w:hAnsi="宋体" w:cs="宋体"/>
                <w:color w:val="auto"/>
                <w:sz w:val="24"/>
                <w:szCs w:val="24"/>
              </w:rPr>
            </w:pPr>
            <w:r>
              <w:rPr>
                <w:rFonts w:hint="eastAsia" w:ascii="宋体" w:hAnsi="宋体" w:cs="宋体"/>
                <w:color w:val="auto"/>
                <w:sz w:val="24"/>
                <w:szCs w:val="24"/>
              </w:rPr>
              <w:t>支持查看</w:t>
            </w:r>
            <w:r>
              <w:rPr>
                <w:rFonts w:ascii="宋体" w:hAnsi="宋体" w:cs="宋体"/>
                <w:color w:val="auto"/>
                <w:sz w:val="24"/>
                <w:szCs w:val="24"/>
              </w:rPr>
              <w:t>AI预警事件统计事件分析</w:t>
            </w:r>
          </w:p>
          <w:p w14:paraId="575B8B6C">
            <w:pPr>
              <w:widowControl/>
              <w:numPr>
                <w:ilvl w:val="0"/>
                <w:numId w:val="41"/>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报警统计明细</w:t>
            </w:r>
          </w:p>
          <w:p w14:paraId="5B412268">
            <w:pPr>
              <w:widowControl/>
              <w:numPr>
                <w:ilvl w:val="0"/>
                <w:numId w:val="49"/>
              </w:numPr>
              <w:ind w:left="0" w:firstLine="0"/>
              <w:jc w:val="left"/>
              <w:rPr>
                <w:rFonts w:ascii="宋体" w:hAnsi="宋体" w:cs="宋体"/>
                <w:color w:val="auto"/>
                <w:sz w:val="24"/>
                <w:szCs w:val="24"/>
              </w:rPr>
            </w:pPr>
            <w:r>
              <w:rPr>
                <w:rFonts w:hint="eastAsia" w:ascii="宋体" w:hAnsi="宋体" w:cs="宋体"/>
                <w:color w:val="auto"/>
                <w:sz w:val="24"/>
                <w:szCs w:val="24"/>
              </w:rPr>
              <w:t>支持查看下属各食堂不同设备类型报警统计信息</w:t>
            </w:r>
          </w:p>
          <w:p w14:paraId="1FFD9910">
            <w:pPr>
              <w:widowControl/>
              <w:numPr>
                <w:ilvl w:val="0"/>
                <w:numId w:val="41"/>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报警数据统计</w:t>
            </w:r>
          </w:p>
          <w:p w14:paraId="27A1C5A6">
            <w:pPr>
              <w:widowControl/>
              <w:numPr>
                <w:ilvl w:val="0"/>
                <w:numId w:val="50"/>
              </w:numPr>
              <w:ind w:left="0" w:firstLine="0"/>
              <w:jc w:val="left"/>
              <w:rPr>
                <w:rFonts w:ascii="宋体" w:hAnsi="宋体" w:cs="宋体"/>
                <w:color w:val="auto"/>
                <w:sz w:val="24"/>
                <w:szCs w:val="24"/>
              </w:rPr>
            </w:pPr>
            <w:r>
              <w:rPr>
                <w:rFonts w:hint="eastAsia" w:ascii="宋体" w:hAnsi="宋体" w:cs="宋体"/>
                <w:color w:val="auto"/>
                <w:sz w:val="24"/>
                <w:szCs w:val="24"/>
              </w:rPr>
              <w:t>食堂设备统计：下属食堂设备统计</w:t>
            </w:r>
          </w:p>
          <w:p w14:paraId="7045E0DE">
            <w:pPr>
              <w:widowControl/>
              <w:numPr>
                <w:ilvl w:val="0"/>
                <w:numId w:val="50"/>
              </w:numPr>
              <w:ind w:left="0" w:firstLine="0"/>
              <w:jc w:val="left"/>
              <w:rPr>
                <w:color w:val="auto"/>
              </w:rPr>
            </w:pPr>
            <w:r>
              <w:rPr>
                <w:rFonts w:hint="eastAsia" w:ascii="宋体" w:hAnsi="宋体" w:cs="宋体"/>
                <w:color w:val="auto"/>
                <w:sz w:val="24"/>
                <w:szCs w:val="24"/>
              </w:rPr>
              <w:t>数智场景统计：下属食堂场景统计</w:t>
            </w:r>
          </w:p>
          <w:p w14:paraId="785DE6E2">
            <w:pPr>
              <w:widowControl/>
              <w:jc w:val="left"/>
              <w:rPr>
                <w:color w:val="auto"/>
              </w:rPr>
            </w:pPr>
            <w:r>
              <w:rPr>
                <w:rFonts w:ascii="宋体" w:hAnsi="宋体" w:cs="宋体"/>
                <w:color w:val="auto"/>
                <w:sz w:val="24"/>
                <w:szCs w:val="24"/>
              </w:rPr>
              <w:t>8.可通过移动H5页面进行用餐评价互动；可扫码上</w:t>
            </w:r>
            <w:r>
              <w:rPr>
                <w:rFonts w:hint="eastAsia" w:ascii="宋体" w:hAnsi="宋体" w:cs="宋体"/>
                <w:color w:val="auto"/>
                <w:sz w:val="24"/>
                <w:szCs w:val="24"/>
              </w:rPr>
              <w:t>传意见反馈信息；餐厅经理可收到反馈信息；可进行建议处理和电话拨打回访。</w:t>
            </w:r>
          </w:p>
        </w:tc>
        <w:tc>
          <w:tcPr>
            <w:tcW w:w="557" w:type="pct"/>
            <w:vAlign w:val="center"/>
          </w:tcPr>
          <w:p w14:paraId="0B49F5B6">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32398F65">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0BEE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pct"/>
            <w:vAlign w:val="center"/>
          </w:tcPr>
          <w:p w14:paraId="6E3F3E87">
            <w:pPr>
              <w:jc w:val="center"/>
              <w:rPr>
                <w:rFonts w:ascii="宋体" w:hAnsi="宋体" w:cs="宋体"/>
                <w:color w:val="auto"/>
                <w:sz w:val="24"/>
                <w:szCs w:val="24"/>
              </w:rPr>
            </w:pPr>
            <w:r>
              <w:rPr>
                <w:rFonts w:hint="eastAsia" w:ascii="宋体" w:hAnsi="宋体" w:cs="宋体"/>
                <w:color w:val="auto"/>
                <w:sz w:val="24"/>
                <w:szCs w:val="24"/>
              </w:rPr>
              <w:t>溯源管理</w:t>
            </w:r>
          </w:p>
          <w:p w14:paraId="2C1A6B47">
            <w:pPr>
              <w:jc w:val="center"/>
              <w:rPr>
                <w:rFonts w:ascii="宋体" w:hAnsi="宋体" w:cs="宋体"/>
                <w:color w:val="auto"/>
                <w:kern w:val="0"/>
                <w:sz w:val="24"/>
                <w:szCs w:val="24"/>
                <w:lang w:bidi="ar"/>
              </w:rPr>
            </w:pPr>
          </w:p>
        </w:tc>
        <w:tc>
          <w:tcPr>
            <w:tcW w:w="3067" w:type="pct"/>
          </w:tcPr>
          <w:p w14:paraId="6A537870">
            <w:pPr>
              <w:widowControl/>
              <w:numPr>
                <w:ilvl w:val="0"/>
                <w:numId w:val="51"/>
              </w:numPr>
              <w:ind w:left="0" w:firstLine="0"/>
              <w:jc w:val="left"/>
              <w:rPr>
                <w:rFonts w:ascii="宋体" w:hAnsi="宋体" w:cs="宋体"/>
                <w:color w:val="auto"/>
                <w:sz w:val="24"/>
                <w:szCs w:val="24"/>
              </w:rPr>
            </w:pPr>
            <w:r>
              <w:rPr>
                <w:rFonts w:hint="eastAsia" w:ascii="宋体" w:hAnsi="宋体" w:cs="宋体"/>
                <w:color w:val="auto"/>
                <w:sz w:val="24"/>
                <w:szCs w:val="24"/>
              </w:rPr>
              <w:t>溯源管理配置</w:t>
            </w:r>
          </w:p>
          <w:p w14:paraId="26167CCE">
            <w:pPr>
              <w:widowControl/>
              <w:numPr>
                <w:ilvl w:val="0"/>
                <w:numId w:val="52"/>
              </w:numPr>
              <w:ind w:firstLine="0"/>
              <w:jc w:val="left"/>
              <w:rPr>
                <w:rFonts w:ascii="宋体" w:hAnsi="宋体" w:cs="宋体"/>
                <w:color w:val="auto"/>
                <w:sz w:val="24"/>
                <w:szCs w:val="24"/>
              </w:rPr>
            </w:pPr>
            <w:r>
              <w:rPr>
                <w:rFonts w:hint="eastAsia" w:ascii="宋体" w:hAnsi="宋体" w:cs="宋体"/>
                <w:color w:val="auto"/>
                <w:sz w:val="24"/>
                <w:szCs w:val="24"/>
              </w:rPr>
              <w:t>供货商维护设置：支持开通供货商审核功能（需审核食堂、审核人），下属食堂维护供货商时，需由指定人审核通过后，方可生效</w:t>
            </w:r>
          </w:p>
          <w:p w14:paraId="6A5E487E">
            <w:pPr>
              <w:widowControl/>
              <w:numPr>
                <w:ilvl w:val="0"/>
                <w:numId w:val="52"/>
              </w:numPr>
              <w:ind w:firstLine="0"/>
              <w:jc w:val="left"/>
              <w:rPr>
                <w:rFonts w:ascii="宋体" w:hAnsi="宋体" w:cs="宋体"/>
                <w:color w:val="auto"/>
                <w:sz w:val="24"/>
                <w:szCs w:val="24"/>
              </w:rPr>
            </w:pPr>
            <w:r>
              <w:rPr>
                <w:rFonts w:hint="eastAsia" w:ascii="宋体" w:hAnsi="宋体" w:cs="宋体"/>
                <w:color w:val="auto"/>
                <w:sz w:val="24"/>
                <w:szCs w:val="24"/>
              </w:rPr>
              <w:t>消息推送设置：入库验收统计消息推送配置（时间、推送人）</w:t>
            </w:r>
          </w:p>
          <w:p w14:paraId="425AF5FC">
            <w:pPr>
              <w:widowControl/>
              <w:numPr>
                <w:ilvl w:val="0"/>
                <w:numId w:val="52"/>
              </w:numPr>
              <w:ind w:firstLine="0"/>
              <w:jc w:val="left"/>
              <w:rPr>
                <w:color w:val="auto"/>
              </w:rPr>
            </w:pPr>
            <w:r>
              <w:rPr>
                <w:rFonts w:hint="eastAsia" w:ascii="宋体" w:hAnsi="宋体" w:cs="宋体"/>
                <w:color w:val="auto"/>
                <w:sz w:val="24"/>
                <w:szCs w:val="24"/>
              </w:rPr>
              <w:t>报单审核设置：支持开通报单审核功能（需审核食堂、审核人），下属食堂进行食材报单时，需由制定人审核通过后，方可生效，可进行采购验收</w:t>
            </w:r>
          </w:p>
          <w:p w14:paraId="2B0F6F5D">
            <w:pPr>
              <w:widowControl/>
              <w:numPr>
                <w:ilvl w:val="0"/>
                <w:numId w:val="51"/>
              </w:numPr>
              <w:ind w:left="0" w:firstLine="0"/>
              <w:jc w:val="left"/>
              <w:rPr>
                <w:rFonts w:ascii="宋体" w:hAnsi="宋体" w:cs="宋体"/>
                <w:color w:val="auto"/>
                <w:sz w:val="24"/>
                <w:szCs w:val="24"/>
              </w:rPr>
            </w:pPr>
            <w:r>
              <w:rPr>
                <w:rFonts w:hint="eastAsia" w:ascii="宋体" w:hAnsi="宋体" w:cs="宋体"/>
                <w:color w:val="auto"/>
                <w:sz w:val="24"/>
                <w:szCs w:val="24"/>
              </w:rPr>
              <w:t>原料管理</w:t>
            </w:r>
          </w:p>
          <w:p w14:paraId="027552C0">
            <w:pPr>
              <w:widowControl/>
              <w:numPr>
                <w:ilvl w:val="0"/>
                <w:numId w:val="53"/>
              </w:numPr>
              <w:ind w:firstLine="0"/>
              <w:jc w:val="left"/>
              <w:rPr>
                <w:rFonts w:ascii="宋体" w:hAnsi="宋体" w:cs="宋体"/>
                <w:color w:val="auto"/>
                <w:sz w:val="24"/>
                <w:szCs w:val="24"/>
              </w:rPr>
            </w:pPr>
            <w:r>
              <w:rPr>
                <w:rFonts w:hint="eastAsia" w:ascii="宋体" w:hAnsi="宋体" w:cs="宋体"/>
                <w:color w:val="auto"/>
                <w:sz w:val="24"/>
                <w:szCs w:val="24"/>
              </w:rPr>
              <w:t>食堂原料库：支持查看下属食堂原料库数据统计情况，同时支持详情查看</w:t>
            </w:r>
          </w:p>
          <w:p w14:paraId="7D24708E">
            <w:pPr>
              <w:widowControl/>
              <w:numPr>
                <w:ilvl w:val="0"/>
                <w:numId w:val="53"/>
              </w:numPr>
              <w:ind w:firstLine="0"/>
              <w:jc w:val="left"/>
              <w:rPr>
                <w:color w:val="auto"/>
              </w:rPr>
            </w:pPr>
            <w:r>
              <w:rPr>
                <w:rFonts w:hint="eastAsia" w:ascii="宋体" w:hAnsi="宋体" w:cs="宋体"/>
                <w:color w:val="auto"/>
                <w:sz w:val="24"/>
                <w:szCs w:val="24"/>
              </w:rPr>
              <w:t>原料库管理：支持建立统一的原料库，同步至下属食堂使用</w:t>
            </w:r>
          </w:p>
          <w:p w14:paraId="42421E67">
            <w:pPr>
              <w:widowControl/>
              <w:numPr>
                <w:ilvl w:val="0"/>
                <w:numId w:val="51"/>
              </w:numPr>
              <w:ind w:left="0" w:firstLine="0"/>
              <w:jc w:val="left"/>
              <w:rPr>
                <w:rFonts w:ascii="宋体" w:hAnsi="宋体" w:cs="宋体"/>
                <w:color w:val="auto"/>
                <w:sz w:val="24"/>
                <w:szCs w:val="24"/>
              </w:rPr>
            </w:pPr>
            <w:r>
              <w:rPr>
                <w:rFonts w:hint="eastAsia" w:ascii="宋体" w:hAnsi="宋体" w:cs="宋体"/>
                <w:color w:val="auto"/>
                <w:sz w:val="24"/>
                <w:szCs w:val="24"/>
              </w:rPr>
              <w:t>供货商管理</w:t>
            </w:r>
          </w:p>
          <w:p w14:paraId="435A3A6B">
            <w:pPr>
              <w:widowControl/>
              <w:numPr>
                <w:ilvl w:val="0"/>
                <w:numId w:val="54"/>
              </w:numPr>
              <w:ind w:firstLine="0"/>
              <w:jc w:val="left"/>
              <w:rPr>
                <w:rFonts w:ascii="宋体" w:hAnsi="宋体" w:cs="宋体"/>
                <w:color w:val="auto"/>
                <w:sz w:val="24"/>
                <w:szCs w:val="24"/>
              </w:rPr>
            </w:pPr>
            <w:r>
              <w:rPr>
                <w:rFonts w:hint="eastAsia" w:ascii="宋体" w:hAnsi="宋体" w:cs="宋体"/>
                <w:color w:val="auto"/>
                <w:sz w:val="24"/>
                <w:szCs w:val="24"/>
              </w:rPr>
              <w:t>食堂供货统计：支持查看下属食堂供货商数据统计结果，同时支持进行供货商资质信息查看</w:t>
            </w:r>
          </w:p>
          <w:p w14:paraId="1F68B28D">
            <w:pPr>
              <w:widowControl/>
              <w:numPr>
                <w:ilvl w:val="0"/>
                <w:numId w:val="54"/>
              </w:numPr>
              <w:ind w:firstLine="0"/>
              <w:jc w:val="left"/>
              <w:rPr>
                <w:rFonts w:ascii="宋体" w:hAnsi="宋体" w:cs="宋体"/>
                <w:color w:val="auto"/>
                <w:sz w:val="24"/>
                <w:szCs w:val="24"/>
              </w:rPr>
            </w:pPr>
            <w:r>
              <w:rPr>
                <w:rFonts w:hint="eastAsia" w:ascii="宋体" w:hAnsi="宋体" w:cs="宋体"/>
                <w:color w:val="auto"/>
                <w:sz w:val="24"/>
                <w:szCs w:val="24"/>
              </w:rPr>
              <w:t>供货商库管理：支持建立统一的食材供货商库，同步至下属食堂使用</w:t>
            </w:r>
          </w:p>
          <w:p w14:paraId="27D2D912">
            <w:pPr>
              <w:widowControl/>
              <w:numPr>
                <w:ilvl w:val="0"/>
                <w:numId w:val="54"/>
              </w:numPr>
              <w:ind w:firstLine="0"/>
              <w:jc w:val="left"/>
              <w:rPr>
                <w:color w:val="auto"/>
              </w:rPr>
            </w:pPr>
            <w:r>
              <w:rPr>
                <w:rFonts w:hint="eastAsia" w:ascii="宋体" w:hAnsi="宋体" w:cs="宋体"/>
                <w:color w:val="auto"/>
                <w:sz w:val="24"/>
                <w:szCs w:val="24"/>
              </w:rPr>
              <w:t>供货商审核：针对有审核权限人员，可进行下属食堂维护供货商时，进行审核操作（仅权限人员可查看该页面）</w:t>
            </w:r>
          </w:p>
          <w:p w14:paraId="004435B1">
            <w:pPr>
              <w:widowControl/>
              <w:numPr>
                <w:ilvl w:val="0"/>
                <w:numId w:val="51"/>
              </w:numPr>
              <w:ind w:left="0" w:firstLine="0"/>
              <w:jc w:val="left"/>
              <w:rPr>
                <w:rFonts w:ascii="宋体" w:hAnsi="宋体" w:cs="宋体"/>
                <w:color w:val="auto"/>
                <w:sz w:val="24"/>
                <w:szCs w:val="24"/>
              </w:rPr>
            </w:pPr>
            <w:r>
              <w:rPr>
                <w:rFonts w:hint="eastAsia" w:ascii="宋体" w:hAnsi="宋体" w:cs="宋体"/>
                <w:color w:val="auto"/>
                <w:sz w:val="24"/>
                <w:szCs w:val="24"/>
              </w:rPr>
              <w:t>报单记录</w:t>
            </w:r>
          </w:p>
          <w:p w14:paraId="7EA80978">
            <w:pPr>
              <w:widowControl/>
              <w:numPr>
                <w:ilvl w:val="0"/>
                <w:numId w:val="55"/>
              </w:numPr>
              <w:ind w:firstLine="0"/>
              <w:jc w:val="left"/>
              <w:rPr>
                <w:rFonts w:ascii="宋体" w:hAnsi="宋体" w:cs="宋体"/>
                <w:color w:val="auto"/>
                <w:sz w:val="24"/>
                <w:szCs w:val="24"/>
              </w:rPr>
            </w:pPr>
            <w:r>
              <w:rPr>
                <w:rFonts w:hint="eastAsia" w:ascii="宋体" w:hAnsi="宋体" w:cs="宋体"/>
                <w:color w:val="auto"/>
                <w:sz w:val="24"/>
                <w:szCs w:val="24"/>
              </w:rPr>
              <w:t>支持查看下属食堂所报单记录（进行中、已验收等），及查看食材明细</w:t>
            </w:r>
          </w:p>
          <w:p w14:paraId="53FFA3CC">
            <w:pPr>
              <w:widowControl/>
              <w:numPr>
                <w:ilvl w:val="0"/>
                <w:numId w:val="55"/>
              </w:numPr>
              <w:ind w:firstLine="0"/>
              <w:jc w:val="left"/>
              <w:rPr>
                <w:color w:val="auto"/>
              </w:rPr>
            </w:pPr>
            <w:r>
              <w:rPr>
                <w:rFonts w:hint="eastAsia" w:ascii="宋体" w:hAnsi="宋体" w:cs="宋体"/>
                <w:color w:val="auto"/>
                <w:sz w:val="24"/>
                <w:szCs w:val="24"/>
              </w:rPr>
              <w:t>支持有审核权限人员进行食堂提报报单记录进行审核</w:t>
            </w:r>
          </w:p>
          <w:p w14:paraId="5B486FC1">
            <w:pPr>
              <w:widowControl/>
              <w:numPr>
                <w:ilvl w:val="0"/>
                <w:numId w:val="51"/>
              </w:numPr>
              <w:ind w:left="0" w:firstLine="0"/>
              <w:jc w:val="left"/>
              <w:rPr>
                <w:rFonts w:ascii="宋体" w:hAnsi="宋体" w:cs="宋体"/>
                <w:color w:val="auto"/>
                <w:sz w:val="24"/>
                <w:szCs w:val="24"/>
              </w:rPr>
            </w:pPr>
            <w:r>
              <w:rPr>
                <w:rFonts w:hint="eastAsia" w:ascii="宋体" w:hAnsi="宋体" w:cs="宋体"/>
                <w:color w:val="auto"/>
                <w:sz w:val="24"/>
                <w:szCs w:val="24"/>
              </w:rPr>
              <w:t>验收记录</w:t>
            </w:r>
          </w:p>
          <w:p w14:paraId="6B1F5F9E">
            <w:pPr>
              <w:widowControl/>
              <w:jc w:val="left"/>
              <w:rPr>
                <w:rFonts w:ascii="宋体" w:hAnsi="宋体" w:cs="宋体"/>
                <w:color w:val="auto"/>
                <w:sz w:val="24"/>
                <w:szCs w:val="24"/>
              </w:rPr>
            </w:pPr>
            <w:r>
              <w:rPr>
                <w:rFonts w:hint="eastAsia" w:ascii="宋体" w:hAnsi="宋体" w:cs="宋体"/>
                <w:color w:val="auto"/>
                <w:sz w:val="24"/>
                <w:szCs w:val="24"/>
              </w:rPr>
              <w:t>支持查看下属食堂验收记录（进行中、已完成），及查看食材验收明细、索证索票</w:t>
            </w:r>
          </w:p>
          <w:p w14:paraId="0FB06E58">
            <w:pPr>
              <w:widowControl/>
              <w:numPr>
                <w:ilvl w:val="0"/>
                <w:numId w:val="51"/>
              </w:numPr>
              <w:ind w:left="0" w:firstLine="0"/>
              <w:jc w:val="left"/>
              <w:rPr>
                <w:rFonts w:ascii="宋体" w:hAnsi="宋体" w:cs="宋体"/>
                <w:color w:val="auto"/>
                <w:sz w:val="24"/>
                <w:szCs w:val="24"/>
              </w:rPr>
            </w:pPr>
            <w:r>
              <w:rPr>
                <w:rFonts w:hint="eastAsia" w:ascii="宋体" w:hAnsi="宋体" w:cs="宋体"/>
                <w:color w:val="auto"/>
                <w:sz w:val="24"/>
                <w:szCs w:val="24"/>
              </w:rPr>
              <w:t>异常记录</w:t>
            </w:r>
          </w:p>
          <w:p w14:paraId="3BE4DB0A">
            <w:pPr>
              <w:widowControl/>
              <w:jc w:val="left"/>
              <w:rPr>
                <w:rFonts w:ascii="宋体" w:hAnsi="宋体" w:cs="宋体"/>
                <w:color w:val="auto"/>
                <w:sz w:val="24"/>
                <w:szCs w:val="24"/>
              </w:rPr>
            </w:pPr>
            <w:r>
              <w:rPr>
                <w:rFonts w:hint="eastAsia" w:ascii="宋体" w:hAnsi="宋体" w:cs="宋体"/>
                <w:color w:val="auto"/>
                <w:sz w:val="24"/>
                <w:szCs w:val="24"/>
              </w:rPr>
              <w:t>支持查看下属食堂验收中记录的异常验收记录，及查看详细异常情况</w:t>
            </w:r>
          </w:p>
          <w:p w14:paraId="426CC2AB">
            <w:pPr>
              <w:widowControl/>
              <w:numPr>
                <w:ilvl w:val="0"/>
                <w:numId w:val="51"/>
              </w:numPr>
              <w:ind w:left="0" w:firstLine="0"/>
              <w:jc w:val="left"/>
              <w:rPr>
                <w:rFonts w:ascii="宋体" w:hAnsi="宋体" w:cs="宋体"/>
                <w:color w:val="auto"/>
                <w:sz w:val="24"/>
                <w:szCs w:val="24"/>
              </w:rPr>
            </w:pPr>
            <w:r>
              <w:rPr>
                <w:rFonts w:hint="eastAsia" w:ascii="宋体" w:hAnsi="宋体" w:cs="宋体"/>
                <w:color w:val="auto"/>
                <w:sz w:val="24"/>
                <w:szCs w:val="24"/>
              </w:rPr>
              <w:t>库存管理</w:t>
            </w:r>
          </w:p>
          <w:p w14:paraId="26678352">
            <w:pPr>
              <w:widowControl/>
              <w:numPr>
                <w:ilvl w:val="0"/>
                <w:numId w:val="56"/>
              </w:numPr>
              <w:ind w:firstLine="0"/>
              <w:jc w:val="left"/>
              <w:rPr>
                <w:rFonts w:ascii="宋体" w:hAnsi="宋体" w:cs="宋体"/>
                <w:color w:val="auto"/>
                <w:sz w:val="24"/>
                <w:szCs w:val="24"/>
              </w:rPr>
            </w:pPr>
            <w:r>
              <w:rPr>
                <w:rFonts w:hint="eastAsia" w:ascii="宋体" w:hAnsi="宋体" w:cs="宋体"/>
                <w:color w:val="auto"/>
                <w:sz w:val="24"/>
                <w:szCs w:val="24"/>
              </w:rPr>
              <w:t>支持查看下属食堂食材库存情况</w:t>
            </w:r>
          </w:p>
          <w:p w14:paraId="317932A3">
            <w:pPr>
              <w:widowControl/>
              <w:numPr>
                <w:ilvl w:val="0"/>
                <w:numId w:val="56"/>
              </w:numPr>
              <w:ind w:firstLine="0"/>
              <w:jc w:val="left"/>
              <w:rPr>
                <w:rFonts w:ascii="宋体" w:hAnsi="宋体" w:cs="宋体"/>
                <w:color w:val="auto"/>
                <w:sz w:val="24"/>
                <w:szCs w:val="24"/>
              </w:rPr>
            </w:pPr>
            <w:r>
              <w:rPr>
                <w:rFonts w:hint="eastAsia" w:ascii="宋体" w:hAnsi="宋体" w:cs="宋体"/>
                <w:color w:val="auto"/>
                <w:sz w:val="24"/>
                <w:szCs w:val="24"/>
              </w:rPr>
              <w:t>支持查看下属食堂食材入库、拆分情况</w:t>
            </w:r>
          </w:p>
          <w:p w14:paraId="79B0FE8C">
            <w:pPr>
              <w:widowControl/>
              <w:numPr>
                <w:ilvl w:val="0"/>
                <w:numId w:val="56"/>
              </w:numPr>
              <w:ind w:firstLine="0"/>
              <w:jc w:val="left"/>
              <w:rPr>
                <w:color w:val="auto"/>
              </w:rPr>
            </w:pPr>
            <w:r>
              <w:rPr>
                <w:rFonts w:hint="eastAsia" w:ascii="宋体" w:hAnsi="宋体" w:cs="宋体"/>
                <w:color w:val="auto"/>
                <w:sz w:val="24"/>
                <w:szCs w:val="24"/>
              </w:rPr>
              <w:t>支持查看下属食堂各食材仓库库存，存放食材信息</w:t>
            </w:r>
          </w:p>
          <w:p w14:paraId="6F9FEF1B">
            <w:pPr>
              <w:widowControl/>
              <w:numPr>
                <w:ilvl w:val="0"/>
                <w:numId w:val="51"/>
              </w:numPr>
              <w:ind w:left="0" w:firstLine="0"/>
              <w:jc w:val="left"/>
              <w:rPr>
                <w:rFonts w:ascii="宋体" w:hAnsi="宋体" w:cs="宋体"/>
                <w:color w:val="auto"/>
                <w:sz w:val="24"/>
                <w:szCs w:val="24"/>
              </w:rPr>
            </w:pPr>
            <w:r>
              <w:rPr>
                <w:rFonts w:hint="eastAsia" w:ascii="宋体" w:hAnsi="宋体" w:cs="宋体"/>
                <w:color w:val="auto"/>
                <w:sz w:val="24"/>
                <w:szCs w:val="24"/>
              </w:rPr>
              <w:t>出库记录</w:t>
            </w:r>
          </w:p>
          <w:p w14:paraId="3D30FDFD">
            <w:pPr>
              <w:widowControl/>
              <w:jc w:val="left"/>
              <w:rPr>
                <w:rFonts w:ascii="宋体" w:hAnsi="宋体" w:cs="宋体"/>
                <w:color w:val="auto"/>
                <w:sz w:val="24"/>
                <w:szCs w:val="24"/>
              </w:rPr>
            </w:pPr>
            <w:r>
              <w:rPr>
                <w:rFonts w:hint="eastAsia" w:ascii="宋体" w:hAnsi="宋体" w:cs="宋体"/>
                <w:color w:val="auto"/>
                <w:sz w:val="24"/>
                <w:szCs w:val="24"/>
              </w:rPr>
              <w:t>支持查看下属食堂出库记录，及查看详细档口出库、出库内容、签字图片</w:t>
            </w:r>
          </w:p>
        </w:tc>
        <w:tc>
          <w:tcPr>
            <w:tcW w:w="557" w:type="pct"/>
            <w:vAlign w:val="center"/>
          </w:tcPr>
          <w:p w14:paraId="01F4F3B9">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3C481939">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4D1E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pct"/>
            <w:vAlign w:val="center"/>
          </w:tcPr>
          <w:p w14:paraId="63BC01F4">
            <w:pPr>
              <w:jc w:val="center"/>
              <w:rPr>
                <w:rFonts w:ascii="宋体" w:hAnsi="宋体" w:cs="宋体"/>
                <w:color w:val="auto"/>
                <w:sz w:val="24"/>
                <w:szCs w:val="24"/>
              </w:rPr>
            </w:pPr>
            <w:r>
              <w:rPr>
                <w:rFonts w:hint="eastAsia" w:ascii="宋体" w:hAnsi="宋体" w:cs="宋体"/>
                <w:color w:val="auto"/>
                <w:sz w:val="24"/>
                <w:szCs w:val="24"/>
              </w:rPr>
              <w:t>消息中心</w:t>
            </w:r>
          </w:p>
          <w:p w14:paraId="7756E6E9">
            <w:pPr>
              <w:jc w:val="center"/>
              <w:rPr>
                <w:rFonts w:ascii="宋体" w:hAnsi="宋体" w:cs="宋体"/>
                <w:color w:val="auto"/>
                <w:kern w:val="0"/>
                <w:sz w:val="24"/>
                <w:szCs w:val="24"/>
                <w:lang w:bidi="ar"/>
              </w:rPr>
            </w:pPr>
          </w:p>
        </w:tc>
        <w:tc>
          <w:tcPr>
            <w:tcW w:w="3067" w:type="pct"/>
          </w:tcPr>
          <w:p w14:paraId="2F1042BD">
            <w:pPr>
              <w:widowControl/>
              <w:numPr>
                <w:ilvl w:val="0"/>
                <w:numId w:val="57"/>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消息发布</w:t>
            </w:r>
          </w:p>
          <w:p w14:paraId="38EEC26B">
            <w:pPr>
              <w:widowControl/>
              <w:numPr>
                <w:ilvl w:val="0"/>
                <w:numId w:val="58"/>
              </w:numPr>
              <w:ind w:left="0" w:firstLine="0"/>
              <w:jc w:val="left"/>
              <w:rPr>
                <w:color w:val="auto"/>
              </w:rPr>
            </w:pPr>
            <w:r>
              <w:rPr>
                <w:rFonts w:hint="eastAsia" w:ascii="宋体" w:hAnsi="宋体" w:cs="宋体"/>
                <w:color w:val="auto"/>
                <w:sz w:val="24"/>
                <w:szCs w:val="24"/>
              </w:rPr>
              <w:t>支持用户发布消息</w:t>
            </w:r>
          </w:p>
          <w:p w14:paraId="4C1B7CD8">
            <w:pPr>
              <w:widowControl/>
              <w:numPr>
                <w:ilvl w:val="0"/>
                <w:numId w:val="57"/>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消息记录</w:t>
            </w:r>
          </w:p>
          <w:p w14:paraId="36C28659">
            <w:pPr>
              <w:widowControl/>
              <w:numPr>
                <w:ilvl w:val="0"/>
                <w:numId w:val="59"/>
              </w:numPr>
              <w:ind w:left="0" w:firstLine="0"/>
              <w:jc w:val="left"/>
              <w:rPr>
                <w:rFonts w:ascii="宋体" w:hAnsi="宋体" w:cs="宋体"/>
                <w:color w:val="auto"/>
                <w:sz w:val="24"/>
                <w:szCs w:val="24"/>
              </w:rPr>
            </w:pPr>
            <w:r>
              <w:rPr>
                <w:rFonts w:hint="eastAsia" w:ascii="宋体" w:hAnsi="宋体" w:cs="宋体"/>
                <w:color w:val="auto"/>
                <w:sz w:val="24"/>
                <w:szCs w:val="24"/>
              </w:rPr>
              <w:t>系统消息</w:t>
            </w:r>
          </w:p>
          <w:p w14:paraId="25088C48">
            <w:pPr>
              <w:widowControl/>
              <w:jc w:val="left"/>
              <w:rPr>
                <w:rFonts w:ascii="宋体" w:hAnsi="宋体" w:cs="宋体"/>
                <w:color w:val="auto"/>
                <w:sz w:val="24"/>
                <w:szCs w:val="24"/>
              </w:rPr>
            </w:pPr>
            <w:r>
              <w:rPr>
                <w:rFonts w:hint="eastAsia" w:ascii="宋体" w:hAnsi="宋体" w:cs="宋体"/>
                <w:color w:val="auto"/>
                <w:sz w:val="24"/>
                <w:szCs w:val="24"/>
              </w:rPr>
              <w:t>可指定角色发布系统消息</w:t>
            </w:r>
          </w:p>
          <w:p w14:paraId="4282F38E">
            <w:pPr>
              <w:widowControl/>
              <w:numPr>
                <w:ilvl w:val="0"/>
                <w:numId w:val="59"/>
              </w:numPr>
              <w:ind w:left="0" w:firstLine="0"/>
              <w:jc w:val="left"/>
              <w:rPr>
                <w:rFonts w:ascii="宋体" w:hAnsi="宋体" w:cs="宋体"/>
                <w:color w:val="auto"/>
                <w:sz w:val="24"/>
                <w:szCs w:val="24"/>
              </w:rPr>
            </w:pPr>
            <w:r>
              <w:rPr>
                <w:rFonts w:hint="eastAsia" w:ascii="宋体" w:hAnsi="宋体" w:cs="宋体"/>
                <w:color w:val="auto"/>
                <w:sz w:val="24"/>
                <w:szCs w:val="24"/>
              </w:rPr>
              <w:t>智能预警</w:t>
            </w:r>
          </w:p>
          <w:p w14:paraId="755C3FCA">
            <w:pPr>
              <w:widowControl/>
              <w:jc w:val="left"/>
              <w:rPr>
                <w:rFonts w:ascii="宋体" w:hAnsi="宋体" w:cs="宋体"/>
                <w:color w:val="auto"/>
                <w:sz w:val="24"/>
                <w:szCs w:val="24"/>
              </w:rPr>
            </w:pPr>
            <w:r>
              <w:rPr>
                <w:rFonts w:ascii="宋体" w:hAnsi="宋体" w:cs="宋体"/>
                <w:color w:val="auto"/>
                <w:sz w:val="24"/>
                <w:szCs w:val="24"/>
              </w:rPr>
              <w:t>AI设备报警消息接收</w:t>
            </w:r>
          </w:p>
          <w:p w14:paraId="1CA7A5A0">
            <w:pPr>
              <w:widowControl/>
              <w:numPr>
                <w:ilvl w:val="0"/>
                <w:numId w:val="59"/>
              </w:numPr>
              <w:ind w:left="0" w:firstLine="0"/>
              <w:jc w:val="left"/>
              <w:rPr>
                <w:rFonts w:ascii="宋体" w:hAnsi="宋体" w:cs="宋体"/>
                <w:color w:val="auto"/>
                <w:sz w:val="24"/>
                <w:szCs w:val="24"/>
              </w:rPr>
            </w:pPr>
            <w:r>
              <w:rPr>
                <w:rFonts w:hint="eastAsia" w:ascii="宋体" w:hAnsi="宋体" w:cs="宋体"/>
                <w:color w:val="auto"/>
                <w:sz w:val="24"/>
                <w:szCs w:val="24"/>
              </w:rPr>
              <w:t>物联预警</w:t>
            </w:r>
          </w:p>
          <w:p w14:paraId="4A3C8780">
            <w:pPr>
              <w:widowControl/>
              <w:jc w:val="left"/>
              <w:rPr>
                <w:rFonts w:ascii="宋体" w:hAnsi="宋体" w:cs="宋体"/>
                <w:color w:val="auto"/>
                <w:sz w:val="24"/>
                <w:szCs w:val="24"/>
              </w:rPr>
            </w:pPr>
            <w:r>
              <w:rPr>
                <w:rFonts w:hint="eastAsia" w:ascii="宋体" w:hAnsi="宋体" w:cs="宋体"/>
                <w:color w:val="auto"/>
                <w:sz w:val="24"/>
                <w:szCs w:val="24"/>
              </w:rPr>
              <w:t>物联传感设备的报警消息接收（包括场景的报警消息）</w:t>
            </w:r>
          </w:p>
          <w:p w14:paraId="2D6DD656">
            <w:pPr>
              <w:widowControl/>
              <w:jc w:val="left"/>
              <w:rPr>
                <w:color w:val="auto"/>
              </w:rPr>
            </w:pPr>
            <w:r>
              <w:rPr>
                <w:rFonts w:ascii="宋体" w:hAnsi="宋体" w:cs="宋体"/>
                <w:color w:val="auto"/>
                <w:sz w:val="24"/>
                <w:szCs w:val="24"/>
              </w:rPr>
              <w:t>3.可对APP端发送消息提醒；可发送消息提醒给下辖组织、角色部门和个人；负责人可收到信息通知。</w:t>
            </w:r>
          </w:p>
        </w:tc>
        <w:tc>
          <w:tcPr>
            <w:tcW w:w="557" w:type="pct"/>
            <w:vAlign w:val="center"/>
          </w:tcPr>
          <w:p w14:paraId="4F13336C">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4891BE13">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672A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pct"/>
            <w:vAlign w:val="center"/>
          </w:tcPr>
          <w:p w14:paraId="6158D8FF">
            <w:pPr>
              <w:jc w:val="center"/>
              <w:rPr>
                <w:rFonts w:ascii="宋体" w:hAnsi="宋体" w:cs="宋体"/>
                <w:color w:val="auto"/>
                <w:sz w:val="24"/>
                <w:szCs w:val="24"/>
              </w:rPr>
            </w:pPr>
            <w:r>
              <w:rPr>
                <w:rFonts w:hint="eastAsia" w:ascii="宋体" w:hAnsi="宋体" w:cs="宋体"/>
                <w:color w:val="auto"/>
                <w:sz w:val="24"/>
                <w:szCs w:val="24"/>
              </w:rPr>
              <w:t>人事管理</w:t>
            </w:r>
          </w:p>
          <w:p w14:paraId="0F828303">
            <w:pPr>
              <w:jc w:val="center"/>
              <w:rPr>
                <w:rFonts w:ascii="宋体" w:hAnsi="宋体" w:cs="宋体"/>
                <w:color w:val="auto"/>
                <w:kern w:val="0"/>
                <w:sz w:val="24"/>
                <w:szCs w:val="24"/>
                <w:lang w:bidi="ar"/>
              </w:rPr>
            </w:pPr>
          </w:p>
        </w:tc>
        <w:tc>
          <w:tcPr>
            <w:tcW w:w="3067" w:type="pct"/>
          </w:tcPr>
          <w:p w14:paraId="646356C6">
            <w:pPr>
              <w:widowControl/>
              <w:numPr>
                <w:ilvl w:val="0"/>
                <w:numId w:val="60"/>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员工管理</w:t>
            </w:r>
          </w:p>
          <w:p w14:paraId="45F4A187">
            <w:pPr>
              <w:widowControl/>
              <w:numPr>
                <w:ilvl w:val="0"/>
                <w:numId w:val="61"/>
              </w:numPr>
              <w:ind w:left="0" w:firstLine="0"/>
              <w:jc w:val="left"/>
              <w:rPr>
                <w:rFonts w:ascii="宋体" w:hAnsi="宋体" w:cs="宋体"/>
                <w:color w:val="auto"/>
                <w:sz w:val="24"/>
                <w:szCs w:val="24"/>
              </w:rPr>
            </w:pPr>
            <w:r>
              <w:rPr>
                <w:rFonts w:hint="eastAsia" w:ascii="宋体" w:hAnsi="宋体" w:cs="宋体"/>
                <w:color w:val="auto"/>
                <w:sz w:val="24"/>
                <w:szCs w:val="24"/>
              </w:rPr>
              <w:t>学校员工</w:t>
            </w:r>
          </w:p>
          <w:p w14:paraId="5B83504A">
            <w:pPr>
              <w:widowControl/>
              <w:jc w:val="left"/>
              <w:rPr>
                <w:rFonts w:ascii="宋体" w:hAnsi="宋体" w:cs="宋体"/>
                <w:color w:val="auto"/>
                <w:sz w:val="24"/>
                <w:szCs w:val="24"/>
              </w:rPr>
            </w:pPr>
            <w:r>
              <w:rPr>
                <w:rFonts w:hint="eastAsia" w:ascii="宋体" w:hAnsi="宋体" w:cs="宋体"/>
                <w:color w:val="auto"/>
                <w:sz w:val="24"/>
                <w:szCs w:val="24"/>
              </w:rPr>
              <w:t>支持维护学校后勤部门员工信息，依据开启后厨门禁系统权限</w:t>
            </w:r>
          </w:p>
          <w:p w14:paraId="16C693FA">
            <w:pPr>
              <w:widowControl/>
              <w:numPr>
                <w:ilvl w:val="0"/>
                <w:numId w:val="61"/>
              </w:numPr>
              <w:ind w:left="0" w:firstLine="0"/>
              <w:jc w:val="left"/>
              <w:rPr>
                <w:rFonts w:ascii="宋体" w:hAnsi="宋体" w:cs="宋体"/>
                <w:color w:val="auto"/>
                <w:sz w:val="24"/>
                <w:szCs w:val="24"/>
              </w:rPr>
            </w:pPr>
            <w:r>
              <w:rPr>
                <w:rFonts w:hint="eastAsia" w:ascii="宋体" w:hAnsi="宋体" w:cs="宋体"/>
                <w:color w:val="auto"/>
                <w:sz w:val="24"/>
                <w:szCs w:val="24"/>
              </w:rPr>
              <w:t>食堂员工</w:t>
            </w:r>
          </w:p>
          <w:p w14:paraId="02AC571B">
            <w:pPr>
              <w:widowControl/>
              <w:jc w:val="left"/>
              <w:rPr>
                <w:rFonts w:ascii="宋体" w:hAnsi="宋体" w:cs="宋体"/>
                <w:color w:val="auto"/>
                <w:sz w:val="24"/>
                <w:szCs w:val="24"/>
              </w:rPr>
            </w:pPr>
            <w:r>
              <w:rPr>
                <w:rFonts w:hint="eastAsia" w:ascii="宋体" w:hAnsi="宋体" w:cs="宋体"/>
                <w:color w:val="auto"/>
                <w:sz w:val="24"/>
                <w:szCs w:val="24"/>
              </w:rPr>
              <w:t>支持查看、维护食堂员工信息</w:t>
            </w:r>
          </w:p>
          <w:p w14:paraId="03724FAB">
            <w:pPr>
              <w:widowControl/>
              <w:numPr>
                <w:ilvl w:val="0"/>
                <w:numId w:val="60"/>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食堂出勤</w:t>
            </w:r>
          </w:p>
          <w:p w14:paraId="2237173C">
            <w:pPr>
              <w:widowControl/>
              <w:numPr>
                <w:ilvl w:val="0"/>
                <w:numId w:val="62"/>
              </w:numPr>
              <w:ind w:left="0" w:firstLine="0"/>
              <w:jc w:val="left"/>
              <w:rPr>
                <w:rFonts w:ascii="宋体" w:hAnsi="宋体" w:cs="宋体"/>
                <w:color w:val="auto"/>
                <w:sz w:val="24"/>
                <w:szCs w:val="24"/>
              </w:rPr>
            </w:pPr>
            <w:r>
              <w:rPr>
                <w:rFonts w:hint="eastAsia" w:ascii="宋体" w:hAnsi="宋体" w:cs="宋体"/>
                <w:color w:val="auto"/>
                <w:sz w:val="24"/>
                <w:szCs w:val="24"/>
              </w:rPr>
              <w:t>支持查看下属各食堂员工出勤信息</w:t>
            </w:r>
          </w:p>
          <w:p w14:paraId="4D77DCFD">
            <w:pPr>
              <w:widowControl/>
              <w:numPr>
                <w:ilvl w:val="0"/>
                <w:numId w:val="60"/>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培训管理</w:t>
            </w:r>
          </w:p>
          <w:p w14:paraId="216F38B2">
            <w:pPr>
              <w:widowControl/>
              <w:numPr>
                <w:ilvl w:val="0"/>
                <w:numId w:val="63"/>
              </w:numPr>
              <w:ind w:left="0" w:firstLine="0"/>
              <w:jc w:val="left"/>
              <w:rPr>
                <w:rFonts w:ascii="宋体" w:hAnsi="宋体" w:cs="宋体"/>
                <w:color w:val="auto"/>
                <w:sz w:val="24"/>
                <w:szCs w:val="24"/>
              </w:rPr>
            </w:pPr>
            <w:r>
              <w:rPr>
                <w:rFonts w:hint="eastAsia" w:ascii="宋体" w:hAnsi="宋体" w:cs="宋体"/>
                <w:color w:val="auto"/>
                <w:sz w:val="24"/>
                <w:szCs w:val="24"/>
              </w:rPr>
              <w:t>支持上传食堂培训学习资料（文件、视频）</w:t>
            </w:r>
          </w:p>
          <w:p w14:paraId="414FC53F">
            <w:pPr>
              <w:widowControl/>
              <w:numPr>
                <w:ilvl w:val="0"/>
                <w:numId w:val="63"/>
              </w:numPr>
              <w:ind w:left="0" w:firstLine="0"/>
              <w:jc w:val="left"/>
              <w:rPr>
                <w:color w:val="auto"/>
              </w:rPr>
            </w:pPr>
            <w:r>
              <w:rPr>
                <w:rFonts w:hint="eastAsia" w:ascii="宋体" w:hAnsi="宋体" w:cs="宋体"/>
                <w:color w:val="auto"/>
                <w:sz w:val="24"/>
                <w:szCs w:val="24"/>
              </w:rPr>
              <w:t>支持查看学习记录</w:t>
            </w:r>
          </w:p>
          <w:p w14:paraId="6F0FB4EA">
            <w:pPr>
              <w:widowControl/>
              <w:numPr>
                <w:ilvl w:val="0"/>
                <w:numId w:val="60"/>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门禁权限管理</w:t>
            </w:r>
          </w:p>
          <w:p w14:paraId="35FF42CA">
            <w:pPr>
              <w:widowControl/>
              <w:numPr>
                <w:ilvl w:val="0"/>
                <w:numId w:val="64"/>
              </w:numPr>
              <w:ind w:left="0" w:firstLine="0"/>
              <w:jc w:val="left"/>
              <w:rPr>
                <w:rFonts w:ascii="宋体" w:hAnsi="宋体" w:cs="宋体"/>
                <w:color w:val="auto"/>
                <w:sz w:val="24"/>
                <w:szCs w:val="24"/>
              </w:rPr>
            </w:pPr>
            <w:r>
              <w:rPr>
                <w:rFonts w:hint="eastAsia" w:ascii="宋体" w:hAnsi="宋体" w:cs="宋体"/>
                <w:color w:val="auto"/>
                <w:sz w:val="24"/>
                <w:szCs w:val="24"/>
              </w:rPr>
              <w:t>权限组管理</w:t>
            </w:r>
          </w:p>
          <w:p w14:paraId="1EF7DE0B">
            <w:pPr>
              <w:widowControl/>
              <w:jc w:val="left"/>
              <w:rPr>
                <w:rFonts w:ascii="宋体" w:hAnsi="宋体" w:cs="宋体"/>
                <w:color w:val="auto"/>
                <w:sz w:val="24"/>
                <w:szCs w:val="24"/>
              </w:rPr>
            </w:pPr>
            <w:r>
              <w:rPr>
                <w:rFonts w:hint="eastAsia" w:ascii="宋体" w:hAnsi="宋体" w:cs="宋体"/>
                <w:color w:val="auto"/>
                <w:sz w:val="24"/>
                <w:szCs w:val="24"/>
              </w:rPr>
              <w:t>支持配置门禁权限信息（人员对于门禁出入权限）</w:t>
            </w:r>
          </w:p>
          <w:p w14:paraId="179BC2CA">
            <w:pPr>
              <w:widowControl/>
              <w:numPr>
                <w:ilvl w:val="0"/>
                <w:numId w:val="64"/>
              </w:numPr>
              <w:ind w:left="0" w:firstLine="0"/>
              <w:jc w:val="left"/>
              <w:rPr>
                <w:rFonts w:ascii="宋体" w:hAnsi="宋体" w:cs="宋体"/>
                <w:color w:val="auto"/>
                <w:sz w:val="24"/>
                <w:szCs w:val="24"/>
              </w:rPr>
            </w:pPr>
            <w:r>
              <w:rPr>
                <w:rFonts w:hint="eastAsia" w:ascii="宋体" w:hAnsi="宋体" w:cs="宋体"/>
                <w:color w:val="auto"/>
                <w:sz w:val="24"/>
                <w:szCs w:val="24"/>
              </w:rPr>
              <w:t>员工权限管理</w:t>
            </w:r>
          </w:p>
          <w:p w14:paraId="41E227ED">
            <w:pPr>
              <w:widowControl/>
              <w:jc w:val="left"/>
              <w:rPr>
                <w:rFonts w:ascii="宋体" w:hAnsi="宋体" w:cs="宋体"/>
                <w:color w:val="auto"/>
                <w:sz w:val="24"/>
                <w:szCs w:val="24"/>
              </w:rPr>
            </w:pPr>
            <w:r>
              <w:rPr>
                <w:rFonts w:hint="eastAsia" w:ascii="宋体" w:hAnsi="宋体" w:cs="宋体"/>
                <w:color w:val="auto"/>
                <w:sz w:val="24"/>
                <w:szCs w:val="24"/>
              </w:rPr>
              <w:t>支持查看员工对应有权限门禁设备信息</w:t>
            </w:r>
          </w:p>
          <w:p w14:paraId="435D6105">
            <w:pPr>
              <w:widowControl/>
              <w:numPr>
                <w:ilvl w:val="0"/>
                <w:numId w:val="64"/>
              </w:numPr>
              <w:ind w:left="0" w:firstLine="0"/>
              <w:jc w:val="left"/>
              <w:rPr>
                <w:rFonts w:ascii="宋体" w:hAnsi="宋体" w:cs="宋体"/>
                <w:color w:val="auto"/>
                <w:sz w:val="24"/>
                <w:szCs w:val="24"/>
              </w:rPr>
            </w:pPr>
            <w:r>
              <w:rPr>
                <w:rFonts w:hint="eastAsia" w:ascii="宋体" w:hAnsi="宋体" w:cs="宋体"/>
                <w:color w:val="auto"/>
                <w:sz w:val="24"/>
                <w:szCs w:val="24"/>
              </w:rPr>
              <w:t>门禁事件明细</w:t>
            </w:r>
          </w:p>
          <w:p w14:paraId="7CEF6DBF">
            <w:pPr>
              <w:widowControl/>
              <w:jc w:val="left"/>
              <w:rPr>
                <w:rFonts w:ascii="宋体" w:hAnsi="宋体" w:cs="宋体"/>
                <w:color w:val="auto"/>
                <w:sz w:val="24"/>
                <w:szCs w:val="24"/>
              </w:rPr>
            </w:pPr>
            <w:r>
              <w:rPr>
                <w:rFonts w:hint="eastAsia" w:ascii="宋体" w:hAnsi="宋体" w:cs="宋体"/>
                <w:color w:val="auto"/>
                <w:sz w:val="24"/>
                <w:szCs w:val="24"/>
              </w:rPr>
              <w:t>支持查看员工门禁出入事件明细</w:t>
            </w:r>
          </w:p>
          <w:p w14:paraId="2C75D391">
            <w:pPr>
              <w:widowControl/>
              <w:numPr>
                <w:ilvl w:val="0"/>
                <w:numId w:val="64"/>
              </w:numPr>
              <w:ind w:left="0" w:firstLine="0"/>
              <w:jc w:val="left"/>
              <w:rPr>
                <w:rFonts w:ascii="宋体" w:hAnsi="宋体" w:cs="宋体"/>
                <w:color w:val="auto"/>
                <w:sz w:val="24"/>
                <w:szCs w:val="24"/>
              </w:rPr>
            </w:pPr>
            <w:r>
              <w:rPr>
                <w:rFonts w:hint="eastAsia" w:ascii="宋体" w:hAnsi="宋体" w:cs="宋体"/>
                <w:color w:val="auto"/>
                <w:sz w:val="24"/>
                <w:szCs w:val="24"/>
              </w:rPr>
              <w:t>同步事件明细</w:t>
            </w:r>
          </w:p>
          <w:p w14:paraId="364241F0">
            <w:pPr>
              <w:widowControl/>
              <w:jc w:val="left"/>
              <w:rPr>
                <w:rFonts w:ascii="宋体" w:hAnsi="宋体" w:cs="宋体"/>
                <w:color w:val="auto"/>
                <w:sz w:val="24"/>
                <w:szCs w:val="24"/>
              </w:rPr>
            </w:pPr>
            <w:r>
              <w:rPr>
                <w:rFonts w:hint="eastAsia" w:ascii="宋体" w:hAnsi="宋体" w:cs="宋体"/>
                <w:color w:val="auto"/>
                <w:sz w:val="24"/>
                <w:szCs w:val="24"/>
              </w:rPr>
              <w:t>支持查看员工门禁权限下发同步信息</w:t>
            </w:r>
          </w:p>
          <w:p w14:paraId="04300181">
            <w:pPr>
              <w:widowControl/>
              <w:jc w:val="left"/>
              <w:rPr>
                <w:color w:val="auto"/>
              </w:rPr>
            </w:pPr>
            <w:r>
              <w:rPr>
                <w:rFonts w:ascii="宋体" w:hAnsi="宋体" w:cs="宋体"/>
                <w:color w:val="auto"/>
                <w:sz w:val="24"/>
                <w:szCs w:val="24"/>
              </w:rPr>
              <w:t>5.可对员工进行食品安全专业知识的培训和考试。</w:t>
            </w:r>
          </w:p>
        </w:tc>
        <w:tc>
          <w:tcPr>
            <w:tcW w:w="557" w:type="pct"/>
            <w:vAlign w:val="center"/>
          </w:tcPr>
          <w:p w14:paraId="6C06FAC2">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0C2887D8">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467C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38" w:type="pct"/>
            <w:vAlign w:val="center"/>
          </w:tcPr>
          <w:p w14:paraId="731A701C">
            <w:pPr>
              <w:jc w:val="center"/>
              <w:rPr>
                <w:rFonts w:ascii="宋体" w:hAnsi="宋体" w:cs="宋体"/>
                <w:color w:val="auto"/>
                <w:sz w:val="24"/>
                <w:szCs w:val="24"/>
              </w:rPr>
            </w:pPr>
            <w:r>
              <w:rPr>
                <w:rFonts w:hint="eastAsia" w:ascii="宋体" w:hAnsi="宋体" w:cs="宋体"/>
                <w:color w:val="auto"/>
                <w:sz w:val="24"/>
                <w:szCs w:val="24"/>
              </w:rPr>
              <w:t>系统管理</w:t>
            </w:r>
          </w:p>
          <w:p w14:paraId="1450497C">
            <w:pPr>
              <w:jc w:val="center"/>
              <w:rPr>
                <w:rFonts w:ascii="宋体" w:hAnsi="宋体" w:cs="宋体"/>
                <w:color w:val="auto"/>
                <w:kern w:val="0"/>
                <w:sz w:val="24"/>
                <w:szCs w:val="24"/>
                <w:lang w:bidi="ar"/>
              </w:rPr>
            </w:pPr>
          </w:p>
        </w:tc>
        <w:tc>
          <w:tcPr>
            <w:tcW w:w="3067" w:type="pct"/>
          </w:tcPr>
          <w:p w14:paraId="511AD8C8">
            <w:pPr>
              <w:widowControl/>
              <w:numPr>
                <w:ilvl w:val="0"/>
                <w:numId w:val="65"/>
              </w:numPr>
              <w:ind w:left="0" w:firstLine="0"/>
              <w:jc w:val="left"/>
              <w:rPr>
                <w:rFonts w:ascii="宋体" w:hAnsi="宋体" w:cs="宋体"/>
                <w:color w:val="auto"/>
                <w:sz w:val="24"/>
                <w:szCs w:val="24"/>
              </w:rPr>
            </w:pPr>
            <w:r>
              <w:rPr>
                <w:rFonts w:hint="eastAsia" w:ascii="宋体" w:hAnsi="宋体" w:cs="宋体"/>
                <w:color w:val="auto"/>
                <w:sz w:val="24"/>
                <w:szCs w:val="24"/>
              </w:rPr>
              <w:t>用户管理</w:t>
            </w:r>
          </w:p>
          <w:p w14:paraId="7A179A28">
            <w:pPr>
              <w:widowControl/>
              <w:numPr>
                <w:ilvl w:val="0"/>
                <w:numId w:val="66"/>
              </w:numPr>
              <w:ind w:firstLine="0"/>
              <w:jc w:val="left"/>
              <w:rPr>
                <w:rFonts w:ascii="宋体" w:hAnsi="宋体" w:cs="宋体"/>
                <w:color w:val="auto"/>
                <w:sz w:val="24"/>
                <w:szCs w:val="24"/>
              </w:rPr>
            </w:pPr>
            <w:r>
              <w:rPr>
                <w:rFonts w:hint="eastAsia" w:ascii="宋体" w:hAnsi="宋体" w:cs="宋体"/>
                <w:color w:val="auto"/>
                <w:sz w:val="24"/>
                <w:szCs w:val="24"/>
              </w:rPr>
              <w:t>支持进行食安指挥系统用户权限开通</w:t>
            </w:r>
          </w:p>
          <w:p w14:paraId="2F3D99B3">
            <w:pPr>
              <w:widowControl/>
              <w:numPr>
                <w:ilvl w:val="0"/>
                <w:numId w:val="66"/>
              </w:numPr>
              <w:ind w:firstLine="0"/>
              <w:jc w:val="left"/>
              <w:rPr>
                <w:color w:val="auto"/>
              </w:rPr>
            </w:pPr>
            <w:r>
              <w:rPr>
                <w:rFonts w:hint="eastAsia" w:ascii="宋体" w:hAnsi="宋体" w:cs="宋体"/>
                <w:color w:val="auto"/>
                <w:sz w:val="24"/>
                <w:szCs w:val="24"/>
              </w:rPr>
              <w:t>支持进行数智食堂系统用户开通（店长账号）</w:t>
            </w:r>
          </w:p>
          <w:p w14:paraId="73E0A99B">
            <w:pPr>
              <w:widowControl/>
              <w:numPr>
                <w:ilvl w:val="0"/>
                <w:numId w:val="65"/>
              </w:numPr>
              <w:ind w:left="0" w:firstLine="0"/>
              <w:jc w:val="left"/>
              <w:rPr>
                <w:rFonts w:ascii="宋体" w:hAnsi="宋体" w:cs="宋体"/>
                <w:color w:val="auto"/>
                <w:sz w:val="24"/>
                <w:szCs w:val="24"/>
              </w:rPr>
            </w:pPr>
            <w:r>
              <w:rPr>
                <w:rFonts w:hint="eastAsia" w:ascii="宋体" w:hAnsi="宋体" w:cs="宋体"/>
                <w:color w:val="auto"/>
                <w:sz w:val="24"/>
                <w:szCs w:val="24"/>
              </w:rPr>
              <w:t>角色管理</w:t>
            </w:r>
          </w:p>
          <w:p w14:paraId="60FB3A7E">
            <w:pPr>
              <w:widowControl/>
              <w:numPr>
                <w:ilvl w:val="0"/>
                <w:numId w:val="67"/>
              </w:numPr>
              <w:ind w:firstLine="0"/>
              <w:jc w:val="left"/>
              <w:rPr>
                <w:rFonts w:ascii="宋体" w:hAnsi="宋体" w:cs="宋体"/>
                <w:color w:val="auto"/>
                <w:sz w:val="24"/>
                <w:szCs w:val="24"/>
              </w:rPr>
            </w:pPr>
            <w:r>
              <w:rPr>
                <w:rFonts w:hint="eastAsia" w:ascii="宋体" w:hAnsi="宋体" w:cs="宋体"/>
                <w:color w:val="auto"/>
                <w:sz w:val="24"/>
                <w:szCs w:val="24"/>
              </w:rPr>
              <w:t>部署时默认下发初始时系统角色</w:t>
            </w:r>
            <w:r>
              <w:rPr>
                <w:rFonts w:ascii="宋体" w:hAnsi="宋体" w:cs="宋体"/>
                <w:color w:val="auto"/>
                <w:sz w:val="24"/>
                <w:szCs w:val="24"/>
              </w:rPr>
              <w:t>-</w:t>
            </w:r>
            <w:r>
              <w:rPr>
                <w:rFonts w:hint="eastAsia" w:ascii="宋体" w:hAnsi="宋体" w:cs="宋体"/>
                <w:color w:val="auto"/>
                <w:sz w:val="24"/>
                <w:szCs w:val="24"/>
              </w:rPr>
              <w:t>食安指挥系统、数智食堂系统</w:t>
            </w:r>
          </w:p>
          <w:p w14:paraId="7C3A6289">
            <w:pPr>
              <w:widowControl/>
              <w:numPr>
                <w:ilvl w:val="0"/>
                <w:numId w:val="67"/>
              </w:numPr>
              <w:ind w:firstLine="0"/>
              <w:jc w:val="left"/>
              <w:rPr>
                <w:rFonts w:ascii="宋体" w:hAnsi="宋体" w:cs="宋体"/>
                <w:color w:val="auto"/>
                <w:sz w:val="24"/>
                <w:szCs w:val="24"/>
              </w:rPr>
            </w:pPr>
            <w:r>
              <w:rPr>
                <w:rFonts w:hint="eastAsia" w:ascii="宋体" w:hAnsi="宋体" w:cs="宋体"/>
                <w:color w:val="auto"/>
                <w:sz w:val="24"/>
                <w:szCs w:val="24"/>
              </w:rPr>
              <w:t>支持维护食安指挥系统角色、角色权限</w:t>
            </w:r>
          </w:p>
          <w:p w14:paraId="5F295C51">
            <w:pPr>
              <w:widowControl/>
              <w:numPr>
                <w:ilvl w:val="0"/>
                <w:numId w:val="67"/>
              </w:numPr>
              <w:ind w:firstLine="0"/>
              <w:jc w:val="left"/>
              <w:rPr>
                <w:color w:val="auto"/>
              </w:rPr>
            </w:pPr>
            <w:r>
              <w:rPr>
                <w:rFonts w:hint="eastAsia" w:ascii="宋体" w:hAnsi="宋体" w:cs="宋体"/>
                <w:color w:val="auto"/>
                <w:sz w:val="24"/>
                <w:szCs w:val="24"/>
              </w:rPr>
              <w:t>支持维护数智食堂系统角色</w:t>
            </w:r>
          </w:p>
          <w:p w14:paraId="29A0E958">
            <w:pPr>
              <w:widowControl/>
              <w:numPr>
                <w:ilvl w:val="0"/>
                <w:numId w:val="65"/>
              </w:numPr>
              <w:ind w:left="0" w:firstLine="0"/>
              <w:jc w:val="left"/>
              <w:rPr>
                <w:rFonts w:ascii="宋体" w:hAnsi="宋体" w:cs="宋体"/>
                <w:color w:val="auto"/>
                <w:sz w:val="24"/>
                <w:szCs w:val="24"/>
              </w:rPr>
            </w:pPr>
            <w:r>
              <w:rPr>
                <w:rFonts w:hint="eastAsia" w:ascii="宋体" w:hAnsi="宋体" w:cs="宋体"/>
                <w:color w:val="auto"/>
                <w:sz w:val="24"/>
                <w:szCs w:val="24"/>
              </w:rPr>
              <w:t>部门管理</w:t>
            </w:r>
          </w:p>
          <w:p w14:paraId="4038C0DA">
            <w:pPr>
              <w:widowControl/>
              <w:jc w:val="left"/>
              <w:rPr>
                <w:rFonts w:ascii="宋体" w:hAnsi="宋体" w:cs="宋体"/>
                <w:color w:val="auto"/>
                <w:sz w:val="24"/>
                <w:szCs w:val="24"/>
              </w:rPr>
            </w:pPr>
            <w:r>
              <w:rPr>
                <w:rFonts w:hint="eastAsia" w:ascii="宋体" w:hAnsi="宋体" w:cs="宋体"/>
                <w:color w:val="auto"/>
                <w:sz w:val="24"/>
                <w:szCs w:val="24"/>
              </w:rPr>
              <w:t>支持维护学校后勤部门信息，并可进行新增、删除、修改，同时可对部门进行关联食堂、关联检查表等操作</w:t>
            </w:r>
          </w:p>
          <w:p w14:paraId="78FF33D1">
            <w:pPr>
              <w:widowControl/>
              <w:numPr>
                <w:ilvl w:val="0"/>
                <w:numId w:val="65"/>
              </w:numPr>
              <w:ind w:left="0" w:firstLine="0"/>
              <w:jc w:val="left"/>
              <w:rPr>
                <w:rFonts w:ascii="宋体" w:hAnsi="宋体" w:cs="宋体"/>
                <w:color w:val="auto"/>
                <w:sz w:val="24"/>
                <w:szCs w:val="24"/>
              </w:rPr>
            </w:pPr>
            <w:r>
              <w:rPr>
                <w:rFonts w:hint="eastAsia" w:ascii="宋体" w:hAnsi="宋体" w:cs="宋体"/>
                <w:color w:val="auto"/>
                <w:sz w:val="24"/>
                <w:szCs w:val="24"/>
              </w:rPr>
              <w:t>岗位管理</w:t>
            </w:r>
          </w:p>
          <w:p w14:paraId="29351569">
            <w:pPr>
              <w:widowControl/>
              <w:jc w:val="left"/>
              <w:rPr>
                <w:rFonts w:ascii="宋体" w:hAnsi="宋体" w:cs="宋体"/>
                <w:color w:val="auto"/>
                <w:sz w:val="24"/>
                <w:szCs w:val="24"/>
              </w:rPr>
            </w:pPr>
            <w:r>
              <w:rPr>
                <w:rFonts w:hint="eastAsia" w:ascii="宋体" w:hAnsi="宋体" w:cs="宋体"/>
                <w:color w:val="auto"/>
                <w:sz w:val="24"/>
                <w:szCs w:val="24"/>
              </w:rPr>
              <w:t>支持维护学校后勤部门人员岗位，并可进行岗位的增删改导等操作</w:t>
            </w:r>
          </w:p>
          <w:p w14:paraId="1ED490D7">
            <w:pPr>
              <w:widowControl/>
              <w:numPr>
                <w:ilvl w:val="0"/>
                <w:numId w:val="65"/>
              </w:numPr>
              <w:ind w:left="0" w:firstLine="0"/>
              <w:jc w:val="left"/>
              <w:rPr>
                <w:rFonts w:ascii="宋体" w:hAnsi="宋体" w:cs="宋体"/>
                <w:color w:val="auto"/>
                <w:sz w:val="24"/>
                <w:szCs w:val="24"/>
              </w:rPr>
            </w:pPr>
            <w:r>
              <w:rPr>
                <w:rFonts w:hint="eastAsia" w:ascii="宋体" w:hAnsi="宋体" w:cs="宋体"/>
                <w:color w:val="auto"/>
                <w:sz w:val="24"/>
                <w:szCs w:val="24"/>
              </w:rPr>
              <w:t>系统信息管理</w:t>
            </w:r>
          </w:p>
          <w:p w14:paraId="697D3B62">
            <w:pPr>
              <w:widowControl/>
              <w:numPr>
                <w:ilvl w:val="0"/>
                <w:numId w:val="68"/>
              </w:numPr>
              <w:ind w:firstLine="0"/>
              <w:jc w:val="left"/>
              <w:rPr>
                <w:rFonts w:ascii="宋体" w:hAnsi="宋体" w:cs="宋体"/>
                <w:color w:val="auto"/>
                <w:sz w:val="24"/>
                <w:szCs w:val="24"/>
              </w:rPr>
            </w:pPr>
            <w:r>
              <w:rPr>
                <w:rFonts w:hint="eastAsia" w:ascii="宋体" w:hAnsi="宋体" w:cs="宋体"/>
                <w:color w:val="auto"/>
                <w:sz w:val="24"/>
                <w:szCs w:val="24"/>
              </w:rPr>
              <w:t>支持维护系统</w:t>
            </w:r>
            <w:r>
              <w:rPr>
                <w:rFonts w:ascii="宋体" w:hAnsi="宋体" w:cs="宋体"/>
                <w:color w:val="auto"/>
                <w:sz w:val="24"/>
                <w:szCs w:val="24"/>
              </w:rPr>
              <w:t>LOGO；修改替换</w:t>
            </w:r>
          </w:p>
          <w:p w14:paraId="6DA8FC77">
            <w:pPr>
              <w:widowControl/>
              <w:numPr>
                <w:ilvl w:val="0"/>
                <w:numId w:val="68"/>
              </w:numPr>
              <w:ind w:firstLine="0"/>
              <w:jc w:val="left"/>
              <w:rPr>
                <w:rFonts w:ascii="宋体" w:hAnsi="宋体" w:cs="宋体"/>
                <w:color w:val="auto"/>
                <w:sz w:val="24"/>
                <w:szCs w:val="24"/>
              </w:rPr>
            </w:pPr>
            <w:r>
              <w:rPr>
                <w:rFonts w:hint="eastAsia" w:ascii="宋体" w:hAnsi="宋体" w:cs="宋体"/>
                <w:color w:val="auto"/>
                <w:sz w:val="24"/>
                <w:szCs w:val="24"/>
              </w:rPr>
              <w:t>支持配置巡检的配置</w:t>
            </w:r>
          </w:p>
          <w:p w14:paraId="06DAA3C8">
            <w:pPr>
              <w:widowControl/>
              <w:numPr>
                <w:ilvl w:val="0"/>
                <w:numId w:val="68"/>
              </w:numPr>
              <w:ind w:firstLine="0"/>
              <w:jc w:val="left"/>
              <w:rPr>
                <w:rFonts w:ascii="宋体" w:hAnsi="宋体" w:cs="宋体"/>
                <w:color w:val="auto"/>
                <w:sz w:val="24"/>
                <w:szCs w:val="24"/>
              </w:rPr>
            </w:pPr>
            <w:r>
              <w:rPr>
                <w:rFonts w:hint="eastAsia" w:ascii="宋体" w:hAnsi="宋体" w:cs="宋体"/>
                <w:color w:val="auto"/>
                <w:sz w:val="24"/>
                <w:szCs w:val="24"/>
              </w:rPr>
              <w:t>支持食安督查</w:t>
            </w:r>
            <w:r>
              <w:rPr>
                <w:rFonts w:ascii="宋体" w:hAnsi="宋体" w:cs="宋体"/>
                <w:color w:val="auto"/>
                <w:sz w:val="24"/>
                <w:szCs w:val="24"/>
              </w:rPr>
              <w:t>APP</w:t>
            </w:r>
            <w:r>
              <w:rPr>
                <w:rFonts w:hint="eastAsia" w:ascii="宋体" w:hAnsi="宋体" w:cs="宋体"/>
                <w:color w:val="auto"/>
                <w:sz w:val="24"/>
                <w:szCs w:val="24"/>
              </w:rPr>
              <w:t>端轮播</w:t>
            </w:r>
            <w:r>
              <w:rPr>
                <w:rFonts w:ascii="宋体" w:hAnsi="宋体" w:cs="宋体"/>
                <w:color w:val="auto"/>
                <w:sz w:val="24"/>
                <w:szCs w:val="24"/>
              </w:rPr>
              <w:t>banner设置</w:t>
            </w:r>
          </w:p>
          <w:p w14:paraId="1D90CD09">
            <w:pPr>
              <w:widowControl/>
              <w:numPr>
                <w:ilvl w:val="0"/>
                <w:numId w:val="65"/>
              </w:numPr>
              <w:ind w:left="0" w:firstLine="0"/>
              <w:jc w:val="left"/>
              <w:rPr>
                <w:color w:val="auto"/>
              </w:rPr>
            </w:pPr>
            <w:r>
              <w:rPr>
                <w:rFonts w:hint="eastAsia" w:ascii="宋体" w:hAnsi="宋体" w:cs="宋体"/>
                <w:color w:val="auto"/>
                <w:sz w:val="24"/>
                <w:szCs w:val="24"/>
              </w:rPr>
              <w:t>可修改用户角色；可设置系统功能权限：可导出巡店报表；可导出页面；可查看导出示例；可按检查表、时间和门店进行筛选；可修改门店设备信息：可在门店设备页面查看</w:t>
            </w:r>
            <w:r>
              <w:rPr>
                <w:rFonts w:ascii="宋体" w:hAnsi="宋体" w:cs="宋体"/>
                <w:color w:val="auto"/>
                <w:sz w:val="24"/>
                <w:szCs w:val="24"/>
              </w:rPr>
              <w:t>AI识别摄像机、动火离人摄像机、温湿度摄像机和硬盘录像机的</w:t>
            </w:r>
            <w:r>
              <w:rPr>
                <w:rFonts w:hint="eastAsia" w:ascii="宋体" w:hAnsi="宋体" w:cs="宋体"/>
                <w:color w:val="auto"/>
                <w:sz w:val="24"/>
                <w:szCs w:val="24"/>
              </w:rPr>
              <w:t>在线率信息。</w:t>
            </w:r>
          </w:p>
        </w:tc>
        <w:tc>
          <w:tcPr>
            <w:tcW w:w="557" w:type="pct"/>
            <w:vAlign w:val="center"/>
          </w:tcPr>
          <w:p w14:paraId="242A3CDC">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0DD6DF0C">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7E4F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38" w:type="pct"/>
            <w:vAlign w:val="center"/>
          </w:tcPr>
          <w:p w14:paraId="4543FE00">
            <w:pPr>
              <w:jc w:val="center"/>
              <w:rPr>
                <w:rFonts w:ascii="宋体" w:hAnsi="宋体" w:cs="宋体"/>
                <w:color w:val="auto"/>
                <w:sz w:val="24"/>
                <w:szCs w:val="24"/>
              </w:rPr>
            </w:pPr>
            <w:r>
              <w:rPr>
                <w:rFonts w:hint="eastAsia" w:ascii="宋体" w:hAnsi="宋体" w:cs="宋体"/>
                <w:color w:val="auto"/>
                <w:sz w:val="24"/>
                <w:szCs w:val="24"/>
              </w:rPr>
              <w:t>系统监控</w:t>
            </w:r>
          </w:p>
          <w:p w14:paraId="34B4228B">
            <w:pPr>
              <w:jc w:val="center"/>
              <w:rPr>
                <w:rFonts w:ascii="宋体" w:hAnsi="宋体" w:cs="宋体"/>
                <w:color w:val="auto"/>
                <w:kern w:val="0"/>
                <w:sz w:val="24"/>
                <w:szCs w:val="24"/>
                <w:lang w:bidi="ar"/>
              </w:rPr>
            </w:pPr>
          </w:p>
        </w:tc>
        <w:tc>
          <w:tcPr>
            <w:tcW w:w="3067" w:type="pct"/>
          </w:tcPr>
          <w:p w14:paraId="6140963A">
            <w:pPr>
              <w:widowControl/>
              <w:numPr>
                <w:ilvl w:val="0"/>
                <w:numId w:val="69"/>
              </w:numPr>
              <w:ind w:left="0" w:firstLine="0"/>
              <w:jc w:val="left"/>
              <w:rPr>
                <w:rFonts w:ascii="宋体" w:hAnsi="宋体" w:cs="宋体"/>
                <w:color w:val="auto"/>
                <w:sz w:val="24"/>
                <w:szCs w:val="24"/>
              </w:rPr>
            </w:pPr>
            <w:r>
              <w:rPr>
                <w:rFonts w:hint="eastAsia" w:ascii="宋体" w:hAnsi="宋体" w:cs="宋体"/>
                <w:color w:val="auto"/>
                <w:sz w:val="24"/>
                <w:szCs w:val="24"/>
              </w:rPr>
              <w:t>在线用户</w:t>
            </w:r>
          </w:p>
          <w:p w14:paraId="772EBE8B">
            <w:pPr>
              <w:widowControl/>
              <w:jc w:val="left"/>
              <w:rPr>
                <w:rFonts w:ascii="宋体" w:hAnsi="宋体" w:cs="宋体"/>
                <w:color w:val="auto"/>
                <w:sz w:val="24"/>
                <w:szCs w:val="24"/>
              </w:rPr>
            </w:pPr>
            <w:r>
              <w:rPr>
                <w:rFonts w:hint="eastAsia" w:ascii="宋体" w:hAnsi="宋体" w:cs="宋体"/>
                <w:color w:val="auto"/>
                <w:sz w:val="24"/>
                <w:szCs w:val="24"/>
              </w:rPr>
              <w:t>支持查看各系统在线用户信息（含食安监管系统、食安督查</w:t>
            </w:r>
            <w:r>
              <w:rPr>
                <w:rFonts w:ascii="宋体" w:hAnsi="宋体" w:cs="宋体"/>
                <w:color w:val="auto"/>
                <w:sz w:val="24"/>
                <w:szCs w:val="24"/>
              </w:rPr>
              <w:t>APP、</w:t>
            </w:r>
            <w:r>
              <w:rPr>
                <w:rFonts w:hint="eastAsia" w:ascii="宋体" w:hAnsi="宋体" w:cs="宋体"/>
                <w:color w:val="auto"/>
                <w:sz w:val="24"/>
                <w:szCs w:val="24"/>
              </w:rPr>
              <w:t>数智食堂系统、数智食堂</w:t>
            </w:r>
            <w:r>
              <w:rPr>
                <w:rFonts w:ascii="宋体" w:hAnsi="宋体" w:cs="宋体"/>
                <w:color w:val="auto"/>
                <w:sz w:val="24"/>
                <w:szCs w:val="24"/>
              </w:rPr>
              <w:t>APP）</w:t>
            </w:r>
          </w:p>
          <w:p w14:paraId="729043E7">
            <w:pPr>
              <w:widowControl/>
              <w:numPr>
                <w:ilvl w:val="0"/>
                <w:numId w:val="69"/>
              </w:numPr>
              <w:ind w:left="0" w:firstLine="0"/>
              <w:jc w:val="left"/>
              <w:rPr>
                <w:rFonts w:ascii="宋体" w:hAnsi="宋体" w:cs="宋体"/>
                <w:color w:val="auto"/>
                <w:sz w:val="24"/>
                <w:szCs w:val="24"/>
              </w:rPr>
            </w:pPr>
            <w:r>
              <w:rPr>
                <w:rFonts w:hint="eastAsia" w:ascii="宋体" w:hAnsi="宋体" w:cs="宋体"/>
                <w:color w:val="auto"/>
                <w:sz w:val="24"/>
                <w:szCs w:val="24"/>
              </w:rPr>
              <w:t>服务监控（存储空间管理）</w:t>
            </w:r>
          </w:p>
          <w:p w14:paraId="1B4B137F">
            <w:pPr>
              <w:widowControl/>
              <w:jc w:val="left"/>
              <w:rPr>
                <w:rFonts w:ascii="宋体" w:hAnsi="宋体" w:cs="宋体"/>
                <w:color w:val="auto"/>
                <w:sz w:val="24"/>
                <w:szCs w:val="24"/>
              </w:rPr>
            </w:pPr>
            <w:r>
              <w:rPr>
                <w:rFonts w:hint="eastAsia" w:ascii="宋体" w:hAnsi="宋体" w:cs="宋体"/>
                <w:color w:val="auto"/>
                <w:sz w:val="24"/>
                <w:szCs w:val="24"/>
              </w:rPr>
              <w:t>支持查看服务监控信息（扩充各端系统）</w:t>
            </w:r>
          </w:p>
          <w:p w14:paraId="121508B6">
            <w:pPr>
              <w:widowControl/>
              <w:numPr>
                <w:ilvl w:val="0"/>
                <w:numId w:val="69"/>
              </w:numPr>
              <w:ind w:left="0" w:firstLine="0"/>
              <w:jc w:val="left"/>
              <w:rPr>
                <w:rFonts w:ascii="宋体" w:hAnsi="宋体" w:cs="宋体"/>
                <w:color w:val="auto"/>
                <w:sz w:val="24"/>
                <w:szCs w:val="24"/>
              </w:rPr>
            </w:pPr>
            <w:r>
              <w:rPr>
                <w:rFonts w:hint="eastAsia" w:ascii="宋体" w:hAnsi="宋体" w:cs="宋体"/>
                <w:color w:val="auto"/>
                <w:sz w:val="24"/>
                <w:szCs w:val="24"/>
              </w:rPr>
              <w:t>日志管理</w:t>
            </w:r>
          </w:p>
          <w:p w14:paraId="38A63D90">
            <w:pPr>
              <w:widowControl/>
              <w:jc w:val="left"/>
              <w:rPr>
                <w:rFonts w:ascii="宋体" w:hAnsi="宋体" w:cs="宋体"/>
                <w:color w:val="auto"/>
                <w:sz w:val="24"/>
                <w:szCs w:val="24"/>
              </w:rPr>
            </w:pPr>
            <w:r>
              <w:rPr>
                <w:rFonts w:hint="eastAsia" w:ascii="宋体" w:hAnsi="宋体" w:cs="宋体"/>
                <w:color w:val="auto"/>
                <w:sz w:val="24"/>
                <w:szCs w:val="24"/>
              </w:rPr>
              <w:t>支持查看系统日志信息（扩充各端系统），以便远程排查解决问题</w:t>
            </w:r>
          </w:p>
        </w:tc>
        <w:tc>
          <w:tcPr>
            <w:tcW w:w="557" w:type="pct"/>
            <w:vAlign w:val="center"/>
          </w:tcPr>
          <w:p w14:paraId="43AC7A23">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vAlign w:val="center"/>
          </w:tcPr>
          <w:p w14:paraId="58C8BAC3">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18A1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38" w:type="pct"/>
            <w:vAlign w:val="center"/>
          </w:tcPr>
          <w:p w14:paraId="19F65747">
            <w:pPr>
              <w:jc w:val="center"/>
              <w:rPr>
                <w:rFonts w:ascii="宋体" w:hAnsi="宋体" w:cs="宋体"/>
                <w:color w:val="auto"/>
                <w:kern w:val="0"/>
                <w:sz w:val="24"/>
                <w:szCs w:val="24"/>
                <w:lang w:bidi="ar"/>
              </w:rPr>
            </w:pPr>
            <w:r>
              <w:rPr>
                <w:rFonts w:hint="eastAsia" w:ascii="宋体" w:hAnsi="宋体" w:cs="宋体"/>
                <w:color w:val="auto"/>
                <w:kern w:val="0"/>
                <w:sz w:val="24"/>
                <w:szCs w:val="24"/>
                <w:lang w:bidi="ar"/>
              </w:rPr>
              <w:t>运营管理</w:t>
            </w:r>
          </w:p>
        </w:tc>
        <w:tc>
          <w:tcPr>
            <w:tcW w:w="3067" w:type="pct"/>
          </w:tcPr>
          <w:p w14:paraId="0AA33458">
            <w:pPr>
              <w:widowControl/>
              <w:jc w:val="left"/>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1）档口分析：通过系统对接或</w:t>
            </w:r>
            <w:r>
              <w:rPr>
                <w:rFonts w:hint="eastAsia" w:ascii="宋体" w:hAnsi="宋体" w:cs="宋体"/>
                <w:color w:val="auto"/>
                <w:sz w:val="24"/>
                <w:szCs w:val="24"/>
              </w:rPr>
              <w:t>手动上传收集档口数据，做每日盈亏分析，对档口的营收和利润进行月度、年度趋势图分析；分析指标包含但不限于营业收入、食材成本、人工成本、其他成本、毛利率、净利率，支持指定指标做排序分析，连续指定天数不盈利档口系统会自动预警。</w:t>
            </w:r>
          </w:p>
          <w:p w14:paraId="2FBCD2BE">
            <w:pPr>
              <w:widowControl/>
              <w:jc w:val="left"/>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2）食堂分析：通过档口数据计算食堂盈亏情况，对食堂营收和利润数据进行日、月、年度汇总分析；对食堂的营收预算金额和去年同期营</w:t>
            </w:r>
            <w:r>
              <w:rPr>
                <w:rFonts w:hint="eastAsia" w:ascii="宋体" w:hAnsi="宋体" w:cs="宋体"/>
                <w:color w:val="auto"/>
                <w:sz w:val="24"/>
                <w:szCs w:val="24"/>
              </w:rPr>
              <w:t>收金额进行对比分析；分析指标包含但不限于营业收入、食材成本、人工成本、其他成本、毛利率、净利率、大餐占比，支持指定指标做排序分析，连续指定天数不盈利食堂系统会自动预警。</w:t>
            </w:r>
          </w:p>
        </w:tc>
        <w:tc>
          <w:tcPr>
            <w:tcW w:w="557" w:type="pct"/>
            <w:shd w:val="clear" w:color="auto" w:fill="auto"/>
            <w:vAlign w:val="center"/>
          </w:tcPr>
          <w:p w14:paraId="02336D80">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shd w:val="clear" w:color="auto" w:fill="auto"/>
            <w:vAlign w:val="center"/>
          </w:tcPr>
          <w:p w14:paraId="6855A0AA">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04E0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38" w:type="pct"/>
            <w:vAlign w:val="center"/>
          </w:tcPr>
          <w:p w14:paraId="35B07868">
            <w:pPr>
              <w:jc w:val="center"/>
              <w:rPr>
                <w:rFonts w:ascii="宋体" w:hAnsi="宋体" w:cs="宋体"/>
                <w:color w:val="auto"/>
                <w:kern w:val="0"/>
                <w:sz w:val="24"/>
                <w:szCs w:val="24"/>
                <w:lang w:bidi="ar"/>
              </w:rPr>
            </w:pPr>
            <w:r>
              <w:rPr>
                <w:rFonts w:hint="eastAsia" w:ascii="宋体" w:hAnsi="宋体" w:cs="宋体"/>
                <w:color w:val="auto"/>
                <w:kern w:val="0"/>
                <w:sz w:val="24"/>
                <w:szCs w:val="24"/>
                <w:lang w:bidi="ar"/>
              </w:rPr>
              <w:t>系统运维</w:t>
            </w:r>
          </w:p>
        </w:tc>
        <w:tc>
          <w:tcPr>
            <w:tcW w:w="3067" w:type="pct"/>
          </w:tcPr>
          <w:p w14:paraId="051D007F">
            <w:pPr>
              <w:jc w:val="left"/>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服务售后运维，保障全年系统可用，提供免费上门培训。</w:t>
            </w:r>
          </w:p>
          <w:p w14:paraId="2456CE95">
            <w:pPr>
              <w:pStyle w:val="22"/>
              <w:rPr>
                <w:rFonts w:ascii="宋体" w:hAnsi="宋体" w:eastAsia="宋体" w:cs="宋体"/>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保证</w:t>
            </w:r>
            <w:r>
              <w:rPr>
                <w:rFonts w:ascii="宋体" w:hAnsi="宋体" w:eastAsia="宋体" w:cs="宋体"/>
                <w:color w:val="auto"/>
                <w:sz w:val="24"/>
                <w:szCs w:val="24"/>
              </w:rPr>
              <w:t xml:space="preserve">5年免费上门维修维护及系统升级服务。 </w:t>
            </w:r>
          </w:p>
          <w:p w14:paraId="5B8C77F3">
            <w:pPr>
              <w:widowControl/>
              <w:jc w:val="left"/>
              <w:rPr>
                <w:rFonts w:ascii="宋体" w:hAnsi="宋体" w:cs="宋体"/>
                <w:color w:val="auto"/>
                <w:sz w:val="24"/>
                <w:szCs w:val="24"/>
              </w:rPr>
            </w:pPr>
            <w:r>
              <w:rPr>
                <w:rFonts w:ascii="宋体" w:hAnsi="宋体" w:cs="宋体"/>
                <w:color w:val="auto"/>
                <w:sz w:val="24"/>
                <w:szCs w:val="24"/>
              </w:rPr>
              <w:t>3.根据采购人信息化平台建设要求，</w:t>
            </w:r>
            <w:r>
              <w:rPr>
                <w:rFonts w:hint="eastAsia" w:ascii="宋体" w:hAnsi="宋体" w:cs="宋体"/>
                <w:color w:val="auto"/>
                <w:sz w:val="24"/>
                <w:szCs w:val="24"/>
              </w:rPr>
              <w:t>数智食堂无条件接入采购人信息化平台（以采购人指定时间为准），并承担接入所需的费用。</w:t>
            </w:r>
          </w:p>
        </w:tc>
        <w:tc>
          <w:tcPr>
            <w:tcW w:w="557" w:type="pct"/>
            <w:shd w:val="clear" w:color="auto" w:fill="auto"/>
            <w:vAlign w:val="center"/>
          </w:tcPr>
          <w:p w14:paraId="3C416132">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735" w:type="pct"/>
            <w:shd w:val="clear" w:color="auto" w:fill="auto"/>
            <w:vAlign w:val="center"/>
          </w:tcPr>
          <w:p w14:paraId="3783053F">
            <w:pPr>
              <w:spacing w:line="460" w:lineRule="exact"/>
              <w:jc w:val="center"/>
              <w:rPr>
                <w:rFonts w:ascii="宋体" w:hAnsi="宋体" w:cs="宋体"/>
                <w:color w:val="auto"/>
                <w:sz w:val="24"/>
                <w:szCs w:val="24"/>
              </w:rPr>
            </w:pPr>
            <w:r>
              <w:rPr>
                <w:rFonts w:ascii="宋体" w:hAnsi="宋体" w:cs="宋体"/>
                <w:color w:val="auto"/>
                <w:sz w:val="24"/>
                <w:szCs w:val="24"/>
              </w:rPr>
              <w:t>1</w:t>
            </w:r>
          </w:p>
        </w:tc>
      </w:tr>
      <w:tr w14:paraId="6E21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38" w:type="pct"/>
            <w:vAlign w:val="center"/>
          </w:tcPr>
          <w:p w14:paraId="42E06CDE">
            <w:pPr>
              <w:jc w:val="center"/>
              <w:rPr>
                <w:rFonts w:ascii="宋体" w:hAnsi="宋体" w:cs="宋体"/>
                <w:color w:val="auto"/>
                <w:kern w:val="0"/>
                <w:sz w:val="24"/>
                <w:szCs w:val="24"/>
                <w:lang w:bidi="ar"/>
              </w:rPr>
            </w:pPr>
            <w:r>
              <w:rPr>
                <w:rFonts w:hint="eastAsia" w:ascii="宋体" w:hAnsi="宋体" w:cs="宋体"/>
                <w:color w:val="auto"/>
                <w:sz w:val="24"/>
                <w:szCs w:val="24"/>
              </w:rPr>
              <w:t>数智食堂监管平台设施设备</w:t>
            </w:r>
          </w:p>
        </w:tc>
        <w:tc>
          <w:tcPr>
            <w:tcW w:w="3067" w:type="pct"/>
          </w:tcPr>
          <w:p w14:paraId="589841AD">
            <w:pPr>
              <w:numPr>
                <w:ilvl w:val="0"/>
                <w:numId w:val="70"/>
              </w:numPr>
              <w:ind w:left="0" w:firstLine="0"/>
              <w:jc w:val="left"/>
              <w:rPr>
                <w:rFonts w:ascii="宋体" w:hAnsi="宋体" w:cs="宋体"/>
                <w:color w:val="auto"/>
                <w:sz w:val="24"/>
                <w:szCs w:val="24"/>
              </w:rPr>
            </w:pPr>
            <w:r>
              <w:rPr>
                <w:rFonts w:hint="eastAsia" w:ascii="宋体" w:hAnsi="宋体" w:cs="宋体"/>
                <w:color w:val="auto"/>
                <w:sz w:val="24"/>
                <w:szCs w:val="24"/>
              </w:rPr>
              <w:t>数智食堂监管平台大屏设备参数</w:t>
            </w:r>
          </w:p>
          <w:p w14:paraId="528D4D33">
            <w:pPr>
              <w:pStyle w:val="22"/>
              <w:numPr>
                <w:ilvl w:val="0"/>
                <w:numId w:val="71"/>
              </w:numPr>
              <w:ind w:left="0" w:firstLine="0"/>
              <w:rPr>
                <w:rFonts w:ascii="宋体" w:hAnsi="宋体" w:eastAsia="宋体" w:cs="宋体"/>
                <w:color w:val="auto"/>
                <w:sz w:val="24"/>
                <w:szCs w:val="24"/>
              </w:rPr>
            </w:pPr>
            <w:r>
              <w:rPr>
                <w:rFonts w:hint="eastAsia" w:ascii="宋体" w:hAnsi="宋体" w:eastAsia="宋体" w:cs="宋体"/>
                <w:color w:val="auto"/>
                <w:sz w:val="24"/>
                <w:szCs w:val="24"/>
              </w:rPr>
              <w:t>主要参数：</w:t>
            </w:r>
          </w:p>
          <w:p w14:paraId="7F360B4D">
            <w:pPr>
              <w:wordWrap w:val="0"/>
              <w:jc w:val="left"/>
              <w:rPr>
                <w:color w:val="auto"/>
              </w:rPr>
            </w:pPr>
            <w:r>
              <w:rPr>
                <w:rFonts w:hint="eastAsia" w:ascii="宋体" w:hAnsi="宋体" w:cs="宋体"/>
                <w:color w:val="auto"/>
                <w:sz w:val="24"/>
                <w:szCs w:val="24"/>
              </w:rPr>
              <w:t>会议平板一体机，系统配置不低于</w:t>
            </w:r>
            <w:r>
              <w:rPr>
                <w:rFonts w:ascii="宋体" w:hAnsi="宋体" w:cs="宋体"/>
                <w:color w:val="auto"/>
                <w:sz w:val="24"/>
                <w:szCs w:val="24"/>
              </w:rPr>
              <w:t>I7+16+512，不低于100英寸4K画质，支持触摸触控、电子白板、无线投屏，附带移动支架、OPS、翻页笔、投屏器、万向轮推车</w:t>
            </w:r>
          </w:p>
          <w:p w14:paraId="762F84A6">
            <w:pPr>
              <w:wordWrap w:val="0"/>
              <w:jc w:val="left"/>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解码器设备参数</w:t>
            </w:r>
          </w:p>
          <w:p w14:paraId="6F3C4B93">
            <w:pPr>
              <w:pStyle w:val="22"/>
              <w:numPr>
                <w:ilvl w:val="0"/>
                <w:numId w:val="72"/>
              </w:numPr>
              <w:wordWrap w:val="0"/>
              <w:ind w:left="0" w:firstLine="0"/>
              <w:rPr>
                <w:rFonts w:ascii="宋体" w:hAnsi="宋体" w:eastAsia="宋体" w:cs="宋体"/>
                <w:color w:val="auto"/>
                <w:sz w:val="24"/>
                <w:szCs w:val="24"/>
              </w:rPr>
            </w:pPr>
            <w:r>
              <w:rPr>
                <w:rFonts w:hint="eastAsia" w:ascii="宋体" w:hAnsi="宋体" w:eastAsia="宋体" w:cs="宋体"/>
                <w:color w:val="auto"/>
                <w:sz w:val="24"/>
                <w:szCs w:val="24"/>
              </w:rPr>
              <w:t>主要参数：</w:t>
            </w:r>
          </w:p>
          <w:p w14:paraId="58AB2FDA">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支持9路HDMI信号输出</w:t>
            </w:r>
            <w:r>
              <w:rPr>
                <w:rFonts w:hint="eastAsia" w:ascii="宋体" w:hAnsi="宋体" w:cs="宋体"/>
                <w:color w:val="auto"/>
                <w:sz w:val="24"/>
                <w:szCs w:val="24"/>
              </w:rPr>
              <w:t>；</w:t>
            </w:r>
          </w:p>
          <w:p w14:paraId="10FBF8D1">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输出接口最大支持1920×1080@60及以下常规分辨率输出</w:t>
            </w:r>
            <w:r>
              <w:rPr>
                <w:rFonts w:hint="eastAsia" w:ascii="宋体" w:hAnsi="宋体" w:cs="宋体"/>
                <w:color w:val="auto"/>
                <w:sz w:val="24"/>
                <w:szCs w:val="24"/>
              </w:rPr>
              <w:t>；</w:t>
            </w:r>
          </w:p>
          <w:p w14:paraId="16690B02">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支持超高超宽自定义分辨率输出设置，水平分辨率最宽可达3840像素，垂直分辨率最高可达3840像素</w:t>
            </w:r>
            <w:r>
              <w:rPr>
                <w:rFonts w:hint="eastAsia" w:ascii="宋体" w:hAnsi="宋体" w:cs="宋体"/>
                <w:color w:val="auto"/>
                <w:sz w:val="24"/>
                <w:szCs w:val="24"/>
              </w:rPr>
              <w:t>；</w:t>
            </w:r>
          </w:p>
          <w:p w14:paraId="0377456C">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支持4路HDMI信号输入</w:t>
            </w:r>
            <w:r>
              <w:rPr>
                <w:rFonts w:hint="eastAsia" w:ascii="宋体" w:hAnsi="宋体" w:cs="宋体"/>
                <w:color w:val="auto"/>
                <w:sz w:val="24"/>
                <w:szCs w:val="24"/>
              </w:rPr>
              <w:t>；</w:t>
            </w:r>
          </w:p>
          <w:p w14:paraId="2DF97709">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输入接口最大支持3840×2160@60及以下常规分辨率采集</w:t>
            </w:r>
            <w:r>
              <w:rPr>
                <w:rFonts w:hint="eastAsia" w:ascii="宋体" w:hAnsi="宋体" w:cs="宋体"/>
                <w:color w:val="auto"/>
                <w:sz w:val="24"/>
                <w:szCs w:val="24"/>
              </w:rPr>
              <w:t>；</w:t>
            </w:r>
          </w:p>
          <w:p w14:paraId="0C263A4E">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具备1对语音对讲接口：1个3.5mm音频输入接口和1个3.5mm音频输出接口</w:t>
            </w:r>
            <w:r>
              <w:rPr>
                <w:rFonts w:hint="eastAsia" w:ascii="宋体" w:hAnsi="宋体" w:cs="宋体"/>
                <w:color w:val="auto"/>
                <w:sz w:val="24"/>
                <w:szCs w:val="24"/>
              </w:rPr>
              <w:t>；</w:t>
            </w:r>
          </w:p>
          <w:p w14:paraId="6A1B0A89">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整机解码H265支持3路32MP@25fps/9路12MP@25fps/14路8MP@25fps/18路6MP@25fps/24路5MP@25fps/29路4MP@25fps/37路3MP@25fps/57路1080p@25fps/192路D1@25fps（H264支持47路1080p@25fps解码能力）</w:t>
            </w:r>
            <w:r>
              <w:rPr>
                <w:rFonts w:hint="eastAsia" w:ascii="宋体" w:hAnsi="宋体" w:cs="宋体"/>
                <w:color w:val="auto"/>
                <w:sz w:val="24"/>
                <w:szCs w:val="24"/>
              </w:rPr>
              <w:t>；</w:t>
            </w:r>
          </w:p>
          <w:p w14:paraId="48104F5F">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支持MPEG2/MPEG4/H.264/H.265/SVAC/MJPEG标准网络视频流解码</w:t>
            </w:r>
            <w:r>
              <w:rPr>
                <w:rFonts w:hint="eastAsia" w:ascii="宋体" w:hAnsi="宋体" w:cs="宋体"/>
                <w:color w:val="auto"/>
                <w:sz w:val="24"/>
                <w:szCs w:val="24"/>
              </w:rPr>
              <w:t>；</w:t>
            </w:r>
          </w:p>
          <w:p w14:paraId="251345A5">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支持QCIF/CIF/2CIF/HD1/D1/960H/720p/1080p/3MP/4MP/5MP/6MP/8MP/12MP/32MP视频解码</w:t>
            </w:r>
            <w:r>
              <w:rPr>
                <w:rFonts w:hint="eastAsia" w:ascii="宋体" w:hAnsi="宋体" w:cs="宋体"/>
                <w:color w:val="auto"/>
                <w:sz w:val="24"/>
                <w:szCs w:val="24"/>
              </w:rPr>
              <w:t>；</w:t>
            </w:r>
          </w:p>
          <w:p w14:paraId="5B229120">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支持音频压缩格式：PCM/G711/AAC</w:t>
            </w:r>
            <w:r>
              <w:rPr>
                <w:rFonts w:hint="eastAsia" w:ascii="宋体" w:hAnsi="宋体" w:cs="宋体"/>
                <w:color w:val="auto"/>
                <w:sz w:val="24"/>
                <w:szCs w:val="24"/>
              </w:rPr>
              <w:t>；</w:t>
            </w:r>
          </w:p>
          <w:p w14:paraId="79DD4E4E">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支持每屏1/4/6/8/9/16/25/36分割，支持M×N自由分割</w:t>
            </w:r>
            <w:r>
              <w:rPr>
                <w:rFonts w:hint="eastAsia" w:ascii="宋体" w:hAnsi="宋体" w:cs="宋体"/>
                <w:color w:val="auto"/>
                <w:sz w:val="24"/>
                <w:szCs w:val="24"/>
              </w:rPr>
              <w:t>；</w:t>
            </w:r>
          </w:p>
          <w:p w14:paraId="7C2A9ACD">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支持任意开窗、漫游，每屏最大支持36路开窗</w:t>
            </w:r>
            <w:r>
              <w:rPr>
                <w:rFonts w:hint="eastAsia" w:ascii="宋体" w:hAnsi="宋体" w:cs="宋体"/>
                <w:color w:val="auto"/>
                <w:sz w:val="24"/>
                <w:szCs w:val="24"/>
              </w:rPr>
              <w:t>；</w:t>
            </w:r>
          </w:p>
          <w:p w14:paraId="0ACC6E79">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支持电视墙默认底色设置，支持高清底图显示</w:t>
            </w:r>
            <w:r>
              <w:rPr>
                <w:rFonts w:hint="eastAsia" w:ascii="宋体" w:hAnsi="宋体" w:cs="宋体"/>
                <w:color w:val="auto"/>
                <w:sz w:val="24"/>
                <w:szCs w:val="24"/>
              </w:rPr>
              <w:t>；</w:t>
            </w:r>
          </w:p>
          <w:p w14:paraId="794417DD">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支持预案轮巡</w:t>
            </w:r>
            <w:r>
              <w:rPr>
                <w:rFonts w:hint="eastAsia" w:ascii="宋体" w:hAnsi="宋体" w:cs="宋体"/>
                <w:color w:val="auto"/>
                <w:sz w:val="24"/>
                <w:szCs w:val="24"/>
              </w:rPr>
              <w:t>；</w:t>
            </w:r>
          </w:p>
          <w:p w14:paraId="6261B6E2">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支持多屏融合拼接，跨屏画面毫秒级完美同步</w:t>
            </w:r>
            <w:r>
              <w:rPr>
                <w:rFonts w:hint="eastAsia" w:ascii="宋体" w:hAnsi="宋体" w:cs="宋体"/>
                <w:color w:val="auto"/>
                <w:sz w:val="24"/>
                <w:szCs w:val="24"/>
              </w:rPr>
              <w:t>；</w:t>
            </w:r>
          </w:p>
          <w:p w14:paraId="7E75DD9E">
            <w:pPr>
              <w:numPr>
                <w:ilvl w:val="0"/>
                <w:numId w:val="73"/>
              </w:numPr>
              <w:wordWrap w:val="0"/>
              <w:ind w:firstLine="0"/>
              <w:jc w:val="left"/>
              <w:rPr>
                <w:rFonts w:ascii="宋体" w:hAnsi="宋体" w:cs="宋体"/>
                <w:color w:val="auto"/>
                <w:sz w:val="24"/>
                <w:szCs w:val="24"/>
              </w:rPr>
            </w:pPr>
            <w:r>
              <w:rPr>
                <w:rFonts w:ascii="宋体" w:hAnsi="宋体" w:cs="宋体"/>
                <w:color w:val="auto"/>
                <w:sz w:val="24"/>
                <w:szCs w:val="24"/>
              </w:rPr>
              <w:t>支持在大屏上叠加OSD文字信息，支持位置，字体大小等自定义设置</w:t>
            </w:r>
            <w:r>
              <w:rPr>
                <w:rFonts w:hint="eastAsia" w:ascii="宋体" w:hAnsi="宋体" w:cs="宋体"/>
                <w:color w:val="auto"/>
                <w:sz w:val="24"/>
                <w:szCs w:val="24"/>
              </w:rPr>
              <w:t>；</w:t>
            </w:r>
          </w:p>
          <w:p w14:paraId="36E64FED">
            <w:pPr>
              <w:numPr>
                <w:ilvl w:val="0"/>
                <w:numId w:val="73"/>
              </w:numPr>
              <w:wordWrap w:val="0"/>
              <w:ind w:firstLine="0"/>
              <w:jc w:val="left"/>
              <w:rPr>
                <w:color w:val="auto"/>
              </w:rPr>
            </w:pPr>
            <w:r>
              <w:rPr>
                <w:rFonts w:ascii="宋体" w:hAnsi="宋体" w:cs="宋体"/>
                <w:color w:val="auto"/>
                <w:sz w:val="24"/>
                <w:szCs w:val="24"/>
              </w:rPr>
              <w:t>支持Onvif，RTSP，GB28181协议接入，支持海康私有/大华私有协议接入</w:t>
            </w:r>
            <w:r>
              <w:rPr>
                <w:rFonts w:hint="eastAsia" w:ascii="宋体" w:hAnsi="宋体" w:cs="宋体"/>
                <w:color w:val="auto"/>
                <w:sz w:val="24"/>
                <w:szCs w:val="24"/>
              </w:rPr>
              <w:t>；</w:t>
            </w:r>
          </w:p>
          <w:p w14:paraId="2A3552A4">
            <w:pPr>
              <w:jc w:val="left"/>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服务器设备参数</w:t>
            </w:r>
          </w:p>
          <w:p w14:paraId="3EF35C23">
            <w:pPr>
              <w:pStyle w:val="22"/>
              <w:rPr>
                <w:rFonts w:eastAsia="宋体"/>
                <w:color w:val="auto"/>
              </w:rPr>
            </w:pPr>
            <w:r>
              <w:rPr>
                <w:rFonts w:ascii="宋体" w:hAnsi="宋体" w:eastAsia="宋体" w:cs="宋体"/>
                <w:color w:val="auto"/>
                <w:sz w:val="24"/>
                <w:szCs w:val="24"/>
              </w:rPr>
              <w:t>(1)机架式服务器;</w:t>
            </w:r>
          </w:p>
          <w:p w14:paraId="756FE012">
            <w:pPr>
              <w:rPr>
                <w:rFonts w:ascii="宋体" w:hAnsi="宋体" w:cs="宋体"/>
                <w:color w:val="auto"/>
                <w:sz w:val="24"/>
                <w:szCs w:val="24"/>
              </w:rPr>
            </w:pPr>
            <w:r>
              <w:rPr>
                <w:rFonts w:ascii="宋体" w:hAnsi="宋体" w:cs="宋体"/>
                <w:color w:val="auto"/>
                <w:sz w:val="24"/>
                <w:szCs w:val="24"/>
              </w:rPr>
              <w:t>(2)处理器、内存和硬盘按需配置，保障系统流畅且长期可用。</w:t>
            </w:r>
          </w:p>
          <w:p w14:paraId="417CC2D6">
            <w:pPr>
              <w:jc w:val="left"/>
              <w:rPr>
                <w:rFonts w:ascii="宋体" w:hAnsi="宋体" w:cs="宋体"/>
                <w:color w:val="auto"/>
                <w:sz w:val="24"/>
                <w:szCs w:val="24"/>
              </w:rPr>
            </w:pPr>
            <w:r>
              <w:rPr>
                <w:rFonts w:ascii="宋体" w:hAnsi="宋体" w:cs="宋体"/>
                <w:color w:val="auto"/>
                <w:sz w:val="24"/>
                <w:szCs w:val="24"/>
              </w:rPr>
              <w:t>4.输出设备：具备自动双面打印、自动双面复印和自动双面扫描等功能的彩色激光多功能一体机</w:t>
            </w:r>
            <w:r>
              <w:rPr>
                <w:rFonts w:hint="eastAsia" w:ascii="宋体" w:hAnsi="宋体" w:cs="宋体"/>
                <w:color w:val="auto"/>
                <w:sz w:val="24"/>
                <w:szCs w:val="24"/>
              </w:rPr>
              <w:t>，要求打印速度不低于打印</w:t>
            </w:r>
            <w:r>
              <w:rPr>
                <w:rFonts w:ascii="宋体" w:hAnsi="宋体" w:cs="宋体"/>
                <w:color w:val="auto"/>
                <w:sz w:val="24"/>
                <w:szCs w:val="24"/>
              </w:rPr>
              <w:t>A4纸每分钟33页，支持无线网络无线打印。</w:t>
            </w:r>
          </w:p>
          <w:p w14:paraId="3315E833">
            <w:pPr>
              <w:jc w:val="left"/>
              <w:rPr>
                <w:rFonts w:ascii="宋体" w:hAnsi="宋体" w:cs="宋体"/>
                <w:color w:val="auto"/>
                <w:sz w:val="24"/>
                <w:szCs w:val="24"/>
              </w:rPr>
            </w:pPr>
            <w:r>
              <w:rPr>
                <w:rFonts w:ascii="宋体" w:hAnsi="宋体" w:cs="宋体"/>
                <w:color w:val="auto"/>
                <w:sz w:val="24"/>
                <w:szCs w:val="24"/>
              </w:rPr>
              <w:t>5.</w:t>
            </w:r>
            <w:r>
              <w:rPr>
                <w:rFonts w:hint="eastAsia" w:ascii="宋体" w:hAnsi="宋体" w:cs="宋体"/>
                <w:color w:val="auto"/>
                <w:sz w:val="24"/>
                <w:szCs w:val="24"/>
              </w:rPr>
              <w:t>管理电脑设备参数：性能不低于</w:t>
            </w:r>
            <w:r>
              <w:rPr>
                <w:rFonts w:ascii="宋体" w:hAnsi="宋体" w:cs="宋体"/>
                <w:color w:val="auto"/>
                <w:sz w:val="24"/>
                <w:szCs w:val="24"/>
              </w:rPr>
              <w:t>I9/64G/2T固态配置。</w:t>
            </w:r>
          </w:p>
        </w:tc>
        <w:tc>
          <w:tcPr>
            <w:tcW w:w="898" w:type="dxa"/>
            <w:shd w:val="clear" w:color="auto" w:fill="auto"/>
            <w:vAlign w:val="center"/>
          </w:tcPr>
          <w:p w14:paraId="38A2D5B0">
            <w:pPr>
              <w:spacing w:line="460" w:lineRule="exact"/>
              <w:jc w:val="center"/>
              <w:rPr>
                <w:rFonts w:ascii="宋体" w:hAnsi="宋体" w:cs="宋体"/>
                <w:color w:val="auto"/>
                <w:sz w:val="24"/>
                <w:szCs w:val="24"/>
              </w:rPr>
            </w:pPr>
            <w:r>
              <w:rPr>
                <w:rFonts w:hint="eastAsia" w:ascii="宋体" w:hAnsi="宋体" w:cs="宋体"/>
                <w:color w:val="auto"/>
                <w:sz w:val="24"/>
                <w:szCs w:val="24"/>
              </w:rPr>
              <w:t>项</w:t>
            </w:r>
          </w:p>
        </w:tc>
        <w:tc>
          <w:tcPr>
            <w:tcW w:w="1185" w:type="dxa"/>
            <w:shd w:val="clear" w:color="auto" w:fill="auto"/>
            <w:vAlign w:val="center"/>
          </w:tcPr>
          <w:p w14:paraId="5AB66380">
            <w:pPr>
              <w:spacing w:line="460" w:lineRule="exact"/>
              <w:jc w:val="center"/>
              <w:rPr>
                <w:rFonts w:ascii="宋体" w:hAnsi="宋体" w:cs="宋体"/>
                <w:color w:val="auto"/>
                <w:sz w:val="24"/>
                <w:szCs w:val="24"/>
              </w:rPr>
            </w:pPr>
            <w:r>
              <w:rPr>
                <w:rFonts w:ascii="宋体" w:hAnsi="宋体" w:cs="宋体"/>
                <w:color w:val="auto"/>
                <w:sz w:val="24"/>
                <w:szCs w:val="24"/>
              </w:rPr>
              <w:t>1</w:t>
            </w:r>
          </w:p>
        </w:tc>
      </w:tr>
    </w:tbl>
    <w:p w14:paraId="082304F0">
      <w:pPr>
        <w:pStyle w:val="73"/>
        <w:rPr>
          <w:color w:val="auto"/>
        </w:rPr>
      </w:pPr>
    </w:p>
    <w:tbl>
      <w:tblPr>
        <w:tblStyle w:val="59"/>
        <w:tblW w:w="9666"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00"/>
        <w:gridCol w:w="6114"/>
        <w:gridCol w:w="810"/>
        <w:gridCol w:w="795"/>
      </w:tblGrid>
      <w:tr w14:paraId="0E47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9666"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49C28C3">
            <w:pPr>
              <w:widowControl/>
              <w:jc w:val="center"/>
              <w:rPr>
                <w:rFonts w:ascii="宋体" w:hAnsi="宋体" w:cs="宋体"/>
                <w:color w:val="auto"/>
                <w:kern w:val="0"/>
                <w:sz w:val="24"/>
                <w:szCs w:val="24"/>
              </w:rPr>
            </w:pPr>
            <w:r>
              <w:rPr>
                <w:rFonts w:hint="eastAsia" w:cs="宋体"/>
                <w:bCs/>
                <w:color w:val="auto"/>
                <w:szCs w:val="28"/>
              </w:rPr>
              <w:t>“数智食堂”食堂数智化设备建设要求（包</w:t>
            </w:r>
            <w:r>
              <w:rPr>
                <w:rFonts w:cs="宋体"/>
                <w:bCs/>
                <w:color w:val="auto"/>
                <w:szCs w:val="28"/>
              </w:rPr>
              <w:t>1</w:t>
            </w:r>
            <w:r>
              <w:rPr>
                <w:rFonts w:hint="eastAsia" w:cs="宋体"/>
                <w:bCs/>
                <w:color w:val="auto"/>
                <w:szCs w:val="28"/>
              </w:rPr>
              <w:t>、包</w:t>
            </w:r>
            <w:r>
              <w:rPr>
                <w:rFonts w:cs="宋体"/>
                <w:bCs/>
                <w:color w:val="auto"/>
                <w:szCs w:val="28"/>
              </w:rPr>
              <w:t>2</w:t>
            </w:r>
            <w:r>
              <w:rPr>
                <w:rFonts w:hint="eastAsia" w:cs="宋体"/>
                <w:bCs/>
                <w:color w:val="auto"/>
                <w:szCs w:val="28"/>
              </w:rPr>
              <w:t>、包</w:t>
            </w:r>
            <w:r>
              <w:rPr>
                <w:rFonts w:cs="宋体"/>
                <w:bCs/>
                <w:color w:val="auto"/>
                <w:szCs w:val="28"/>
              </w:rPr>
              <w:t>3</w:t>
            </w:r>
            <w:r>
              <w:rPr>
                <w:rFonts w:hint="eastAsia" w:cs="宋体"/>
                <w:bCs/>
                <w:color w:val="auto"/>
                <w:szCs w:val="28"/>
              </w:rPr>
              <w:t>、包</w:t>
            </w:r>
            <w:r>
              <w:rPr>
                <w:rFonts w:cs="宋体"/>
                <w:bCs/>
                <w:color w:val="auto"/>
                <w:szCs w:val="28"/>
              </w:rPr>
              <w:t>4</w:t>
            </w:r>
            <w:r>
              <w:rPr>
                <w:rFonts w:hint="eastAsia" w:cs="宋体"/>
                <w:bCs/>
                <w:color w:val="auto"/>
                <w:szCs w:val="28"/>
              </w:rPr>
              <w:t>和包</w:t>
            </w:r>
            <w:r>
              <w:rPr>
                <w:rFonts w:cs="宋体"/>
                <w:bCs/>
                <w:color w:val="auto"/>
                <w:szCs w:val="28"/>
              </w:rPr>
              <w:t>5</w:t>
            </w:r>
            <w:r>
              <w:rPr>
                <w:rFonts w:hint="eastAsia" w:cs="宋体"/>
                <w:bCs/>
                <w:color w:val="auto"/>
                <w:szCs w:val="28"/>
              </w:rPr>
              <w:t>）</w:t>
            </w:r>
          </w:p>
        </w:tc>
      </w:tr>
      <w:tr w14:paraId="7726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D86F584">
            <w:pPr>
              <w:widowControl/>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8E62E15">
            <w:pPr>
              <w:widowControl/>
              <w:jc w:val="center"/>
              <w:rPr>
                <w:rFonts w:ascii="宋体" w:hAnsi="宋体" w:cs="宋体"/>
                <w:color w:val="auto"/>
                <w:kern w:val="0"/>
                <w:sz w:val="24"/>
                <w:szCs w:val="24"/>
              </w:rPr>
            </w:pPr>
            <w:r>
              <w:rPr>
                <w:rFonts w:hint="eastAsia" w:ascii="宋体" w:hAnsi="宋体" w:cs="宋体"/>
                <w:color w:val="auto"/>
                <w:kern w:val="0"/>
                <w:sz w:val="24"/>
                <w:szCs w:val="24"/>
              </w:rPr>
              <w:t>设备名称</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21A4AF2E">
            <w:pPr>
              <w:widowControl/>
              <w:jc w:val="center"/>
              <w:rPr>
                <w:rFonts w:ascii="宋体" w:hAnsi="宋体" w:cs="宋体"/>
                <w:color w:val="auto"/>
                <w:kern w:val="0"/>
                <w:sz w:val="24"/>
                <w:szCs w:val="24"/>
              </w:rPr>
            </w:pPr>
            <w:r>
              <w:rPr>
                <w:rFonts w:hint="eastAsia" w:ascii="宋体" w:hAnsi="宋体" w:cs="宋体"/>
                <w:color w:val="auto"/>
                <w:kern w:val="0"/>
                <w:sz w:val="24"/>
                <w:szCs w:val="24"/>
              </w:rPr>
              <w:t>产品技术参数</w:t>
            </w:r>
          </w:p>
          <w:p w14:paraId="64742CB4">
            <w:pPr>
              <w:widowControl/>
              <w:jc w:val="center"/>
              <w:rPr>
                <w:rFonts w:ascii="宋体" w:hAnsi="宋体" w:cs="宋体"/>
                <w:color w:val="auto"/>
                <w:kern w:val="0"/>
                <w:sz w:val="24"/>
                <w:szCs w:val="24"/>
              </w:rPr>
            </w:pPr>
            <w:r>
              <w:rPr>
                <w:rFonts w:ascii="宋体" w:hAnsi="宋体" w:cs="宋体"/>
                <w:color w:val="auto"/>
                <w:kern w:val="0"/>
                <w:sz w:val="24"/>
                <w:szCs w:val="24"/>
              </w:rPr>
              <w:t>(参数配置及设施设备配置均为最低要求，如有不完备，按采购人要求实施）</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548AC519">
            <w:pPr>
              <w:widowControl/>
              <w:jc w:val="center"/>
              <w:rPr>
                <w:rFonts w:ascii="宋体" w:hAnsi="宋体" w:cs="宋体"/>
                <w:color w:val="auto"/>
                <w:kern w:val="0"/>
                <w:sz w:val="24"/>
                <w:szCs w:val="24"/>
              </w:rPr>
            </w:pPr>
            <w:r>
              <w:rPr>
                <w:rFonts w:hint="eastAsia" w:ascii="宋体" w:hAnsi="宋体" w:cs="宋体"/>
                <w:color w:val="auto"/>
                <w:kern w:val="0"/>
                <w:sz w:val="24"/>
                <w:szCs w:val="24"/>
              </w:rPr>
              <w:t>单位</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7ED1766">
            <w:pPr>
              <w:widowControl/>
              <w:jc w:val="center"/>
              <w:rPr>
                <w:rFonts w:ascii="宋体" w:hAnsi="宋体" w:cs="宋体"/>
                <w:color w:val="auto"/>
                <w:kern w:val="0"/>
                <w:sz w:val="24"/>
                <w:szCs w:val="24"/>
              </w:rPr>
            </w:pPr>
            <w:r>
              <w:rPr>
                <w:rFonts w:hint="eastAsia" w:ascii="宋体" w:hAnsi="宋体" w:cs="宋体"/>
                <w:color w:val="auto"/>
                <w:kern w:val="0"/>
                <w:sz w:val="24"/>
                <w:szCs w:val="24"/>
              </w:rPr>
              <w:t>数量</w:t>
            </w:r>
          </w:p>
        </w:tc>
      </w:tr>
      <w:tr w14:paraId="0837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729757">
            <w:pPr>
              <w:widowControl/>
              <w:jc w:val="center"/>
              <w:textAlignment w:val="center"/>
              <w:rPr>
                <w:rFonts w:ascii="宋体" w:hAnsi="宋体" w:cs="宋体"/>
                <w:color w:val="auto"/>
                <w:kern w:val="0"/>
                <w:sz w:val="24"/>
                <w:szCs w:val="24"/>
              </w:rPr>
            </w:pPr>
            <w:r>
              <w:rPr>
                <w:rFonts w:ascii="宋体" w:hAnsi="宋体" w:cs="宋体"/>
                <w:color w:val="auto"/>
                <w:kern w:val="0"/>
                <w:sz w:val="24"/>
                <w:szCs w:val="24"/>
                <w:lang w:bidi="ar"/>
              </w:rPr>
              <w:t>1</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5261CFC">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智能人脸晨检门禁</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56C786">
            <w:pPr>
              <w:widowControl/>
              <w:numPr>
                <w:ilvl w:val="0"/>
                <w:numId w:val="74"/>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功能描述：</w:t>
            </w:r>
          </w:p>
          <w:p w14:paraId="73DB9C3E">
            <w:pPr>
              <w:widowControl/>
              <w:numPr>
                <w:ilvl w:val="0"/>
                <w:numId w:val="75"/>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实现每日自动晨检，并对晨检数据实时记录、自动存档，确保有效落实从业人员每日健康管理要求；</w:t>
            </w:r>
          </w:p>
          <w:p w14:paraId="7E9198B2">
            <w:pPr>
              <w:widowControl/>
              <w:numPr>
                <w:ilvl w:val="0"/>
                <w:numId w:val="75"/>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通过人体无感测温、人脸健康证比对、手部检测识别、智能语音提醒，实现每日员工测温晨检；自动生成晨检、出勤记录；同时进行员工健康证状态提醒，节省人工管理成本，降低食堂人员证照风险，同时解决员工出入管控问题；</w:t>
            </w:r>
          </w:p>
          <w:p w14:paraId="612594B6">
            <w:pPr>
              <w:widowControl/>
              <w:numPr>
                <w:ilvl w:val="0"/>
                <w:numId w:val="75"/>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自动生成晨检台账在手机</w:t>
            </w:r>
            <w:r>
              <w:rPr>
                <w:rFonts w:ascii="宋体" w:hAnsi="宋体" w:cs="宋体"/>
                <w:color w:val="auto"/>
                <w:kern w:val="0"/>
                <w:sz w:val="24"/>
                <w:szCs w:val="24"/>
                <w:lang w:bidi="ar"/>
              </w:rPr>
              <w:t>APP端、电脑后台端可导出记录生成表格打印纸质晨检</w:t>
            </w:r>
            <w:r>
              <w:rPr>
                <w:rFonts w:hint="eastAsia" w:ascii="宋体" w:hAnsi="宋体" w:cs="宋体"/>
                <w:color w:val="auto"/>
                <w:kern w:val="0"/>
                <w:sz w:val="24"/>
                <w:szCs w:val="24"/>
                <w:lang w:bidi="ar"/>
              </w:rPr>
              <w:t>台账并最少保存</w:t>
            </w:r>
            <w:r>
              <w:rPr>
                <w:rFonts w:ascii="宋体" w:hAnsi="宋体" w:cs="宋体"/>
                <w:color w:val="auto"/>
                <w:kern w:val="0"/>
                <w:sz w:val="24"/>
                <w:szCs w:val="24"/>
                <w:lang w:bidi="ar"/>
              </w:rPr>
              <w:t>2年数据；</w:t>
            </w:r>
          </w:p>
          <w:p w14:paraId="405E280F">
            <w:pPr>
              <w:widowControl/>
              <w:numPr>
                <w:ilvl w:val="0"/>
                <w:numId w:val="74"/>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设备参数：</w:t>
            </w:r>
          </w:p>
          <w:p w14:paraId="5E5268D7">
            <w:pPr>
              <w:widowControl/>
              <w:numPr>
                <w:ilvl w:val="0"/>
                <w:numId w:val="76"/>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显示参数：</w:t>
            </w:r>
          </w:p>
          <w:p w14:paraId="3BE480AC">
            <w:pPr>
              <w:widowControl/>
              <w:numPr>
                <w:ilvl w:val="0"/>
                <w:numId w:val="7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操作系统：</w:t>
            </w:r>
            <w:r>
              <w:rPr>
                <w:rFonts w:ascii="宋体" w:hAnsi="宋体" w:cs="宋体"/>
                <w:color w:val="auto"/>
                <w:kern w:val="0"/>
                <w:sz w:val="24"/>
                <w:szCs w:val="24"/>
                <w:lang w:bidi="ar"/>
              </w:rPr>
              <w:t>Linux操作系统；</w:t>
            </w:r>
          </w:p>
          <w:p w14:paraId="78E930C4">
            <w:pPr>
              <w:widowControl/>
              <w:numPr>
                <w:ilvl w:val="0"/>
                <w:numId w:val="7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处理器：不低于双核</w:t>
            </w:r>
            <w:r>
              <w:rPr>
                <w:rFonts w:ascii="宋体" w:hAnsi="宋体" w:cs="宋体"/>
                <w:color w:val="auto"/>
                <w:kern w:val="0"/>
                <w:sz w:val="24"/>
                <w:szCs w:val="24"/>
                <w:lang w:bidi="ar"/>
              </w:rPr>
              <w:t>ARMCortex-A7andRISC-VMCU的性能；</w:t>
            </w:r>
          </w:p>
          <w:p w14:paraId="2588E1AA">
            <w:pPr>
              <w:widowControl/>
              <w:numPr>
                <w:ilvl w:val="0"/>
                <w:numId w:val="7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摄像头双目：</w:t>
            </w:r>
            <w:r>
              <w:rPr>
                <w:rFonts w:ascii="宋体" w:hAnsi="宋体" w:cs="宋体"/>
                <w:color w:val="auto"/>
                <w:kern w:val="0"/>
                <w:sz w:val="24"/>
                <w:szCs w:val="24"/>
                <w:lang w:bidi="ar"/>
              </w:rPr>
              <w:t>210万有效像素，1920*1080；</w:t>
            </w:r>
          </w:p>
          <w:p w14:paraId="14203E75">
            <w:pPr>
              <w:widowControl/>
              <w:numPr>
                <w:ilvl w:val="0"/>
                <w:numId w:val="7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成像器件：</w:t>
            </w:r>
            <w:r>
              <w:rPr>
                <w:rFonts w:ascii="宋体" w:hAnsi="宋体" w:cs="宋体"/>
                <w:color w:val="auto"/>
                <w:kern w:val="0"/>
                <w:sz w:val="24"/>
                <w:szCs w:val="24"/>
                <w:lang w:bidi="ar"/>
              </w:rPr>
              <w:t>1/2.8"；</w:t>
            </w:r>
          </w:p>
          <w:p w14:paraId="05AB40E0">
            <w:pPr>
              <w:widowControl/>
              <w:numPr>
                <w:ilvl w:val="0"/>
                <w:numId w:val="7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镜头：</w:t>
            </w:r>
            <w:r>
              <w:rPr>
                <w:rFonts w:ascii="宋体" w:hAnsi="宋体" w:cs="宋体"/>
                <w:color w:val="auto"/>
                <w:kern w:val="0"/>
                <w:sz w:val="24"/>
                <w:szCs w:val="24"/>
                <w:lang w:bidi="ar"/>
              </w:rPr>
              <w:t>4.5mm焦距；</w:t>
            </w:r>
          </w:p>
          <w:p w14:paraId="683E464A">
            <w:pPr>
              <w:widowControl/>
              <w:numPr>
                <w:ilvl w:val="0"/>
                <w:numId w:val="7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扬声器：语音播放内容可定制；</w:t>
            </w:r>
          </w:p>
          <w:p w14:paraId="1E0C39AC">
            <w:pPr>
              <w:widowControl/>
              <w:numPr>
                <w:ilvl w:val="0"/>
                <w:numId w:val="7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存储：</w:t>
            </w:r>
            <w:r>
              <w:rPr>
                <w:rFonts w:ascii="宋体" w:hAnsi="宋体" w:cs="宋体"/>
                <w:color w:val="auto"/>
                <w:kern w:val="0"/>
                <w:sz w:val="24"/>
                <w:szCs w:val="24"/>
                <w:lang w:bidi="ar"/>
              </w:rPr>
              <w:t>1GB内存+8GBeMMC。</w:t>
            </w:r>
          </w:p>
          <w:p w14:paraId="6440EE6A">
            <w:pPr>
              <w:widowControl/>
              <w:numPr>
                <w:ilvl w:val="0"/>
                <w:numId w:val="76"/>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性能参数：</w:t>
            </w:r>
          </w:p>
          <w:p w14:paraId="2E4E264F">
            <w:pPr>
              <w:widowControl/>
              <w:numPr>
                <w:ilvl w:val="0"/>
                <w:numId w:val="78"/>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识别高度：</w:t>
            </w:r>
            <w:r>
              <w:rPr>
                <w:rFonts w:ascii="宋体" w:hAnsi="宋体" w:cs="宋体"/>
                <w:color w:val="auto"/>
                <w:kern w:val="0"/>
                <w:sz w:val="24"/>
                <w:szCs w:val="24"/>
                <w:lang w:bidi="ar"/>
              </w:rPr>
              <w:t>1.2~2.3米；</w:t>
            </w:r>
          </w:p>
          <w:p w14:paraId="37546C68">
            <w:pPr>
              <w:widowControl/>
              <w:numPr>
                <w:ilvl w:val="0"/>
                <w:numId w:val="78"/>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角度可调：识别距离</w:t>
            </w:r>
            <w:r>
              <w:rPr>
                <w:rFonts w:ascii="宋体" w:hAnsi="宋体" w:cs="宋体"/>
                <w:color w:val="auto"/>
                <w:kern w:val="0"/>
                <w:sz w:val="24"/>
                <w:szCs w:val="24"/>
                <w:lang w:bidi="ar"/>
              </w:rPr>
              <w:t>0.5~1.5米，视镜头可变；</w:t>
            </w:r>
          </w:p>
          <w:p w14:paraId="692EB753">
            <w:pPr>
              <w:widowControl/>
              <w:numPr>
                <w:ilvl w:val="0"/>
                <w:numId w:val="78"/>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人脸角度：左右</w:t>
            </w:r>
            <w:r>
              <w:rPr>
                <w:rFonts w:ascii="宋体" w:hAnsi="宋体" w:cs="宋体"/>
                <w:color w:val="auto"/>
                <w:kern w:val="0"/>
                <w:sz w:val="24"/>
                <w:szCs w:val="24"/>
                <w:lang w:bidi="ar"/>
              </w:rPr>
              <w:t>30度，上下30度；</w:t>
            </w:r>
          </w:p>
          <w:p w14:paraId="5D7989B2">
            <w:pPr>
              <w:widowControl/>
              <w:numPr>
                <w:ilvl w:val="0"/>
                <w:numId w:val="78"/>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识别时间：小于</w:t>
            </w:r>
            <w:r>
              <w:rPr>
                <w:rFonts w:ascii="宋体" w:hAnsi="宋体" w:cs="宋体"/>
                <w:color w:val="auto"/>
                <w:kern w:val="0"/>
                <w:sz w:val="24"/>
                <w:szCs w:val="24"/>
                <w:lang w:bidi="ar"/>
              </w:rPr>
              <w:t>0.3秒；</w:t>
            </w:r>
          </w:p>
          <w:p w14:paraId="3F61AA56">
            <w:pPr>
              <w:widowControl/>
              <w:numPr>
                <w:ilvl w:val="0"/>
                <w:numId w:val="78"/>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识别记录容量：</w:t>
            </w:r>
            <w:r>
              <w:rPr>
                <w:rFonts w:ascii="宋体" w:hAnsi="宋体" w:cs="宋体"/>
                <w:color w:val="auto"/>
                <w:kern w:val="0"/>
                <w:sz w:val="24"/>
                <w:szCs w:val="24"/>
                <w:lang w:bidi="ar"/>
              </w:rPr>
              <w:t>69000；</w:t>
            </w:r>
          </w:p>
          <w:p w14:paraId="3A566BB2">
            <w:pPr>
              <w:widowControl/>
              <w:numPr>
                <w:ilvl w:val="0"/>
                <w:numId w:val="78"/>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人脸容量：</w:t>
            </w:r>
            <w:r>
              <w:rPr>
                <w:rFonts w:ascii="宋体" w:hAnsi="宋体" w:cs="宋体"/>
                <w:color w:val="auto"/>
                <w:kern w:val="0"/>
                <w:sz w:val="24"/>
                <w:szCs w:val="24"/>
                <w:lang w:bidi="ar"/>
              </w:rPr>
              <w:t>24000张；</w:t>
            </w:r>
          </w:p>
          <w:p w14:paraId="3A70D37D">
            <w:pPr>
              <w:widowControl/>
              <w:numPr>
                <w:ilvl w:val="0"/>
                <w:numId w:val="76"/>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其他参数：</w:t>
            </w:r>
          </w:p>
          <w:p w14:paraId="09BD0ECF">
            <w:pPr>
              <w:widowControl/>
              <w:numPr>
                <w:ilvl w:val="0"/>
                <w:numId w:val="7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工作温度：</w:t>
            </w:r>
            <w:r>
              <w:rPr>
                <w:rFonts w:ascii="宋体" w:hAnsi="宋体" w:cs="宋体"/>
                <w:color w:val="auto"/>
                <w:kern w:val="0"/>
                <w:sz w:val="24"/>
                <w:szCs w:val="24"/>
                <w:lang w:bidi="ar"/>
              </w:rPr>
              <w:t>-20℃-60℃（测温环境温度：+16℃-+40℃）；</w:t>
            </w:r>
          </w:p>
          <w:p w14:paraId="12C342CC">
            <w:pPr>
              <w:widowControl/>
              <w:numPr>
                <w:ilvl w:val="0"/>
                <w:numId w:val="7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工作湿度：</w:t>
            </w:r>
            <w:r>
              <w:rPr>
                <w:rFonts w:ascii="宋体" w:hAnsi="宋体" w:cs="宋体"/>
                <w:color w:val="auto"/>
                <w:kern w:val="0"/>
                <w:sz w:val="24"/>
                <w:szCs w:val="24"/>
                <w:lang w:bidi="ar"/>
              </w:rPr>
              <w:t>0%～90%相对湿度，无冷凝；</w:t>
            </w:r>
          </w:p>
          <w:p w14:paraId="22BDE3FC">
            <w:pPr>
              <w:widowControl/>
              <w:numPr>
                <w:ilvl w:val="0"/>
                <w:numId w:val="7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设备功率：</w:t>
            </w:r>
            <w:r>
              <w:rPr>
                <w:rFonts w:ascii="宋体" w:hAnsi="宋体" w:cs="宋体"/>
                <w:color w:val="auto"/>
                <w:kern w:val="0"/>
                <w:sz w:val="24"/>
                <w:szCs w:val="24"/>
                <w:lang w:bidi="ar"/>
              </w:rPr>
              <w:t>20W(MAX)；</w:t>
            </w:r>
          </w:p>
          <w:p w14:paraId="4D5F2EC6">
            <w:pPr>
              <w:widowControl/>
              <w:numPr>
                <w:ilvl w:val="0"/>
                <w:numId w:val="7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盐雾等级：</w:t>
            </w:r>
            <w:r>
              <w:rPr>
                <w:rFonts w:ascii="宋体" w:hAnsi="宋体" w:cs="宋体"/>
                <w:color w:val="auto"/>
                <w:kern w:val="0"/>
                <w:sz w:val="24"/>
                <w:szCs w:val="24"/>
                <w:lang w:bidi="ar"/>
              </w:rPr>
              <w:t>Rp6级以上；</w:t>
            </w:r>
          </w:p>
          <w:p w14:paraId="5BA9576E">
            <w:pPr>
              <w:widowControl/>
              <w:numPr>
                <w:ilvl w:val="0"/>
                <w:numId w:val="79"/>
              </w:numPr>
              <w:ind w:firstLine="0"/>
              <w:jc w:val="left"/>
              <w:textAlignment w:val="center"/>
              <w:rPr>
                <w:rFonts w:ascii="宋体" w:hAnsi="宋体" w:cs="宋体"/>
                <w:color w:val="auto"/>
                <w:kern w:val="0"/>
                <w:sz w:val="24"/>
                <w:szCs w:val="24"/>
                <w:lang w:bidi="ar"/>
              </w:rPr>
            </w:pPr>
            <w:r>
              <w:rPr>
                <w:rFonts w:ascii="宋体" w:hAnsi="宋体" w:cs="宋体"/>
                <w:color w:val="auto"/>
                <w:kern w:val="0"/>
                <w:sz w:val="24"/>
                <w:szCs w:val="24"/>
                <w:lang w:bidi="ar"/>
              </w:rPr>
              <w:t>ESD：接触±6KV，空气±8KV；</w:t>
            </w:r>
          </w:p>
          <w:p w14:paraId="0E1591DE">
            <w:pPr>
              <w:widowControl/>
              <w:numPr>
                <w:ilvl w:val="0"/>
                <w:numId w:val="7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供电：</w:t>
            </w:r>
            <w:r>
              <w:rPr>
                <w:rFonts w:ascii="宋体" w:hAnsi="宋体" w:cs="宋体"/>
                <w:color w:val="auto"/>
                <w:kern w:val="0"/>
                <w:sz w:val="24"/>
                <w:szCs w:val="24"/>
                <w:lang w:bidi="ar"/>
              </w:rPr>
              <w:t>DC12V/2A；</w:t>
            </w:r>
          </w:p>
          <w:p w14:paraId="5EE6F1DE">
            <w:pPr>
              <w:widowControl/>
              <w:numPr>
                <w:ilvl w:val="0"/>
                <w:numId w:val="7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防护等级：</w:t>
            </w:r>
            <w:r>
              <w:rPr>
                <w:rFonts w:ascii="宋体" w:hAnsi="宋体" w:cs="宋体"/>
                <w:color w:val="auto"/>
                <w:kern w:val="0"/>
                <w:sz w:val="24"/>
                <w:szCs w:val="24"/>
                <w:lang w:bidi="ar"/>
              </w:rPr>
              <w:t>IP42；</w:t>
            </w:r>
          </w:p>
          <w:p w14:paraId="796B3FAA">
            <w:pPr>
              <w:widowControl/>
              <w:numPr>
                <w:ilvl w:val="0"/>
                <w:numId w:val="7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屏幕规格：</w:t>
            </w:r>
            <w:r>
              <w:rPr>
                <w:rFonts w:ascii="宋体" w:hAnsi="宋体" w:cs="宋体"/>
                <w:color w:val="auto"/>
                <w:kern w:val="0"/>
                <w:sz w:val="24"/>
                <w:szCs w:val="24"/>
                <w:lang w:bidi="ar"/>
              </w:rPr>
              <w:t>8寸高清IPS屏，分辨率1280*800；</w:t>
            </w:r>
          </w:p>
          <w:p w14:paraId="3BD9D20C">
            <w:pPr>
              <w:widowControl/>
              <w:numPr>
                <w:ilvl w:val="0"/>
                <w:numId w:val="7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设备尺寸：不低于</w:t>
            </w:r>
            <w:r>
              <w:rPr>
                <w:rFonts w:ascii="宋体" w:hAnsi="宋体" w:cs="宋体"/>
                <w:color w:val="auto"/>
                <w:kern w:val="0"/>
                <w:sz w:val="24"/>
                <w:szCs w:val="24"/>
                <w:lang w:bidi="ar"/>
              </w:rPr>
              <w:t>261.97（长）*133（宽）*87.34（厚）mm；</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D95C91">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2C725F">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61F8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FF15A7">
            <w:pPr>
              <w:widowControl/>
              <w:jc w:val="center"/>
              <w:textAlignment w:val="center"/>
              <w:rPr>
                <w:rFonts w:ascii="宋体" w:hAnsi="宋体" w:cs="宋体"/>
                <w:color w:val="auto"/>
                <w:kern w:val="0"/>
                <w:sz w:val="24"/>
                <w:szCs w:val="24"/>
              </w:rPr>
            </w:pPr>
            <w:r>
              <w:rPr>
                <w:rFonts w:ascii="宋体" w:hAnsi="宋体" w:cs="宋体"/>
                <w:color w:val="auto"/>
                <w:kern w:val="0"/>
                <w:sz w:val="24"/>
                <w:szCs w:val="24"/>
                <w:lang w:bidi="ar"/>
              </w:rPr>
              <w:t>2</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E886E35">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离人监管预警</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FC1A26">
            <w:pPr>
              <w:widowControl/>
              <w:numPr>
                <w:ilvl w:val="0"/>
                <w:numId w:val="80"/>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功能描述：</w:t>
            </w:r>
          </w:p>
          <w:p w14:paraId="26D4F9B7">
            <w:pPr>
              <w:widowControl/>
              <w:numPr>
                <w:ilvl w:val="0"/>
                <w:numId w:val="81"/>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识别灶台中心温度和区域人员侦测，如灶台温度超过</w:t>
            </w:r>
            <w:r>
              <w:rPr>
                <w:rFonts w:ascii="宋体" w:hAnsi="宋体" w:cs="宋体"/>
                <w:color w:val="auto"/>
                <w:kern w:val="0"/>
                <w:sz w:val="24"/>
                <w:szCs w:val="24"/>
                <w:lang w:bidi="ar"/>
              </w:rPr>
              <w:t>150度人员离开30秒即刻现场报警，同时摄像头拍照记录现场情况并上传数据；</w:t>
            </w:r>
          </w:p>
          <w:p w14:paraId="0CE1F813">
            <w:pPr>
              <w:widowControl/>
              <w:numPr>
                <w:ilvl w:val="0"/>
                <w:numId w:val="81"/>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温度和人员离开时间可自定义设置；</w:t>
            </w:r>
          </w:p>
          <w:p w14:paraId="5824AD29">
            <w:pPr>
              <w:widowControl/>
              <w:numPr>
                <w:ilvl w:val="0"/>
                <w:numId w:val="81"/>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摄像头支持定制语音报警；</w:t>
            </w:r>
          </w:p>
          <w:p w14:paraId="17251595">
            <w:pPr>
              <w:widowControl/>
              <w:numPr>
                <w:ilvl w:val="0"/>
                <w:numId w:val="81"/>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摄像头支持联动声光报警装置；</w:t>
            </w:r>
          </w:p>
          <w:p w14:paraId="5D9CA246">
            <w:pPr>
              <w:widowControl/>
              <w:numPr>
                <w:ilvl w:val="0"/>
                <w:numId w:val="80"/>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设备参数：</w:t>
            </w:r>
          </w:p>
          <w:p w14:paraId="21812C6C">
            <w:pPr>
              <w:widowControl/>
              <w:numPr>
                <w:ilvl w:val="0"/>
                <w:numId w:val="82"/>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基本参数：</w:t>
            </w:r>
          </w:p>
          <w:p w14:paraId="368F7B05">
            <w:pPr>
              <w:widowControl/>
              <w:numPr>
                <w:ilvl w:val="0"/>
                <w:numId w:val="8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主板：算力不低于</w:t>
            </w:r>
            <w:r>
              <w:rPr>
                <w:rFonts w:ascii="宋体" w:hAnsi="宋体" w:cs="宋体"/>
                <w:color w:val="auto"/>
                <w:kern w:val="0"/>
                <w:sz w:val="24"/>
                <w:szCs w:val="24"/>
                <w:lang w:bidi="ar"/>
              </w:rPr>
              <w:t>1.0Tops，内存不低于512MB，闪存不低于8GBEMMC；</w:t>
            </w:r>
          </w:p>
          <w:p w14:paraId="0F5D5FD2">
            <w:pPr>
              <w:widowControl/>
              <w:numPr>
                <w:ilvl w:val="0"/>
                <w:numId w:val="8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探测器类型：氧化钒非制冷红外焦平面探测器；</w:t>
            </w:r>
          </w:p>
          <w:p w14:paraId="1B8E00C4">
            <w:pPr>
              <w:widowControl/>
              <w:numPr>
                <w:ilvl w:val="0"/>
                <w:numId w:val="8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成像器件：</w:t>
            </w:r>
            <w:r>
              <w:rPr>
                <w:rFonts w:ascii="宋体" w:hAnsi="宋体" w:cs="宋体"/>
                <w:color w:val="auto"/>
                <w:kern w:val="0"/>
                <w:sz w:val="24"/>
                <w:szCs w:val="24"/>
                <w:lang w:bidi="ar"/>
              </w:rPr>
              <w:t>400</w:t>
            </w:r>
            <w:r>
              <w:rPr>
                <w:rFonts w:hint="eastAsia" w:ascii="宋体" w:hAnsi="宋体" w:cs="宋体"/>
                <w:color w:val="auto"/>
                <w:kern w:val="0"/>
                <w:sz w:val="24"/>
                <w:szCs w:val="24"/>
                <w:lang w:bidi="ar"/>
              </w:rPr>
              <w:t>万像素</w:t>
            </w:r>
            <w:r>
              <w:rPr>
                <w:rFonts w:ascii="宋体" w:hAnsi="宋体" w:cs="宋体"/>
                <w:color w:val="auto"/>
                <w:kern w:val="0"/>
                <w:sz w:val="24"/>
                <w:szCs w:val="24"/>
                <w:lang w:bidi="ar"/>
              </w:rPr>
              <w:t>1/3CMOS，F1.6光圈，超低照度，星光级；</w:t>
            </w:r>
          </w:p>
          <w:p w14:paraId="4A00DBEF">
            <w:pPr>
              <w:widowControl/>
              <w:numPr>
                <w:ilvl w:val="0"/>
                <w:numId w:val="8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有效像素：</w:t>
            </w:r>
            <w:r>
              <w:rPr>
                <w:rFonts w:ascii="宋体" w:hAnsi="宋体" w:cs="宋体"/>
                <w:color w:val="auto"/>
                <w:kern w:val="0"/>
                <w:sz w:val="24"/>
                <w:szCs w:val="24"/>
                <w:lang w:bidi="ar"/>
              </w:rPr>
              <w:t>4MP有效像素（2560*1440）；</w:t>
            </w:r>
          </w:p>
          <w:p w14:paraId="1CCD4D29">
            <w:pPr>
              <w:widowControl/>
              <w:numPr>
                <w:ilvl w:val="0"/>
                <w:numId w:val="8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镜头类型：定焦；</w:t>
            </w:r>
          </w:p>
          <w:p w14:paraId="0E19658A">
            <w:pPr>
              <w:widowControl/>
              <w:numPr>
                <w:ilvl w:val="0"/>
                <w:numId w:val="8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焦距：</w:t>
            </w:r>
            <w:r>
              <w:rPr>
                <w:rFonts w:ascii="宋体" w:hAnsi="宋体" w:cs="宋体"/>
                <w:color w:val="auto"/>
                <w:kern w:val="0"/>
                <w:sz w:val="24"/>
                <w:szCs w:val="24"/>
                <w:lang w:bidi="ar"/>
              </w:rPr>
              <w:t>6mm；</w:t>
            </w:r>
          </w:p>
          <w:p w14:paraId="1D596C25">
            <w:pPr>
              <w:widowControl/>
              <w:numPr>
                <w:ilvl w:val="0"/>
                <w:numId w:val="8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补光：</w:t>
            </w:r>
            <w:r>
              <w:rPr>
                <w:rFonts w:ascii="宋体" w:hAnsi="宋体" w:cs="宋体"/>
                <w:color w:val="auto"/>
                <w:kern w:val="0"/>
                <w:sz w:val="24"/>
                <w:szCs w:val="24"/>
                <w:lang w:bidi="ar"/>
              </w:rPr>
              <w:t>IR*4，白光LED*4；</w:t>
            </w:r>
          </w:p>
          <w:p w14:paraId="7201E095">
            <w:pPr>
              <w:widowControl/>
              <w:numPr>
                <w:ilvl w:val="0"/>
                <w:numId w:val="8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光谱范围：</w:t>
            </w:r>
            <w:r>
              <w:rPr>
                <w:rFonts w:ascii="宋体" w:hAnsi="宋体" w:cs="宋体"/>
                <w:color w:val="auto"/>
                <w:kern w:val="0"/>
                <w:sz w:val="24"/>
                <w:szCs w:val="24"/>
                <w:lang w:bidi="ar"/>
              </w:rPr>
              <w:t>8-14μm；</w:t>
            </w:r>
          </w:p>
          <w:p w14:paraId="4C6D149E">
            <w:pPr>
              <w:widowControl/>
              <w:numPr>
                <w:ilvl w:val="0"/>
                <w:numId w:val="8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原始分辨率：</w:t>
            </w:r>
            <w:r>
              <w:rPr>
                <w:rFonts w:ascii="宋体" w:hAnsi="宋体" w:cs="宋体"/>
                <w:color w:val="auto"/>
                <w:kern w:val="0"/>
                <w:sz w:val="24"/>
                <w:szCs w:val="24"/>
                <w:lang w:bidi="ar"/>
              </w:rPr>
              <w:t>256×192；</w:t>
            </w:r>
          </w:p>
          <w:p w14:paraId="5742682C">
            <w:pPr>
              <w:widowControl/>
              <w:numPr>
                <w:ilvl w:val="0"/>
                <w:numId w:val="82"/>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功能参数：</w:t>
            </w:r>
          </w:p>
          <w:p w14:paraId="6868529F">
            <w:pPr>
              <w:widowControl/>
              <w:numPr>
                <w:ilvl w:val="0"/>
                <w:numId w:val="84"/>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实时高温检测：实时全屏测温，最高温、最低温、平均温；</w:t>
            </w:r>
          </w:p>
          <w:p w14:paraId="46506111">
            <w:pPr>
              <w:widowControl/>
              <w:numPr>
                <w:ilvl w:val="0"/>
                <w:numId w:val="84"/>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自定义测温绘制：支持自定义</w:t>
            </w:r>
            <w:r>
              <w:rPr>
                <w:rFonts w:ascii="宋体" w:hAnsi="宋体" w:cs="宋体"/>
                <w:color w:val="auto"/>
                <w:kern w:val="0"/>
                <w:sz w:val="24"/>
                <w:szCs w:val="24"/>
                <w:lang w:bidi="ar"/>
              </w:rPr>
              <w:t>20个点、线、面和区域测温，区间测温对比；</w:t>
            </w:r>
          </w:p>
          <w:p w14:paraId="0B9DFDBB">
            <w:pPr>
              <w:widowControl/>
              <w:numPr>
                <w:ilvl w:val="0"/>
                <w:numId w:val="84"/>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高温报警：高温异常语音报警、白光灯报警；</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F4CE4E">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274006">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4951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126FBB">
            <w:pPr>
              <w:widowControl/>
              <w:jc w:val="center"/>
              <w:textAlignment w:val="center"/>
              <w:rPr>
                <w:rFonts w:ascii="宋体" w:hAnsi="宋体" w:cs="宋体"/>
                <w:color w:val="auto"/>
                <w:kern w:val="0"/>
                <w:sz w:val="24"/>
                <w:szCs w:val="24"/>
              </w:rPr>
            </w:pPr>
            <w:r>
              <w:rPr>
                <w:rFonts w:ascii="宋体" w:hAnsi="宋体" w:cs="宋体"/>
                <w:color w:val="auto"/>
                <w:kern w:val="0"/>
                <w:sz w:val="24"/>
                <w:szCs w:val="24"/>
                <w:lang w:bidi="ar"/>
              </w:rPr>
              <w:t>3</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CEFEF34">
            <w:pPr>
              <w:widowControl/>
              <w:jc w:val="center"/>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智能</w:t>
            </w:r>
            <w:r>
              <w:rPr>
                <w:rFonts w:ascii="宋体" w:hAnsi="宋体" w:cs="宋体"/>
                <w:color w:val="auto"/>
                <w:kern w:val="0"/>
                <w:sz w:val="24"/>
                <w:szCs w:val="24"/>
                <w:lang w:bidi="ar"/>
              </w:rPr>
              <w:t>AI留样秤</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388452">
            <w:pPr>
              <w:widowControl/>
              <w:numPr>
                <w:ilvl w:val="0"/>
                <w:numId w:val="85"/>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功能描述：</w:t>
            </w:r>
          </w:p>
          <w:p w14:paraId="250E7352">
            <w:pPr>
              <w:widowControl/>
              <w:numPr>
                <w:ilvl w:val="0"/>
                <w:numId w:val="86"/>
              </w:numPr>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实现智能</w:t>
            </w:r>
            <w:r>
              <w:rPr>
                <w:rFonts w:ascii="宋体" w:hAnsi="宋体" w:cs="宋体"/>
                <w:color w:val="auto"/>
                <w:kern w:val="0"/>
                <w:sz w:val="24"/>
                <w:szCs w:val="24"/>
                <w:lang w:bidi="ar"/>
              </w:rPr>
              <w:t>AI菜品名称自动识别功能，同时拍照系统留存保证留样真实性并称重显示克重，如克重不满足条件不允许打印标签留样；</w:t>
            </w:r>
          </w:p>
          <w:p w14:paraId="106850A0">
            <w:pPr>
              <w:widowControl/>
              <w:numPr>
                <w:ilvl w:val="0"/>
                <w:numId w:val="86"/>
              </w:numPr>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实现留样标签自动生成打印展示留样菜品名称、克重、档口名称、留样员、留样时间；</w:t>
            </w:r>
          </w:p>
          <w:p w14:paraId="29BB46DB">
            <w:pPr>
              <w:widowControl/>
              <w:numPr>
                <w:ilvl w:val="0"/>
                <w:numId w:val="86"/>
              </w:numPr>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自动生成留样台账在手机</w:t>
            </w:r>
            <w:r>
              <w:rPr>
                <w:rFonts w:ascii="宋体" w:hAnsi="宋体" w:cs="宋体"/>
                <w:color w:val="auto"/>
                <w:kern w:val="0"/>
                <w:sz w:val="24"/>
                <w:szCs w:val="24"/>
                <w:lang w:bidi="ar"/>
              </w:rPr>
              <w:t>APP端、电脑后台端可导出记录生成表格打印纸质留样</w:t>
            </w:r>
            <w:r>
              <w:rPr>
                <w:rFonts w:hint="eastAsia" w:ascii="宋体" w:hAnsi="宋体" w:cs="宋体"/>
                <w:color w:val="auto"/>
                <w:kern w:val="0"/>
                <w:sz w:val="24"/>
                <w:szCs w:val="24"/>
                <w:lang w:bidi="ar"/>
              </w:rPr>
              <w:t>台账并最少保存</w:t>
            </w:r>
            <w:r>
              <w:rPr>
                <w:rFonts w:ascii="宋体" w:hAnsi="宋体" w:cs="宋体"/>
                <w:color w:val="auto"/>
                <w:kern w:val="0"/>
                <w:sz w:val="24"/>
                <w:szCs w:val="24"/>
                <w:lang w:bidi="ar"/>
              </w:rPr>
              <w:t>2年数据；</w:t>
            </w:r>
          </w:p>
          <w:p w14:paraId="1BAD4D13">
            <w:pPr>
              <w:widowControl/>
              <w:numPr>
                <w:ilvl w:val="0"/>
                <w:numId w:val="85"/>
              </w:numPr>
              <w:ind w:left="0" w:firstLine="0"/>
              <w:jc w:val="left"/>
              <w:textAlignment w:val="center"/>
              <w:rPr>
                <w:rFonts w:eastAsia="仿宋_GB2312"/>
                <w:color w:val="auto"/>
              </w:rPr>
            </w:pPr>
            <w:r>
              <w:rPr>
                <w:rFonts w:hint="eastAsia" w:ascii="宋体" w:hAnsi="宋体" w:cs="宋体"/>
                <w:color w:val="auto"/>
                <w:kern w:val="0"/>
                <w:sz w:val="24"/>
                <w:szCs w:val="24"/>
                <w:lang w:bidi="ar"/>
              </w:rPr>
              <w:t>设备参数：</w:t>
            </w:r>
          </w:p>
          <w:p w14:paraId="4A0EFADF">
            <w:pPr>
              <w:widowControl/>
              <w:numPr>
                <w:ilvl w:val="0"/>
                <w:numId w:val="87"/>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基本参数：</w:t>
            </w:r>
          </w:p>
          <w:p w14:paraId="1773B26C">
            <w:pPr>
              <w:widowControl/>
              <w:numPr>
                <w:ilvl w:val="0"/>
                <w:numId w:val="88"/>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摄像头：</w:t>
            </w:r>
            <w:r>
              <w:rPr>
                <w:rFonts w:ascii="宋体" w:hAnsi="宋体" w:cs="宋体"/>
                <w:color w:val="auto"/>
                <w:kern w:val="0"/>
                <w:sz w:val="24"/>
                <w:szCs w:val="24"/>
                <w:lang w:bidi="ar"/>
              </w:rPr>
              <w:t>800万或以上摄像头带补光灯；</w:t>
            </w:r>
          </w:p>
          <w:p w14:paraId="3E12E7BA">
            <w:pPr>
              <w:widowControl/>
              <w:numPr>
                <w:ilvl w:val="0"/>
                <w:numId w:val="88"/>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摄像头像素：</w:t>
            </w:r>
            <w:r>
              <w:rPr>
                <w:rFonts w:ascii="宋体" w:hAnsi="宋体" w:cs="宋体"/>
                <w:color w:val="auto"/>
                <w:kern w:val="0"/>
                <w:sz w:val="24"/>
                <w:szCs w:val="24"/>
                <w:lang w:bidi="ar"/>
              </w:rPr>
              <w:t>800万USB摄像头，分辨率3246*2448；</w:t>
            </w:r>
          </w:p>
          <w:p w14:paraId="27DA0E61">
            <w:pPr>
              <w:widowControl/>
              <w:numPr>
                <w:ilvl w:val="0"/>
                <w:numId w:val="88"/>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主屏</w:t>
            </w:r>
            <w:r>
              <w:rPr>
                <w:rFonts w:ascii="宋体" w:hAnsi="宋体" w:cs="宋体"/>
                <w:color w:val="auto"/>
                <w:kern w:val="0"/>
                <w:sz w:val="24"/>
                <w:szCs w:val="24"/>
                <w:lang w:bidi="ar"/>
              </w:rPr>
              <w:t>15.6寸1920*1080分辨率，液晶带电容触控屏；</w:t>
            </w:r>
          </w:p>
          <w:p w14:paraId="78BBD2C3">
            <w:pPr>
              <w:widowControl/>
              <w:numPr>
                <w:ilvl w:val="0"/>
                <w:numId w:val="87"/>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性能参数：</w:t>
            </w:r>
          </w:p>
          <w:p w14:paraId="4A2317D4">
            <w:pPr>
              <w:widowControl/>
              <w:numPr>
                <w:ilvl w:val="0"/>
                <w:numId w:val="8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主机内核：不低于四核</w:t>
            </w:r>
            <w:r>
              <w:rPr>
                <w:rFonts w:ascii="宋体" w:hAnsi="宋体" w:cs="宋体"/>
                <w:color w:val="auto"/>
                <w:kern w:val="0"/>
                <w:sz w:val="24"/>
                <w:szCs w:val="24"/>
                <w:lang w:bidi="ar"/>
              </w:rPr>
              <w:t>64位A55处理器2.0GHz、2GB内存+32GBEMMCWIFI的性能；</w:t>
            </w:r>
          </w:p>
          <w:p w14:paraId="4C4FF483">
            <w:pPr>
              <w:widowControl/>
              <w:numPr>
                <w:ilvl w:val="0"/>
                <w:numId w:val="8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操作系统：</w:t>
            </w:r>
            <w:r>
              <w:rPr>
                <w:rFonts w:ascii="宋体" w:hAnsi="宋体" w:cs="宋体"/>
                <w:color w:val="auto"/>
                <w:kern w:val="0"/>
                <w:sz w:val="24"/>
                <w:szCs w:val="24"/>
                <w:lang w:bidi="ar"/>
              </w:rPr>
              <w:t>Android；</w:t>
            </w:r>
          </w:p>
          <w:p w14:paraId="074052B8">
            <w:pPr>
              <w:widowControl/>
              <w:numPr>
                <w:ilvl w:val="0"/>
                <w:numId w:val="87"/>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功能参数：</w:t>
            </w:r>
          </w:p>
          <w:p w14:paraId="16486626">
            <w:pPr>
              <w:widowControl/>
              <w:numPr>
                <w:ilvl w:val="0"/>
                <w:numId w:val="90"/>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最大量程：</w:t>
            </w:r>
            <w:r>
              <w:rPr>
                <w:rFonts w:ascii="宋体" w:hAnsi="宋体" w:cs="宋体"/>
                <w:color w:val="auto"/>
                <w:kern w:val="0"/>
                <w:sz w:val="24"/>
                <w:szCs w:val="24"/>
                <w:lang w:bidi="ar"/>
              </w:rPr>
              <w:t>Max=15kg；</w:t>
            </w:r>
          </w:p>
          <w:p w14:paraId="09ACAE21">
            <w:pPr>
              <w:widowControl/>
              <w:numPr>
                <w:ilvl w:val="0"/>
                <w:numId w:val="90"/>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分度数：</w:t>
            </w:r>
            <w:r>
              <w:rPr>
                <w:rFonts w:ascii="宋体" w:hAnsi="宋体" w:cs="宋体"/>
                <w:color w:val="auto"/>
                <w:kern w:val="0"/>
                <w:sz w:val="24"/>
                <w:szCs w:val="24"/>
                <w:lang w:bidi="ar"/>
              </w:rPr>
              <w:t>3000；</w:t>
            </w:r>
          </w:p>
          <w:p w14:paraId="0C223625">
            <w:pPr>
              <w:widowControl/>
              <w:numPr>
                <w:ilvl w:val="0"/>
                <w:numId w:val="90"/>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分度值：</w:t>
            </w:r>
            <w:r>
              <w:rPr>
                <w:rFonts w:ascii="宋体" w:hAnsi="宋体" w:cs="宋体"/>
                <w:color w:val="auto"/>
                <w:kern w:val="0"/>
                <w:sz w:val="24"/>
                <w:szCs w:val="24"/>
                <w:lang w:bidi="ar"/>
              </w:rPr>
              <w:t>5g；</w:t>
            </w:r>
          </w:p>
          <w:p w14:paraId="1B3BA368">
            <w:pPr>
              <w:widowControl/>
              <w:numPr>
                <w:ilvl w:val="0"/>
                <w:numId w:val="90"/>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最小称量：</w:t>
            </w:r>
            <w:r>
              <w:rPr>
                <w:rFonts w:ascii="宋体" w:hAnsi="宋体" w:cs="宋体"/>
                <w:color w:val="auto"/>
                <w:kern w:val="0"/>
                <w:sz w:val="24"/>
                <w:szCs w:val="24"/>
                <w:lang w:bidi="ar"/>
              </w:rPr>
              <w:t>100g；</w:t>
            </w:r>
          </w:p>
          <w:p w14:paraId="001AAF90">
            <w:pPr>
              <w:widowControl/>
              <w:numPr>
                <w:ilvl w:val="0"/>
                <w:numId w:val="87"/>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其他参数</w:t>
            </w:r>
            <w:r>
              <w:rPr>
                <w:rFonts w:ascii="宋体" w:hAnsi="宋体" w:cs="宋体"/>
                <w:color w:val="auto"/>
                <w:kern w:val="0"/>
                <w:sz w:val="24"/>
                <w:szCs w:val="24"/>
                <w:lang w:bidi="ar"/>
              </w:rPr>
              <w:t>:</w:t>
            </w:r>
          </w:p>
          <w:p w14:paraId="6AD53EBF">
            <w:pPr>
              <w:widowControl/>
              <w:numPr>
                <w:ilvl w:val="0"/>
                <w:numId w:val="9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计重秤显：</w:t>
            </w:r>
            <w:r>
              <w:rPr>
                <w:rFonts w:ascii="宋体" w:hAnsi="宋体" w:cs="宋体"/>
                <w:color w:val="auto"/>
                <w:kern w:val="0"/>
                <w:sz w:val="24"/>
                <w:szCs w:val="24"/>
                <w:lang w:bidi="ar"/>
              </w:rPr>
              <w:t>62mm*8mm可视LED5位重量显示RS232串口通讯；</w:t>
            </w:r>
          </w:p>
          <w:p w14:paraId="3B68B81C">
            <w:pPr>
              <w:widowControl/>
              <w:numPr>
                <w:ilvl w:val="0"/>
                <w:numId w:val="9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四按键：秤体开关、设置、置零、去皮；</w:t>
            </w:r>
          </w:p>
          <w:p w14:paraId="74DF76F1">
            <w:pPr>
              <w:widowControl/>
              <w:numPr>
                <w:ilvl w:val="0"/>
                <w:numId w:val="9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内置打印机：内置</w:t>
            </w:r>
            <w:r>
              <w:rPr>
                <w:rFonts w:ascii="宋体" w:hAnsi="宋体" w:cs="宋体"/>
                <w:color w:val="auto"/>
                <w:kern w:val="0"/>
                <w:sz w:val="24"/>
                <w:szCs w:val="24"/>
                <w:lang w:bidi="ar"/>
              </w:rPr>
              <w:t>58mm以下宽度标签打印；</w:t>
            </w:r>
          </w:p>
          <w:p w14:paraId="297532DB">
            <w:pPr>
              <w:widowControl/>
              <w:numPr>
                <w:ilvl w:val="0"/>
                <w:numId w:val="9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打印留样票据支持自定义格式，可更改留样票据上的各个类目；</w:t>
            </w:r>
          </w:p>
          <w:p w14:paraId="67A389C1">
            <w:pPr>
              <w:widowControl/>
              <w:numPr>
                <w:ilvl w:val="0"/>
                <w:numId w:val="9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可在一个画面下</w:t>
            </w:r>
            <w:r>
              <w:rPr>
                <w:rFonts w:ascii="宋体" w:hAnsi="宋体" w:cs="宋体"/>
                <w:color w:val="auto"/>
                <w:kern w:val="0"/>
                <w:sz w:val="24"/>
                <w:szCs w:val="24"/>
                <w:lang w:bidi="ar"/>
              </w:rPr>
              <w:t>0.5秒内同时识别10个菜品目标。</w:t>
            </w:r>
          </w:p>
          <w:p w14:paraId="4A4238BD">
            <w:pPr>
              <w:widowControl/>
              <w:numPr>
                <w:ilvl w:val="0"/>
                <w:numId w:val="9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支持同时检测多个样品，还具备去皮功能，能够精确计算每个菜品的净重，实现高效的重量管理和分析。</w:t>
            </w:r>
          </w:p>
          <w:p w14:paraId="34B808A8">
            <w:pPr>
              <w:widowControl/>
              <w:numPr>
                <w:ilvl w:val="0"/>
                <w:numId w:val="9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单机留存菜品库标准比对图片</w:t>
            </w:r>
            <w:r>
              <w:rPr>
                <w:rFonts w:ascii="宋体" w:hAnsi="宋体" w:cs="宋体"/>
                <w:color w:val="auto"/>
                <w:kern w:val="0"/>
                <w:sz w:val="24"/>
                <w:szCs w:val="24"/>
                <w:lang w:bidi="ar"/>
              </w:rPr>
              <w:t>2000张以上。</w:t>
            </w:r>
          </w:p>
          <w:p w14:paraId="0C002516">
            <w:pPr>
              <w:widowControl/>
              <w:numPr>
                <w:ilvl w:val="0"/>
                <w:numId w:val="9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打印留样票据支持自定义格式，可更改留样票据上的各个类目。</w:t>
            </w:r>
          </w:p>
          <w:p w14:paraId="4313A804">
            <w:pPr>
              <w:widowControl/>
              <w:numPr>
                <w:ilvl w:val="0"/>
                <w:numId w:val="9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留样台账支持自动生成，且保持</w:t>
            </w:r>
            <w:r>
              <w:rPr>
                <w:rFonts w:ascii="宋体" w:hAnsi="宋体" w:cs="宋体"/>
                <w:color w:val="auto"/>
                <w:kern w:val="0"/>
                <w:sz w:val="24"/>
                <w:szCs w:val="24"/>
                <w:lang w:bidi="ar"/>
              </w:rPr>
              <w:t>5年以上。</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ED7D6C">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F27CF55">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7FC0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BC35BB">
            <w:pPr>
              <w:widowControl/>
              <w:jc w:val="center"/>
              <w:textAlignment w:val="center"/>
              <w:rPr>
                <w:rFonts w:ascii="宋体" w:hAnsi="宋体" w:cs="宋体"/>
                <w:color w:val="auto"/>
                <w:kern w:val="0"/>
                <w:sz w:val="24"/>
                <w:szCs w:val="24"/>
              </w:rPr>
            </w:pPr>
            <w:r>
              <w:rPr>
                <w:rFonts w:ascii="宋体" w:hAnsi="宋体" w:cs="宋体"/>
                <w:color w:val="auto"/>
                <w:kern w:val="0"/>
                <w:sz w:val="24"/>
                <w:szCs w:val="24"/>
                <w:lang w:bidi="ar"/>
              </w:rPr>
              <w:t>4</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799F8DA3">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仓库物联监管套装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73B727">
            <w:pPr>
              <w:widowControl/>
              <w:numPr>
                <w:ilvl w:val="0"/>
                <w:numId w:val="92"/>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功能描述：</w:t>
            </w:r>
          </w:p>
          <w:p w14:paraId="61F4B923">
            <w:pPr>
              <w:widowControl/>
              <w:numPr>
                <w:ilvl w:val="0"/>
                <w:numId w:val="93"/>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挡鼠板未闭合超过预设时间可声光报警；</w:t>
            </w:r>
          </w:p>
          <w:p w14:paraId="7DD01C83">
            <w:pPr>
              <w:widowControl/>
              <w:numPr>
                <w:ilvl w:val="0"/>
                <w:numId w:val="93"/>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食材隔墙离地未规范达标，红外感应装置现场声光报警；</w:t>
            </w:r>
          </w:p>
          <w:p w14:paraId="76233C5B">
            <w:pPr>
              <w:widowControl/>
              <w:numPr>
                <w:ilvl w:val="0"/>
                <w:numId w:val="93"/>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仓库温湿度超标现场声光报警；</w:t>
            </w:r>
          </w:p>
          <w:p w14:paraId="1D0F62AA">
            <w:pPr>
              <w:widowControl/>
              <w:numPr>
                <w:ilvl w:val="0"/>
                <w:numId w:val="93"/>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支持后台查看仓库设备状态数据、物联预警事件数据；</w:t>
            </w:r>
          </w:p>
          <w:p w14:paraId="7FC3AFBC">
            <w:pPr>
              <w:widowControl/>
              <w:numPr>
                <w:ilvl w:val="0"/>
                <w:numId w:val="93"/>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各类设备状态或报警数据可在大屏端显示；</w:t>
            </w:r>
          </w:p>
          <w:p w14:paraId="60D4E37C">
            <w:pPr>
              <w:widowControl/>
              <w:numPr>
                <w:ilvl w:val="0"/>
                <w:numId w:val="92"/>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物联中控屏设备参数：</w:t>
            </w:r>
          </w:p>
          <w:p w14:paraId="7A39E83B">
            <w:pPr>
              <w:pStyle w:val="22"/>
              <w:numPr>
                <w:ilvl w:val="0"/>
                <w:numId w:val="94"/>
              </w:numPr>
              <w:ind w:left="0" w:firstLine="0"/>
              <w:rPr>
                <w:color w:val="auto"/>
              </w:rPr>
            </w:pPr>
            <w:r>
              <w:rPr>
                <w:rFonts w:hint="eastAsia" w:ascii="宋体" w:hAnsi="宋体" w:eastAsia="宋体" w:cs="宋体"/>
                <w:color w:val="auto"/>
                <w:sz w:val="24"/>
                <w:szCs w:val="24"/>
              </w:rPr>
              <w:t>主要参数：</w:t>
            </w:r>
          </w:p>
          <w:p w14:paraId="552237CB">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外壳：前置钢化玻璃</w:t>
            </w:r>
            <w:r>
              <w:rPr>
                <w:rFonts w:ascii="宋体" w:hAnsi="宋体" w:cs="宋体"/>
                <w:color w:val="auto"/>
                <w:kern w:val="0"/>
                <w:sz w:val="24"/>
                <w:szCs w:val="24"/>
                <w:lang w:bidi="ar"/>
              </w:rPr>
              <w:t>+塑胶外壳；</w:t>
            </w:r>
          </w:p>
          <w:p w14:paraId="750CEF15">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保护面板：钢化玻璃；</w:t>
            </w:r>
          </w:p>
          <w:p w14:paraId="6850C1EC">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尺寸：不低于</w:t>
            </w:r>
            <w:r>
              <w:rPr>
                <w:rFonts w:ascii="宋体" w:hAnsi="宋体" w:cs="宋体"/>
                <w:color w:val="auto"/>
                <w:kern w:val="0"/>
                <w:sz w:val="24"/>
                <w:szCs w:val="24"/>
                <w:lang w:bidi="ar"/>
              </w:rPr>
              <w:t>10.1寸；</w:t>
            </w:r>
          </w:p>
          <w:p w14:paraId="393DC3ED">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屏幕比例：</w:t>
            </w:r>
            <w:r>
              <w:rPr>
                <w:rFonts w:ascii="宋体" w:hAnsi="宋体" w:cs="宋体"/>
                <w:color w:val="auto"/>
                <w:kern w:val="0"/>
                <w:sz w:val="24"/>
                <w:szCs w:val="24"/>
                <w:lang w:bidi="ar"/>
              </w:rPr>
              <w:t>16:9；</w:t>
            </w:r>
          </w:p>
          <w:p w14:paraId="59AEAD78">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摄像头像素：</w:t>
            </w:r>
            <w:r>
              <w:rPr>
                <w:rFonts w:ascii="宋体" w:hAnsi="宋体" w:cs="宋体"/>
                <w:color w:val="auto"/>
                <w:kern w:val="0"/>
                <w:sz w:val="24"/>
                <w:szCs w:val="24"/>
                <w:lang w:bidi="ar"/>
              </w:rPr>
              <w:t>100W；</w:t>
            </w:r>
          </w:p>
          <w:p w14:paraId="54D05594">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像素间距：</w:t>
            </w:r>
            <w:r>
              <w:rPr>
                <w:rFonts w:ascii="宋体" w:hAnsi="宋体" w:cs="宋体"/>
                <w:color w:val="auto"/>
                <w:kern w:val="0"/>
                <w:sz w:val="24"/>
                <w:szCs w:val="24"/>
                <w:lang w:bidi="ar"/>
              </w:rPr>
              <w:t>0.17925×0.17925mm；</w:t>
            </w:r>
          </w:p>
          <w:p w14:paraId="5E094112">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亮度：</w:t>
            </w:r>
            <w:r>
              <w:rPr>
                <w:rFonts w:ascii="宋体" w:hAnsi="宋体" w:cs="宋体"/>
                <w:color w:val="auto"/>
                <w:kern w:val="0"/>
                <w:sz w:val="24"/>
                <w:szCs w:val="24"/>
                <w:lang w:bidi="ar"/>
              </w:rPr>
              <w:t>350cd/m²可视角度85/85/85/85（左/右/上/下)；</w:t>
            </w:r>
          </w:p>
          <w:p w14:paraId="7EBB48FB">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对比度：</w:t>
            </w:r>
            <w:r>
              <w:rPr>
                <w:rFonts w:ascii="宋体" w:hAnsi="宋体" w:cs="宋体"/>
                <w:color w:val="auto"/>
                <w:kern w:val="0"/>
                <w:sz w:val="24"/>
                <w:szCs w:val="24"/>
                <w:lang w:bidi="ar"/>
              </w:rPr>
              <w:t>1000:1；</w:t>
            </w:r>
          </w:p>
          <w:p w14:paraId="4EB85FD4">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颜色数：</w:t>
            </w:r>
            <w:r>
              <w:rPr>
                <w:rFonts w:ascii="宋体" w:hAnsi="宋体" w:cs="宋体"/>
                <w:color w:val="auto"/>
                <w:kern w:val="0"/>
                <w:sz w:val="24"/>
                <w:szCs w:val="24"/>
                <w:lang w:bidi="ar"/>
              </w:rPr>
              <w:t>16.7M；</w:t>
            </w:r>
          </w:p>
          <w:p w14:paraId="5F653C34">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灯管寿命：超过</w:t>
            </w:r>
            <w:r>
              <w:rPr>
                <w:rFonts w:ascii="宋体" w:hAnsi="宋体" w:cs="宋体"/>
                <w:color w:val="auto"/>
                <w:kern w:val="0"/>
                <w:sz w:val="24"/>
                <w:szCs w:val="24"/>
                <w:lang w:bidi="ar"/>
              </w:rPr>
              <w:t>50000小时；</w:t>
            </w:r>
          </w:p>
          <w:p w14:paraId="74159128">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操作系统：</w:t>
            </w:r>
            <w:r>
              <w:rPr>
                <w:rFonts w:ascii="宋体" w:hAnsi="宋体" w:cs="宋体"/>
                <w:color w:val="auto"/>
                <w:kern w:val="0"/>
                <w:sz w:val="24"/>
                <w:szCs w:val="24"/>
                <w:lang w:bidi="ar"/>
              </w:rPr>
              <w:t>Android7.1.2；</w:t>
            </w:r>
          </w:p>
          <w:p w14:paraId="753F9113">
            <w:pPr>
              <w:widowControl/>
              <w:numPr>
                <w:ilvl w:val="0"/>
                <w:numId w:val="95"/>
              </w:numPr>
              <w:ind w:firstLine="0"/>
              <w:jc w:val="left"/>
              <w:textAlignment w:val="center"/>
              <w:rPr>
                <w:rFonts w:ascii="宋体" w:hAnsi="宋体" w:cs="宋体"/>
                <w:color w:val="auto"/>
                <w:kern w:val="0"/>
                <w:sz w:val="24"/>
                <w:szCs w:val="24"/>
                <w:lang w:bidi="ar"/>
              </w:rPr>
            </w:pPr>
            <w:r>
              <w:rPr>
                <w:rFonts w:ascii="宋体" w:hAnsi="宋体" w:cs="宋体"/>
                <w:color w:val="auto"/>
                <w:kern w:val="0"/>
                <w:sz w:val="24"/>
                <w:szCs w:val="24"/>
                <w:lang w:bidi="ar"/>
              </w:rPr>
              <w:t>CPU：RK3288，四核；</w:t>
            </w:r>
          </w:p>
          <w:p w14:paraId="5ADA39C2">
            <w:pPr>
              <w:widowControl/>
              <w:numPr>
                <w:ilvl w:val="0"/>
                <w:numId w:val="95"/>
              </w:numPr>
              <w:ind w:firstLine="0"/>
              <w:jc w:val="left"/>
              <w:textAlignment w:val="center"/>
              <w:rPr>
                <w:rFonts w:ascii="宋体" w:hAnsi="宋体" w:cs="宋体"/>
                <w:color w:val="auto"/>
                <w:kern w:val="0"/>
                <w:sz w:val="24"/>
                <w:szCs w:val="24"/>
                <w:lang w:bidi="ar"/>
              </w:rPr>
            </w:pPr>
            <w:r>
              <w:rPr>
                <w:rFonts w:ascii="宋体" w:hAnsi="宋体" w:cs="宋体"/>
                <w:color w:val="auto"/>
                <w:kern w:val="0"/>
                <w:sz w:val="24"/>
                <w:szCs w:val="24"/>
                <w:lang w:bidi="ar"/>
              </w:rPr>
              <w:t>CPU主频：1.8GHz；</w:t>
            </w:r>
          </w:p>
          <w:p w14:paraId="548EA343">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内存：</w:t>
            </w:r>
            <w:r>
              <w:rPr>
                <w:rFonts w:ascii="宋体" w:hAnsi="宋体" w:cs="宋体"/>
                <w:color w:val="auto"/>
                <w:kern w:val="0"/>
                <w:sz w:val="24"/>
                <w:szCs w:val="24"/>
                <w:lang w:bidi="ar"/>
              </w:rPr>
              <w:t>DDR32G；</w:t>
            </w:r>
          </w:p>
          <w:p w14:paraId="5AE6926E">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内置存储容量：</w:t>
            </w:r>
            <w:r>
              <w:rPr>
                <w:rFonts w:ascii="宋体" w:hAnsi="宋体" w:cs="宋体"/>
                <w:color w:val="auto"/>
                <w:kern w:val="0"/>
                <w:sz w:val="24"/>
                <w:szCs w:val="24"/>
                <w:lang w:bidi="ar"/>
              </w:rPr>
              <w:t>EMMC8G；</w:t>
            </w:r>
          </w:p>
          <w:p w14:paraId="0825DCAF">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喇叭：</w:t>
            </w:r>
            <w:r>
              <w:rPr>
                <w:rFonts w:ascii="宋体" w:hAnsi="宋体" w:cs="宋体"/>
                <w:color w:val="auto"/>
                <w:kern w:val="0"/>
                <w:sz w:val="24"/>
                <w:szCs w:val="24"/>
                <w:lang w:bidi="ar"/>
              </w:rPr>
              <w:t>8Ω2W；</w:t>
            </w:r>
          </w:p>
          <w:p w14:paraId="6E5A0477">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网络：支持</w:t>
            </w:r>
            <w:r>
              <w:rPr>
                <w:rFonts w:ascii="宋体" w:hAnsi="宋体" w:cs="宋体"/>
                <w:color w:val="auto"/>
                <w:kern w:val="0"/>
                <w:sz w:val="24"/>
                <w:szCs w:val="24"/>
                <w:lang w:bidi="ar"/>
              </w:rPr>
              <w:t>WiFi、BT；</w:t>
            </w:r>
          </w:p>
          <w:p w14:paraId="09306ED7">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接口：</w:t>
            </w:r>
            <w:r>
              <w:rPr>
                <w:rFonts w:ascii="宋体" w:hAnsi="宋体" w:cs="宋体"/>
                <w:color w:val="auto"/>
                <w:kern w:val="0"/>
                <w:sz w:val="24"/>
                <w:szCs w:val="24"/>
                <w:lang w:bidi="ar"/>
              </w:rPr>
              <w:t>I/O:2*USB，可扩展2*USB；</w:t>
            </w:r>
          </w:p>
          <w:p w14:paraId="2C8E79E9">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工作环境温度：</w:t>
            </w:r>
            <w:r>
              <w:rPr>
                <w:rFonts w:ascii="宋体" w:hAnsi="宋体" w:cs="宋体"/>
                <w:color w:val="auto"/>
                <w:kern w:val="0"/>
                <w:sz w:val="24"/>
                <w:szCs w:val="24"/>
                <w:lang w:bidi="ar"/>
              </w:rPr>
              <w:t>0～50摄氏度；</w:t>
            </w:r>
          </w:p>
          <w:p w14:paraId="192E43D7">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触摸精度：±</w:t>
            </w:r>
            <w:r>
              <w:rPr>
                <w:rFonts w:ascii="宋体" w:hAnsi="宋体" w:cs="宋体"/>
                <w:color w:val="auto"/>
                <w:kern w:val="0"/>
                <w:sz w:val="24"/>
                <w:szCs w:val="24"/>
                <w:lang w:bidi="ar"/>
              </w:rPr>
              <w:t>2mm；</w:t>
            </w:r>
          </w:p>
          <w:p w14:paraId="5F12DF64">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响应时间：</w:t>
            </w:r>
            <w:r>
              <w:rPr>
                <w:rFonts w:ascii="宋体" w:hAnsi="宋体" w:cs="宋体"/>
                <w:color w:val="auto"/>
                <w:kern w:val="0"/>
                <w:sz w:val="24"/>
                <w:szCs w:val="24"/>
                <w:lang w:bidi="ar"/>
              </w:rPr>
              <w:t>25ms~30ms；</w:t>
            </w:r>
          </w:p>
          <w:p w14:paraId="30AFE7D0">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可识别物体：手指或者专用触摸笔；</w:t>
            </w:r>
          </w:p>
          <w:p w14:paraId="19BCC7F1">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透明度：≥</w:t>
            </w:r>
            <w:r>
              <w:rPr>
                <w:rFonts w:ascii="宋体" w:hAnsi="宋体" w:cs="宋体"/>
                <w:color w:val="auto"/>
                <w:kern w:val="0"/>
                <w:sz w:val="24"/>
                <w:szCs w:val="24"/>
                <w:lang w:bidi="ar"/>
              </w:rPr>
              <w:t>85％±2％；</w:t>
            </w:r>
          </w:p>
          <w:p w14:paraId="5140E64F">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温度范围：工作温度：</w:t>
            </w:r>
            <w:r>
              <w:rPr>
                <w:rFonts w:ascii="宋体" w:hAnsi="宋体" w:cs="宋体"/>
                <w:color w:val="auto"/>
                <w:kern w:val="0"/>
                <w:sz w:val="24"/>
                <w:szCs w:val="24"/>
                <w:lang w:bidi="ar"/>
              </w:rPr>
              <w:t>-10℃~60℃；</w:t>
            </w:r>
          </w:p>
          <w:p w14:paraId="1C7C91C9">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供电方式：外置</w:t>
            </w:r>
            <w:r>
              <w:rPr>
                <w:rFonts w:ascii="宋体" w:hAnsi="宋体" w:cs="宋体"/>
                <w:color w:val="auto"/>
                <w:kern w:val="0"/>
                <w:sz w:val="24"/>
                <w:szCs w:val="24"/>
                <w:lang w:bidi="ar"/>
              </w:rPr>
              <w:t>12V/2A适配器；</w:t>
            </w:r>
          </w:p>
          <w:p w14:paraId="19F9DFA2">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整机功率：</w:t>
            </w:r>
            <w:r>
              <w:rPr>
                <w:rFonts w:ascii="宋体" w:hAnsi="宋体" w:cs="宋体"/>
                <w:color w:val="auto"/>
                <w:kern w:val="0"/>
                <w:sz w:val="24"/>
                <w:szCs w:val="24"/>
                <w:lang w:bidi="ar"/>
              </w:rPr>
              <w:t>15W；</w:t>
            </w:r>
          </w:p>
          <w:p w14:paraId="699E1EE0">
            <w:pPr>
              <w:widowControl/>
              <w:numPr>
                <w:ilvl w:val="0"/>
                <w:numId w:val="95"/>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安装方式：壁挂式；</w:t>
            </w:r>
          </w:p>
          <w:p w14:paraId="565B29CB">
            <w:pPr>
              <w:widowControl/>
              <w:numPr>
                <w:ilvl w:val="0"/>
                <w:numId w:val="92"/>
              </w:numPr>
              <w:ind w:left="0" w:firstLine="0"/>
              <w:jc w:val="left"/>
              <w:textAlignment w:val="center"/>
              <w:rPr>
                <w:rFonts w:ascii="宋体" w:hAnsi="宋体" w:cs="宋体"/>
                <w:color w:val="auto"/>
                <w:kern w:val="0"/>
                <w:sz w:val="24"/>
                <w:szCs w:val="24"/>
                <w:lang w:bidi="ar"/>
              </w:rPr>
            </w:pPr>
            <w:r>
              <w:rPr>
                <w:rFonts w:ascii="宋体" w:hAnsi="宋体" w:cs="宋体"/>
                <w:color w:val="auto"/>
                <w:kern w:val="0"/>
                <w:sz w:val="24"/>
                <w:szCs w:val="24"/>
                <w:lang w:bidi="ar"/>
              </w:rPr>
              <w:t>IO通讯模块设备参数：</w:t>
            </w:r>
          </w:p>
          <w:p w14:paraId="1F109CAC">
            <w:pPr>
              <w:pStyle w:val="22"/>
              <w:numPr>
                <w:ilvl w:val="0"/>
                <w:numId w:val="96"/>
              </w:numPr>
              <w:ind w:left="0" w:firstLine="0"/>
              <w:rPr>
                <w:color w:val="auto"/>
              </w:rPr>
            </w:pPr>
            <w:r>
              <w:rPr>
                <w:rFonts w:hint="eastAsia" w:ascii="宋体" w:hAnsi="宋体" w:eastAsia="宋体" w:cs="宋体"/>
                <w:color w:val="auto"/>
                <w:sz w:val="24"/>
                <w:szCs w:val="24"/>
              </w:rPr>
              <w:t>主要参数：</w:t>
            </w:r>
          </w:p>
          <w:p w14:paraId="15633741">
            <w:pPr>
              <w:widowControl/>
              <w:numPr>
                <w:ilvl w:val="0"/>
                <w:numId w:val="97"/>
              </w:numPr>
              <w:ind w:firstLine="0"/>
              <w:jc w:val="left"/>
              <w:textAlignment w:val="center"/>
              <w:rPr>
                <w:rFonts w:ascii="宋体" w:hAnsi="宋体" w:cs="宋体"/>
                <w:color w:val="auto"/>
                <w:kern w:val="0"/>
                <w:sz w:val="24"/>
                <w:szCs w:val="24"/>
                <w:lang w:bidi="ar"/>
              </w:rPr>
            </w:pPr>
            <w:r>
              <w:rPr>
                <w:rFonts w:ascii="宋体" w:hAnsi="宋体" w:cs="宋体"/>
                <w:color w:val="auto"/>
                <w:kern w:val="0"/>
                <w:sz w:val="24"/>
                <w:szCs w:val="24"/>
                <w:lang w:bidi="ar"/>
              </w:rPr>
              <w:t>4路继电器控制输出，触点容量250VAC10A/DC30V10A；</w:t>
            </w:r>
          </w:p>
          <w:p w14:paraId="660C95D1">
            <w:pPr>
              <w:widowControl/>
              <w:numPr>
                <w:ilvl w:val="0"/>
                <w:numId w:val="97"/>
              </w:numPr>
              <w:ind w:firstLine="0"/>
              <w:jc w:val="left"/>
              <w:textAlignment w:val="center"/>
              <w:rPr>
                <w:rFonts w:ascii="宋体" w:hAnsi="宋体" w:cs="宋体"/>
                <w:color w:val="auto"/>
                <w:kern w:val="0"/>
                <w:sz w:val="24"/>
                <w:szCs w:val="24"/>
                <w:lang w:bidi="ar"/>
              </w:rPr>
            </w:pPr>
            <w:r>
              <w:rPr>
                <w:rFonts w:ascii="宋体" w:hAnsi="宋体" w:cs="宋体"/>
                <w:color w:val="auto"/>
                <w:kern w:val="0"/>
                <w:sz w:val="24"/>
                <w:szCs w:val="24"/>
                <w:lang w:bidi="ar"/>
              </w:rPr>
              <w:t>4</w:t>
            </w:r>
            <w:r>
              <w:rPr>
                <w:rFonts w:hint="eastAsia" w:ascii="宋体" w:hAnsi="宋体" w:cs="宋体"/>
                <w:color w:val="auto"/>
                <w:kern w:val="0"/>
                <w:sz w:val="24"/>
                <w:szCs w:val="24"/>
                <w:lang w:bidi="ar"/>
              </w:rPr>
              <w:t>路数字量输入，隔离输入，抗浪涌等级</w:t>
            </w:r>
            <w:r>
              <w:rPr>
                <w:rFonts w:ascii="宋体" w:hAnsi="宋体" w:cs="宋体"/>
                <w:color w:val="auto"/>
                <w:kern w:val="0"/>
                <w:sz w:val="24"/>
                <w:szCs w:val="24"/>
                <w:lang w:bidi="ar"/>
              </w:rPr>
              <w:t>1500V，有源</w:t>
            </w:r>
            <w:r>
              <w:rPr>
                <w:rFonts w:hint="eastAsia" w:ascii="宋体" w:hAnsi="宋体" w:cs="宋体"/>
                <w:color w:val="auto"/>
                <w:kern w:val="0"/>
                <w:sz w:val="24"/>
                <w:szCs w:val="24"/>
                <w:lang w:bidi="ar"/>
              </w:rPr>
              <w:t>无源均支持；</w:t>
            </w:r>
          </w:p>
          <w:p w14:paraId="29CB473E">
            <w:pPr>
              <w:widowControl/>
              <w:numPr>
                <w:ilvl w:val="0"/>
                <w:numId w:val="97"/>
              </w:numPr>
              <w:ind w:firstLine="0"/>
              <w:jc w:val="left"/>
              <w:textAlignment w:val="center"/>
              <w:rPr>
                <w:rFonts w:ascii="宋体" w:hAnsi="宋体" w:cs="宋体"/>
                <w:color w:val="auto"/>
                <w:kern w:val="0"/>
                <w:sz w:val="24"/>
                <w:szCs w:val="24"/>
                <w:lang w:bidi="ar"/>
              </w:rPr>
            </w:pPr>
            <w:r>
              <w:rPr>
                <w:rFonts w:ascii="宋体" w:hAnsi="宋体" w:cs="宋体"/>
                <w:color w:val="auto"/>
                <w:kern w:val="0"/>
                <w:sz w:val="24"/>
                <w:szCs w:val="24"/>
                <w:lang w:bidi="ar"/>
              </w:rPr>
              <w:t>1路RS485接口，支持连接485接口Modbus协议仪表或传感器；</w:t>
            </w:r>
          </w:p>
          <w:p w14:paraId="65845B3F">
            <w:pPr>
              <w:widowControl/>
              <w:numPr>
                <w:ilvl w:val="0"/>
                <w:numId w:val="9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以太网通讯接口，</w:t>
            </w:r>
            <w:r>
              <w:rPr>
                <w:rFonts w:ascii="宋体" w:hAnsi="宋体" w:cs="宋体"/>
                <w:color w:val="auto"/>
                <w:kern w:val="0"/>
                <w:sz w:val="24"/>
                <w:szCs w:val="24"/>
                <w:lang w:bidi="ar"/>
              </w:rPr>
              <w:t>10/100M自适应；</w:t>
            </w:r>
          </w:p>
          <w:p w14:paraId="6779D1C0">
            <w:pPr>
              <w:widowControl/>
              <w:numPr>
                <w:ilvl w:val="0"/>
                <w:numId w:val="9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支持</w:t>
            </w:r>
            <w:r>
              <w:rPr>
                <w:rFonts w:ascii="宋体" w:hAnsi="宋体" w:cs="宋体"/>
                <w:color w:val="auto"/>
                <w:kern w:val="0"/>
                <w:sz w:val="24"/>
                <w:szCs w:val="24"/>
                <w:lang w:bidi="ar"/>
              </w:rPr>
              <w:t>MQTT通讯，参数可配置；</w:t>
            </w:r>
          </w:p>
          <w:p w14:paraId="631ABE56">
            <w:pPr>
              <w:widowControl/>
              <w:numPr>
                <w:ilvl w:val="0"/>
                <w:numId w:val="9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通信波特率，</w:t>
            </w:r>
            <w:r>
              <w:rPr>
                <w:rFonts w:ascii="宋体" w:hAnsi="宋体" w:cs="宋体"/>
                <w:color w:val="auto"/>
                <w:kern w:val="0"/>
                <w:sz w:val="24"/>
                <w:szCs w:val="24"/>
                <w:lang w:bidi="ar"/>
              </w:rPr>
              <w:t>bps：1200～115200bps；</w:t>
            </w:r>
          </w:p>
          <w:p w14:paraId="6A85EF8A">
            <w:pPr>
              <w:widowControl/>
              <w:numPr>
                <w:ilvl w:val="0"/>
                <w:numId w:val="9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通信协议</w:t>
            </w:r>
            <w:r>
              <w:rPr>
                <w:rFonts w:ascii="宋体" w:hAnsi="宋体" w:cs="宋体"/>
                <w:color w:val="auto"/>
                <w:kern w:val="0"/>
                <w:sz w:val="24"/>
                <w:szCs w:val="24"/>
                <w:lang w:bidi="ar"/>
              </w:rPr>
              <w:t>ModbusTCP；</w:t>
            </w:r>
          </w:p>
          <w:p w14:paraId="09D95279">
            <w:pPr>
              <w:widowControl/>
              <w:numPr>
                <w:ilvl w:val="0"/>
                <w:numId w:val="9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工作电压范围</w:t>
            </w:r>
            <w:r>
              <w:rPr>
                <w:rFonts w:ascii="宋体" w:hAnsi="宋体" w:cs="宋体"/>
                <w:color w:val="auto"/>
                <w:kern w:val="0"/>
                <w:sz w:val="24"/>
                <w:szCs w:val="24"/>
                <w:lang w:bidi="ar"/>
              </w:rPr>
              <w:t>DC7-40V宽压；静态工作电流≤100ma；支持定点/星期/时段控制，可设置定时规则不少于100条；</w:t>
            </w:r>
          </w:p>
          <w:p w14:paraId="645B6DCC">
            <w:pPr>
              <w:widowControl/>
              <w:numPr>
                <w:ilvl w:val="0"/>
                <w:numId w:val="9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支持自定义设置四路继电器输出之间互锁联动；规则不少于</w:t>
            </w:r>
            <w:r>
              <w:rPr>
                <w:rFonts w:ascii="宋体" w:hAnsi="宋体" w:cs="宋体"/>
                <w:color w:val="auto"/>
                <w:kern w:val="0"/>
                <w:sz w:val="24"/>
                <w:szCs w:val="24"/>
                <w:lang w:bidi="ar"/>
              </w:rPr>
              <w:t>70条；</w:t>
            </w:r>
          </w:p>
          <w:p w14:paraId="616F0E1C">
            <w:pPr>
              <w:widowControl/>
              <w:numPr>
                <w:ilvl w:val="0"/>
                <w:numId w:val="9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支持数字量输入联动控制输出，可一路输入联动多路输出，也可多路输入联动一路输出；规则不少于</w:t>
            </w:r>
            <w:r>
              <w:rPr>
                <w:rFonts w:ascii="宋体" w:hAnsi="宋体" w:cs="宋体"/>
                <w:color w:val="auto"/>
                <w:kern w:val="0"/>
                <w:sz w:val="24"/>
                <w:szCs w:val="24"/>
                <w:lang w:bidi="ar"/>
              </w:rPr>
              <w:t>70条；</w:t>
            </w:r>
          </w:p>
          <w:p w14:paraId="25DD7E6E">
            <w:pPr>
              <w:widowControl/>
              <w:numPr>
                <w:ilvl w:val="0"/>
                <w:numId w:val="9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支持自定义传感器上下限，区间阈值联动控制一路或多路输出；规则不少于</w:t>
            </w:r>
            <w:r>
              <w:rPr>
                <w:rFonts w:ascii="宋体" w:hAnsi="宋体" w:cs="宋体"/>
                <w:color w:val="auto"/>
                <w:kern w:val="0"/>
                <w:sz w:val="24"/>
                <w:szCs w:val="24"/>
                <w:lang w:bidi="ar"/>
              </w:rPr>
              <w:t>70条；</w:t>
            </w:r>
          </w:p>
          <w:p w14:paraId="19CA4A82">
            <w:pPr>
              <w:widowControl/>
              <w:numPr>
                <w:ilvl w:val="0"/>
                <w:numId w:val="9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工作环境温度</w:t>
            </w:r>
            <w:r>
              <w:rPr>
                <w:rFonts w:ascii="宋体" w:hAnsi="宋体" w:cs="宋体"/>
                <w:color w:val="auto"/>
                <w:kern w:val="0"/>
                <w:sz w:val="24"/>
                <w:szCs w:val="24"/>
                <w:lang w:bidi="ar"/>
              </w:rPr>
              <w:t>-40～80℃，环境湿度为0～95%无凝露；</w:t>
            </w:r>
          </w:p>
          <w:p w14:paraId="4270D19C">
            <w:pPr>
              <w:widowControl/>
              <w:numPr>
                <w:ilvl w:val="0"/>
                <w:numId w:val="92"/>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温湿度探测器（</w:t>
            </w:r>
            <w:r>
              <w:rPr>
                <w:rFonts w:ascii="宋体" w:hAnsi="宋体" w:cs="宋体"/>
                <w:color w:val="auto"/>
                <w:kern w:val="0"/>
                <w:sz w:val="24"/>
                <w:szCs w:val="24"/>
                <w:lang w:bidi="ar"/>
              </w:rPr>
              <w:t>485版）设备参数：</w:t>
            </w:r>
          </w:p>
          <w:p w14:paraId="1115CD9D">
            <w:pPr>
              <w:pStyle w:val="22"/>
              <w:numPr>
                <w:ilvl w:val="0"/>
                <w:numId w:val="98"/>
              </w:numPr>
              <w:ind w:left="0" w:firstLine="0"/>
              <w:rPr>
                <w:color w:val="auto"/>
              </w:rPr>
            </w:pPr>
            <w:r>
              <w:rPr>
                <w:rFonts w:hint="eastAsia" w:ascii="宋体" w:hAnsi="宋体" w:eastAsia="宋体" w:cs="宋体"/>
                <w:color w:val="auto"/>
                <w:sz w:val="24"/>
                <w:szCs w:val="24"/>
              </w:rPr>
              <w:t>主要参数：</w:t>
            </w:r>
          </w:p>
          <w:p w14:paraId="47C723E4">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精度湿度：±</w:t>
            </w:r>
            <w:r>
              <w:rPr>
                <w:rFonts w:ascii="宋体" w:hAnsi="宋体" w:cs="宋体"/>
                <w:color w:val="auto"/>
                <w:kern w:val="0"/>
                <w:sz w:val="24"/>
                <w:szCs w:val="24"/>
                <w:lang w:bidi="ar"/>
              </w:rPr>
              <w:t>3%RH(60%RH，25℃)；</w:t>
            </w:r>
          </w:p>
          <w:p w14:paraId="3A9DB7D5">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温度：±</w:t>
            </w:r>
            <w:r>
              <w:rPr>
                <w:rFonts w:ascii="宋体" w:hAnsi="宋体" w:cs="宋体"/>
                <w:color w:val="auto"/>
                <w:kern w:val="0"/>
                <w:sz w:val="24"/>
                <w:szCs w:val="24"/>
                <w:lang w:bidi="ar"/>
              </w:rPr>
              <w:t>0.5℃（25℃）；</w:t>
            </w:r>
          </w:p>
          <w:p w14:paraId="3F74DC39">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探测器电路工作温度：</w:t>
            </w:r>
            <w:r>
              <w:rPr>
                <w:rFonts w:ascii="宋体" w:hAnsi="宋体" w:cs="宋体"/>
                <w:color w:val="auto"/>
                <w:kern w:val="0"/>
                <w:sz w:val="24"/>
                <w:szCs w:val="24"/>
                <w:lang w:bidi="ar"/>
              </w:rPr>
              <w:t>-40℃~+60℃，0%RH~80%RH；</w:t>
            </w:r>
          </w:p>
          <w:p w14:paraId="5FD8138E">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探头工作温度：</w:t>
            </w:r>
            <w:r>
              <w:rPr>
                <w:rFonts w:ascii="宋体" w:hAnsi="宋体" w:cs="宋体"/>
                <w:color w:val="auto"/>
                <w:kern w:val="0"/>
                <w:sz w:val="24"/>
                <w:szCs w:val="24"/>
                <w:lang w:bidi="ar"/>
              </w:rPr>
              <w:t>-40℃~+120℃，默认-40℃~+80℃；</w:t>
            </w:r>
          </w:p>
          <w:p w14:paraId="2F4B2C13">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探头工作湿度：</w:t>
            </w:r>
            <w:r>
              <w:rPr>
                <w:rFonts w:ascii="宋体" w:hAnsi="宋体" w:cs="宋体"/>
                <w:color w:val="auto"/>
                <w:kern w:val="0"/>
                <w:sz w:val="24"/>
                <w:szCs w:val="24"/>
                <w:lang w:bidi="ar"/>
              </w:rPr>
              <w:t>0%RH-100%RH；</w:t>
            </w:r>
          </w:p>
          <w:p w14:paraId="157733C9">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温度显示分辨率：</w:t>
            </w:r>
            <w:r>
              <w:rPr>
                <w:rFonts w:ascii="宋体" w:hAnsi="宋体" w:cs="宋体"/>
                <w:color w:val="auto"/>
                <w:kern w:val="0"/>
                <w:sz w:val="24"/>
                <w:szCs w:val="24"/>
                <w:lang w:bidi="ar"/>
              </w:rPr>
              <w:t>0.1℃；</w:t>
            </w:r>
          </w:p>
          <w:p w14:paraId="4E3497BE">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湿度显示分辨率：</w:t>
            </w:r>
            <w:r>
              <w:rPr>
                <w:rFonts w:ascii="宋体" w:hAnsi="宋体" w:cs="宋体"/>
                <w:color w:val="auto"/>
                <w:kern w:val="0"/>
                <w:sz w:val="24"/>
                <w:szCs w:val="24"/>
                <w:lang w:bidi="ar"/>
              </w:rPr>
              <w:t>0.1%RH；</w:t>
            </w:r>
          </w:p>
          <w:p w14:paraId="73E01087">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温湿度刷新时间：</w:t>
            </w:r>
            <w:r>
              <w:rPr>
                <w:rFonts w:ascii="宋体" w:hAnsi="宋体" w:cs="宋体"/>
                <w:color w:val="auto"/>
                <w:kern w:val="0"/>
                <w:sz w:val="24"/>
                <w:szCs w:val="24"/>
                <w:lang w:bidi="ar"/>
              </w:rPr>
              <w:t>1S；</w:t>
            </w:r>
          </w:p>
          <w:p w14:paraId="5D2D6F3F">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直流供电（默认）：</w:t>
            </w:r>
            <w:r>
              <w:rPr>
                <w:rFonts w:ascii="宋体" w:hAnsi="宋体" w:cs="宋体"/>
                <w:color w:val="auto"/>
                <w:kern w:val="0"/>
                <w:sz w:val="24"/>
                <w:szCs w:val="24"/>
                <w:lang w:bidi="ar"/>
              </w:rPr>
              <w:t>DC10-30V；</w:t>
            </w:r>
          </w:p>
          <w:p w14:paraId="2FF297A7">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最大功耗：</w:t>
            </w:r>
            <w:r>
              <w:rPr>
                <w:rFonts w:ascii="宋体" w:hAnsi="宋体" w:cs="宋体"/>
                <w:color w:val="auto"/>
                <w:kern w:val="0"/>
                <w:sz w:val="24"/>
                <w:szCs w:val="24"/>
                <w:lang w:bidi="ar"/>
              </w:rPr>
              <w:t>0.1W；</w:t>
            </w:r>
          </w:p>
          <w:p w14:paraId="1AA13F0B">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输出信号：</w:t>
            </w:r>
            <w:r>
              <w:rPr>
                <w:rFonts w:ascii="宋体" w:hAnsi="宋体" w:cs="宋体"/>
                <w:color w:val="auto"/>
                <w:kern w:val="0"/>
                <w:sz w:val="24"/>
                <w:szCs w:val="24"/>
                <w:lang w:bidi="ar"/>
              </w:rPr>
              <w:t>485(Modbus协议）；</w:t>
            </w:r>
          </w:p>
          <w:p w14:paraId="1B70606A">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安装方式：壁挂式；</w:t>
            </w:r>
          </w:p>
          <w:p w14:paraId="2BB62D90">
            <w:pPr>
              <w:widowControl/>
              <w:numPr>
                <w:ilvl w:val="0"/>
                <w:numId w:val="99"/>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尺寸：不低于</w:t>
            </w:r>
            <w:r>
              <w:rPr>
                <w:rFonts w:ascii="宋体" w:hAnsi="宋体" w:cs="宋体"/>
                <w:color w:val="auto"/>
                <w:kern w:val="0"/>
                <w:sz w:val="24"/>
                <w:szCs w:val="24"/>
                <w:lang w:bidi="ar"/>
              </w:rPr>
              <w:t>110×85×44mm；</w:t>
            </w:r>
          </w:p>
          <w:p w14:paraId="285BF2F0">
            <w:pPr>
              <w:widowControl/>
              <w:numPr>
                <w:ilvl w:val="0"/>
                <w:numId w:val="92"/>
              </w:numPr>
              <w:ind w:left="0"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挡鼠板门磁设备参数：</w:t>
            </w:r>
          </w:p>
          <w:p w14:paraId="7EF10444">
            <w:pPr>
              <w:pStyle w:val="22"/>
              <w:numPr>
                <w:ilvl w:val="0"/>
                <w:numId w:val="100"/>
              </w:numPr>
              <w:ind w:left="0" w:firstLine="0"/>
              <w:rPr>
                <w:color w:val="auto"/>
              </w:rPr>
            </w:pPr>
            <w:r>
              <w:rPr>
                <w:rFonts w:hint="eastAsia" w:ascii="宋体" w:hAnsi="宋体" w:eastAsia="宋体" w:cs="宋体"/>
                <w:color w:val="auto"/>
                <w:sz w:val="24"/>
                <w:szCs w:val="24"/>
              </w:rPr>
              <w:t>主要参数：</w:t>
            </w:r>
          </w:p>
          <w:p w14:paraId="5002D797">
            <w:pPr>
              <w:widowControl/>
              <w:numPr>
                <w:ilvl w:val="0"/>
                <w:numId w:val="10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感应距离：</w:t>
            </w:r>
            <w:r>
              <w:rPr>
                <w:rFonts w:ascii="宋体" w:hAnsi="宋体" w:cs="宋体"/>
                <w:color w:val="auto"/>
                <w:kern w:val="0"/>
                <w:sz w:val="24"/>
                <w:szCs w:val="24"/>
                <w:lang w:bidi="ar"/>
              </w:rPr>
              <w:t>25-35MM；</w:t>
            </w:r>
          </w:p>
          <w:p w14:paraId="4CAAAC68">
            <w:pPr>
              <w:widowControl/>
              <w:numPr>
                <w:ilvl w:val="0"/>
                <w:numId w:val="10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孔距离：</w:t>
            </w:r>
            <w:r>
              <w:rPr>
                <w:rFonts w:ascii="宋体" w:hAnsi="宋体" w:cs="宋体"/>
                <w:color w:val="auto"/>
                <w:kern w:val="0"/>
                <w:sz w:val="24"/>
                <w:szCs w:val="24"/>
                <w:lang w:bidi="ar"/>
              </w:rPr>
              <w:t>33MM；</w:t>
            </w:r>
          </w:p>
          <w:p w14:paraId="3AAE6839">
            <w:pPr>
              <w:widowControl/>
              <w:numPr>
                <w:ilvl w:val="0"/>
                <w:numId w:val="10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开关形式：常闭；</w:t>
            </w:r>
          </w:p>
          <w:p w14:paraId="3F5BB718">
            <w:pPr>
              <w:widowControl/>
              <w:numPr>
                <w:ilvl w:val="0"/>
                <w:numId w:val="10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参数：最大功率</w:t>
            </w:r>
            <w:r>
              <w:rPr>
                <w:rFonts w:ascii="宋体" w:hAnsi="宋体" w:cs="宋体"/>
                <w:color w:val="auto"/>
                <w:kern w:val="0"/>
                <w:sz w:val="24"/>
                <w:szCs w:val="24"/>
                <w:lang w:bidi="ar"/>
              </w:rPr>
              <w:t>10W，最高电压100V，最大电流0.5A；</w:t>
            </w:r>
          </w:p>
          <w:p w14:paraId="41B26725">
            <w:pPr>
              <w:widowControl/>
              <w:numPr>
                <w:ilvl w:val="0"/>
                <w:numId w:val="101"/>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外壳材质：锌合金，银灰电镀；</w:t>
            </w:r>
          </w:p>
          <w:p w14:paraId="1FCE4E3A">
            <w:pPr>
              <w:widowControl/>
              <w:numPr>
                <w:ilvl w:val="0"/>
                <w:numId w:val="92"/>
              </w:numPr>
              <w:ind w:left="0" w:firstLine="0"/>
              <w:jc w:val="left"/>
              <w:textAlignment w:val="center"/>
              <w:rPr>
                <w:rFonts w:ascii="宋体" w:hAnsi="宋体" w:cs="宋体"/>
                <w:color w:val="auto"/>
                <w:kern w:val="0"/>
                <w:sz w:val="24"/>
                <w:szCs w:val="24"/>
              </w:rPr>
            </w:pPr>
            <w:r>
              <w:rPr>
                <w:rFonts w:hint="eastAsia" w:ascii="宋体" w:hAnsi="宋体" w:cs="宋体"/>
                <w:color w:val="auto"/>
                <w:kern w:val="0"/>
                <w:sz w:val="24"/>
                <w:szCs w:val="24"/>
              </w:rPr>
              <w:t>智能防潮光栅（</w:t>
            </w:r>
            <w:r>
              <w:rPr>
                <w:rFonts w:ascii="宋体" w:hAnsi="宋体" w:cs="宋体"/>
                <w:color w:val="auto"/>
                <w:kern w:val="0"/>
                <w:sz w:val="24"/>
                <w:szCs w:val="24"/>
              </w:rPr>
              <w:t>1M）设备参数：</w:t>
            </w:r>
          </w:p>
          <w:p w14:paraId="0A4CEF06">
            <w:pPr>
              <w:pStyle w:val="22"/>
              <w:numPr>
                <w:ilvl w:val="0"/>
                <w:numId w:val="102"/>
              </w:numPr>
              <w:ind w:left="0" w:firstLine="0"/>
              <w:rPr>
                <w:color w:val="auto"/>
              </w:rPr>
            </w:pPr>
            <w:r>
              <w:rPr>
                <w:rFonts w:hint="eastAsia" w:ascii="宋体" w:hAnsi="宋体" w:eastAsia="宋体" w:cs="宋体"/>
                <w:color w:val="auto"/>
                <w:sz w:val="24"/>
                <w:szCs w:val="24"/>
              </w:rPr>
              <w:t>主要参数：</w:t>
            </w:r>
          </w:p>
          <w:p w14:paraId="5E48F0D7">
            <w:pPr>
              <w:widowControl/>
              <w:numPr>
                <w:ilvl w:val="0"/>
                <w:numId w:val="10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警戒距离：同步工作</w:t>
            </w:r>
            <w:r>
              <w:rPr>
                <w:rFonts w:ascii="宋体" w:hAnsi="宋体" w:cs="宋体"/>
                <w:color w:val="auto"/>
                <w:kern w:val="0"/>
                <w:sz w:val="24"/>
                <w:szCs w:val="24"/>
                <w:lang w:bidi="ar"/>
              </w:rPr>
              <w:t>0-100米，异步工作10-80米；</w:t>
            </w:r>
          </w:p>
          <w:p w14:paraId="2D9A0706">
            <w:pPr>
              <w:widowControl/>
              <w:numPr>
                <w:ilvl w:val="0"/>
                <w:numId w:val="10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光束：</w:t>
            </w:r>
            <w:r>
              <w:rPr>
                <w:rFonts w:ascii="宋体" w:hAnsi="宋体" w:cs="宋体"/>
                <w:color w:val="auto"/>
                <w:kern w:val="0"/>
                <w:sz w:val="24"/>
                <w:szCs w:val="24"/>
                <w:lang w:bidi="ar"/>
              </w:rPr>
              <w:t>2/4/6/8/10/12光束；</w:t>
            </w:r>
          </w:p>
          <w:p w14:paraId="1BEE6D76">
            <w:pPr>
              <w:widowControl/>
              <w:numPr>
                <w:ilvl w:val="0"/>
                <w:numId w:val="10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消耗电流：</w:t>
            </w:r>
            <w:r>
              <w:rPr>
                <w:rFonts w:ascii="宋体" w:hAnsi="宋体" w:cs="宋体"/>
                <w:color w:val="auto"/>
                <w:kern w:val="0"/>
                <w:sz w:val="24"/>
                <w:szCs w:val="24"/>
                <w:lang w:bidi="ar"/>
              </w:rPr>
              <w:t>50-120mA；</w:t>
            </w:r>
          </w:p>
          <w:p w14:paraId="6436AA74">
            <w:pPr>
              <w:widowControl/>
              <w:numPr>
                <w:ilvl w:val="0"/>
                <w:numId w:val="10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电源电压：</w:t>
            </w:r>
            <w:r>
              <w:rPr>
                <w:rFonts w:ascii="宋体" w:hAnsi="宋体" w:cs="宋体"/>
                <w:color w:val="auto"/>
                <w:kern w:val="0"/>
                <w:sz w:val="24"/>
                <w:szCs w:val="24"/>
                <w:lang w:bidi="ar"/>
              </w:rPr>
              <w:t>DC12</w:t>
            </w:r>
            <w:r>
              <w:rPr>
                <w:rFonts w:hint="eastAsia" w:ascii="宋体" w:hAnsi="宋体" w:cs="宋体"/>
                <w:color w:val="auto"/>
                <w:kern w:val="0"/>
                <w:sz w:val="24"/>
                <w:szCs w:val="24"/>
                <w:lang w:bidi="ar"/>
              </w:rPr>
              <w:t>一</w:t>
            </w:r>
            <w:r>
              <w:rPr>
                <w:rFonts w:ascii="宋体" w:hAnsi="宋体" w:cs="宋体"/>
                <w:color w:val="auto"/>
                <w:kern w:val="0"/>
                <w:sz w:val="24"/>
                <w:szCs w:val="24"/>
                <w:lang w:bidi="ar"/>
              </w:rPr>
              <w:t>18V；</w:t>
            </w:r>
          </w:p>
          <w:p w14:paraId="046BCFD6">
            <w:pPr>
              <w:widowControl/>
              <w:numPr>
                <w:ilvl w:val="0"/>
                <w:numId w:val="10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环境温度：</w:t>
            </w:r>
            <w:r>
              <w:rPr>
                <w:rFonts w:ascii="宋体" w:hAnsi="宋体" w:cs="宋体"/>
                <w:color w:val="auto"/>
                <w:kern w:val="0"/>
                <w:sz w:val="24"/>
                <w:szCs w:val="24"/>
                <w:lang w:bidi="ar"/>
              </w:rPr>
              <w:t>-30℃</w:t>
            </w:r>
            <w:r>
              <w:rPr>
                <w:rFonts w:hint="eastAsia" w:ascii="宋体" w:hAnsi="宋体" w:cs="宋体"/>
                <w:color w:val="auto"/>
                <w:kern w:val="0"/>
                <w:sz w:val="24"/>
                <w:szCs w:val="24"/>
                <w:lang w:bidi="ar"/>
              </w:rPr>
              <w:t>一</w:t>
            </w:r>
            <w:r>
              <w:rPr>
                <w:rFonts w:ascii="宋体" w:hAnsi="宋体" w:cs="宋体"/>
                <w:color w:val="auto"/>
                <w:kern w:val="0"/>
                <w:sz w:val="24"/>
                <w:szCs w:val="24"/>
                <w:lang w:bidi="ar"/>
              </w:rPr>
              <w:t>+70℃；</w:t>
            </w:r>
          </w:p>
          <w:p w14:paraId="0D0119C9">
            <w:pPr>
              <w:widowControl/>
              <w:numPr>
                <w:ilvl w:val="0"/>
                <w:numId w:val="10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报警输出：常开常闭可选（出厂默认常闭）；接点容盘：</w:t>
            </w:r>
            <w:r>
              <w:rPr>
                <w:rFonts w:ascii="宋体" w:hAnsi="宋体" w:cs="宋体"/>
                <w:color w:val="auto"/>
                <w:kern w:val="0"/>
                <w:sz w:val="24"/>
                <w:szCs w:val="24"/>
                <w:lang w:bidi="ar"/>
              </w:rPr>
              <w:t>30V2A；</w:t>
            </w:r>
          </w:p>
          <w:p w14:paraId="43817152">
            <w:pPr>
              <w:widowControl/>
              <w:numPr>
                <w:ilvl w:val="0"/>
                <w:numId w:val="103"/>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反应速度：≤</w:t>
            </w:r>
            <w:r>
              <w:rPr>
                <w:rFonts w:ascii="宋体" w:hAnsi="宋体" w:cs="宋体"/>
                <w:color w:val="auto"/>
                <w:kern w:val="0"/>
                <w:sz w:val="24"/>
                <w:szCs w:val="24"/>
                <w:lang w:bidi="ar"/>
              </w:rPr>
              <w:t>40ms；</w:t>
            </w:r>
          </w:p>
          <w:p w14:paraId="206E3841">
            <w:pPr>
              <w:widowControl/>
              <w:numPr>
                <w:ilvl w:val="0"/>
                <w:numId w:val="103"/>
              </w:numPr>
              <w:ind w:firstLine="0"/>
              <w:jc w:val="left"/>
              <w:textAlignment w:val="center"/>
              <w:rPr>
                <w:rFonts w:ascii="宋体" w:hAnsi="宋体" w:cs="宋体"/>
                <w:color w:val="auto"/>
                <w:kern w:val="0"/>
                <w:sz w:val="24"/>
                <w:szCs w:val="24"/>
              </w:rPr>
            </w:pPr>
            <w:r>
              <w:rPr>
                <w:rFonts w:hint="eastAsia" w:ascii="宋体" w:hAnsi="宋体" w:cs="宋体"/>
                <w:color w:val="auto"/>
                <w:kern w:val="0"/>
                <w:sz w:val="24"/>
                <w:szCs w:val="24"/>
                <w:lang w:bidi="ar"/>
              </w:rPr>
              <w:t>报警持续时间：≥</w:t>
            </w:r>
            <w:r>
              <w:rPr>
                <w:rFonts w:ascii="宋体" w:hAnsi="宋体" w:cs="宋体"/>
                <w:color w:val="auto"/>
                <w:kern w:val="0"/>
                <w:sz w:val="24"/>
                <w:szCs w:val="24"/>
                <w:lang w:bidi="ar"/>
              </w:rPr>
              <w:t>1S；</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48DE4E">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EA9088">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243D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4A605C">
            <w:pPr>
              <w:widowControl/>
              <w:jc w:val="center"/>
              <w:textAlignment w:val="center"/>
              <w:rPr>
                <w:rFonts w:ascii="宋体" w:hAnsi="宋体" w:cs="宋体"/>
                <w:color w:val="auto"/>
                <w:kern w:val="0"/>
                <w:sz w:val="24"/>
                <w:szCs w:val="24"/>
              </w:rPr>
            </w:pPr>
            <w:r>
              <w:rPr>
                <w:rFonts w:ascii="宋体" w:hAnsi="宋体" w:cs="宋体"/>
                <w:color w:val="auto"/>
                <w:kern w:val="0"/>
                <w:sz w:val="24"/>
                <w:szCs w:val="24"/>
                <w:lang w:bidi="ar"/>
              </w:rPr>
              <w:t xml:space="preserve"> 5</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0EBB0F1">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备餐间消毒网关套装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CDBE7B">
            <w:pPr>
              <w:widowControl/>
              <w:numPr>
                <w:ilvl w:val="0"/>
                <w:numId w:val="104"/>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功能描述：</w:t>
            </w:r>
          </w:p>
          <w:p w14:paraId="04BDD098">
            <w:pPr>
              <w:widowControl/>
              <w:numPr>
                <w:ilvl w:val="0"/>
                <w:numId w:val="105"/>
              </w:numPr>
              <w:jc w:val="left"/>
              <w:rPr>
                <w:rFonts w:ascii="宋体" w:hAnsi="宋体" w:cs="宋体"/>
                <w:color w:val="auto"/>
                <w:kern w:val="0"/>
                <w:sz w:val="24"/>
                <w:szCs w:val="24"/>
                <w:lang w:bidi="ar"/>
              </w:rPr>
            </w:pPr>
            <w:r>
              <w:rPr>
                <w:rFonts w:hint="eastAsia" w:ascii="宋体" w:hAnsi="宋体" w:cs="宋体"/>
                <w:color w:val="auto"/>
                <w:kern w:val="0"/>
                <w:sz w:val="24"/>
                <w:szCs w:val="24"/>
                <w:lang w:bidi="ar"/>
              </w:rPr>
              <w:t>支持设定多个规则实现定时开启、关闭紫外线灯，进行消毒操作；</w:t>
            </w:r>
          </w:p>
          <w:p w14:paraId="74C8E0FB">
            <w:pPr>
              <w:widowControl/>
              <w:numPr>
                <w:ilvl w:val="0"/>
                <w:numId w:val="105"/>
              </w:numPr>
              <w:jc w:val="left"/>
              <w:rPr>
                <w:rFonts w:ascii="宋体" w:hAnsi="宋体" w:cs="宋体"/>
                <w:color w:val="auto"/>
                <w:kern w:val="0"/>
                <w:sz w:val="24"/>
                <w:szCs w:val="24"/>
                <w:lang w:bidi="ar"/>
              </w:rPr>
            </w:pPr>
            <w:r>
              <w:rPr>
                <w:rFonts w:hint="eastAsia" w:ascii="宋体" w:hAnsi="宋体" w:cs="宋体"/>
                <w:color w:val="auto"/>
                <w:kern w:val="0"/>
                <w:sz w:val="24"/>
                <w:szCs w:val="24"/>
                <w:lang w:bidi="ar"/>
              </w:rPr>
              <w:t>支持远程控制，开启关闭紫外线灯；</w:t>
            </w:r>
          </w:p>
          <w:p w14:paraId="59180082">
            <w:pPr>
              <w:widowControl/>
              <w:numPr>
                <w:ilvl w:val="0"/>
                <w:numId w:val="105"/>
              </w:numPr>
              <w:jc w:val="left"/>
              <w:rPr>
                <w:rFonts w:ascii="宋体" w:hAnsi="宋体" w:cs="宋体"/>
                <w:color w:val="auto"/>
                <w:kern w:val="0"/>
                <w:sz w:val="24"/>
                <w:szCs w:val="24"/>
                <w:lang w:bidi="ar"/>
              </w:rPr>
            </w:pPr>
            <w:r>
              <w:rPr>
                <w:rFonts w:hint="eastAsia" w:ascii="宋体" w:hAnsi="宋体" w:cs="宋体"/>
                <w:color w:val="auto"/>
                <w:kern w:val="0"/>
                <w:sz w:val="24"/>
                <w:szCs w:val="24"/>
                <w:lang w:bidi="ar"/>
              </w:rPr>
              <w:t>支持实现自动感应人员进入并关闭紫外线灯，避免人员伤害；</w:t>
            </w:r>
          </w:p>
          <w:p w14:paraId="3B04D798">
            <w:pPr>
              <w:widowControl/>
              <w:numPr>
                <w:ilvl w:val="0"/>
                <w:numId w:val="105"/>
              </w:numPr>
              <w:jc w:val="left"/>
              <w:rPr>
                <w:rFonts w:ascii="宋体" w:hAnsi="宋体" w:cs="宋体"/>
                <w:color w:val="auto"/>
                <w:kern w:val="0"/>
                <w:sz w:val="24"/>
                <w:szCs w:val="24"/>
                <w:lang w:bidi="ar"/>
              </w:rPr>
            </w:pPr>
            <w:r>
              <w:rPr>
                <w:rFonts w:hint="eastAsia" w:ascii="宋体" w:hAnsi="宋体" w:cs="宋体"/>
                <w:color w:val="auto"/>
                <w:kern w:val="0"/>
                <w:sz w:val="24"/>
                <w:szCs w:val="24"/>
                <w:lang w:bidi="ar"/>
              </w:rPr>
              <w:t>自动生成消毒台账在手机</w:t>
            </w:r>
            <w:r>
              <w:rPr>
                <w:rFonts w:ascii="宋体" w:hAnsi="宋体" w:cs="宋体"/>
                <w:color w:val="auto"/>
                <w:kern w:val="0"/>
                <w:sz w:val="24"/>
                <w:szCs w:val="24"/>
                <w:lang w:bidi="ar"/>
              </w:rPr>
              <w:t>APP端、电脑后台端可导出记录生成表格打印纸质</w:t>
            </w:r>
            <w:r>
              <w:rPr>
                <w:rFonts w:hint="eastAsia" w:ascii="宋体" w:hAnsi="宋体" w:cs="宋体"/>
                <w:color w:val="auto"/>
                <w:kern w:val="0"/>
                <w:sz w:val="24"/>
                <w:szCs w:val="24"/>
                <w:lang w:bidi="ar"/>
              </w:rPr>
              <w:t>消毒台账并最少保存</w:t>
            </w:r>
            <w:r>
              <w:rPr>
                <w:rFonts w:ascii="宋体" w:hAnsi="宋体" w:cs="宋体"/>
                <w:color w:val="auto"/>
                <w:kern w:val="0"/>
                <w:sz w:val="24"/>
                <w:szCs w:val="24"/>
                <w:lang w:bidi="ar"/>
              </w:rPr>
              <w:t>2年数据；</w:t>
            </w:r>
          </w:p>
          <w:p w14:paraId="76969D04">
            <w:pPr>
              <w:widowControl/>
              <w:numPr>
                <w:ilvl w:val="0"/>
                <w:numId w:val="104"/>
              </w:numPr>
              <w:ind w:left="0"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物联中控屏设备参数：</w:t>
            </w:r>
          </w:p>
          <w:p w14:paraId="7CFD50FE">
            <w:pPr>
              <w:pStyle w:val="22"/>
              <w:numPr>
                <w:ilvl w:val="0"/>
                <w:numId w:val="106"/>
              </w:numPr>
              <w:ind w:left="0" w:firstLine="0"/>
              <w:rPr>
                <w:color w:val="auto"/>
              </w:rPr>
            </w:pPr>
            <w:r>
              <w:rPr>
                <w:rFonts w:hint="eastAsia" w:ascii="宋体" w:hAnsi="宋体" w:eastAsia="宋体" w:cs="宋体"/>
                <w:color w:val="auto"/>
                <w:sz w:val="24"/>
                <w:szCs w:val="24"/>
              </w:rPr>
              <w:t>主要参数：</w:t>
            </w:r>
          </w:p>
          <w:p w14:paraId="22B54074">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外壳：前置钢化玻璃</w:t>
            </w:r>
            <w:r>
              <w:rPr>
                <w:rFonts w:ascii="宋体" w:hAnsi="宋体" w:cs="宋体"/>
                <w:color w:val="auto"/>
                <w:kern w:val="0"/>
                <w:sz w:val="24"/>
                <w:szCs w:val="24"/>
                <w:lang w:bidi="ar"/>
              </w:rPr>
              <w:t>+塑胶外壳；</w:t>
            </w:r>
          </w:p>
          <w:p w14:paraId="2D829F98">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保护面板：钢化玻璃；</w:t>
            </w:r>
          </w:p>
          <w:p w14:paraId="0A016D54">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尺寸：不低于</w:t>
            </w:r>
            <w:r>
              <w:rPr>
                <w:rFonts w:ascii="宋体" w:hAnsi="宋体" w:cs="宋体"/>
                <w:color w:val="auto"/>
                <w:kern w:val="0"/>
                <w:sz w:val="24"/>
                <w:szCs w:val="24"/>
                <w:lang w:bidi="ar"/>
              </w:rPr>
              <w:t>10.1寸；</w:t>
            </w:r>
          </w:p>
          <w:p w14:paraId="4D8865BD">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屏幕比例：</w:t>
            </w:r>
            <w:r>
              <w:rPr>
                <w:rFonts w:ascii="宋体" w:hAnsi="宋体" w:cs="宋体"/>
                <w:color w:val="auto"/>
                <w:kern w:val="0"/>
                <w:sz w:val="24"/>
                <w:szCs w:val="24"/>
                <w:lang w:bidi="ar"/>
              </w:rPr>
              <w:t>16:9；</w:t>
            </w:r>
          </w:p>
          <w:p w14:paraId="480DCDDB">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摄像头像素：</w:t>
            </w:r>
            <w:r>
              <w:rPr>
                <w:rFonts w:ascii="宋体" w:hAnsi="宋体" w:cs="宋体"/>
                <w:color w:val="auto"/>
                <w:kern w:val="0"/>
                <w:sz w:val="24"/>
                <w:szCs w:val="24"/>
                <w:lang w:bidi="ar"/>
              </w:rPr>
              <w:t>100W；</w:t>
            </w:r>
          </w:p>
          <w:p w14:paraId="556E22DA">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像素间距：</w:t>
            </w:r>
            <w:r>
              <w:rPr>
                <w:rFonts w:ascii="宋体" w:hAnsi="宋体" w:cs="宋体"/>
                <w:color w:val="auto"/>
                <w:kern w:val="0"/>
                <w:sz w:val="24"/>
                <w:szCs w:val="24"/>
                <w:lang w:bidi="ar"/>
              </w:rPr>
              <w:t>0.17925×0.17925mm；</w:t>
            </w:r>
          </w:p>
          <w:p w14:paraId="5FB80502">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亮度：</w:t>
            </w:r>
            <w:r>
              <w:rPr>
                <w:rFonts w:ascii="宋体" w:hAnsi="宋体" w:cs="宋体"/>
                <w:color w:val="auto"/>
                <w:kern w:val="0"/>
                <w:sz w:val="24"/>
                <w:szCs w:val="24"/>
                <w:lang w:bidi="ar"/>
              </w:rPr>
              <w:t>350cd/m²可视角度85/85/85/85（左/右/上/下）；</w:t>
            </w:r>
          </w:p>
          <w:p w14:paraId="332D73AF">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对比度：</w:t>
            </w:r>
            <w:r>
              <w:rPr>
                <w:rFonts w:ascii="宋体" w:hAnsi="宋体" w:cs="宋体"/>
                <w:color w:val="auto"/>
                <w:kern w:val="0"/>
                <w:sz w:val="24"/>
                <w:szCs w:val="24"/>
                <w:lang w:bidi="ar"/>
              </w:rPr>
              <w:t>1000:1；</w:t>
            </w:r>
          </w:p>
          <w:p w14:paraId="7AE4F187">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颜色数：</w:t>
            </w:r>
            <w:r>
              <w:rPr>
                <w:rFonts w:ascii="宋体" w:hAnsi="宋体" w:cs="宋体"/>
                <w:color w:val="auto"/>
                <w:kern w:val="0"/>
                <w:sz w:val="24"/>
                <w:szCs w:val="24"/>
                <w:lang w:bidi="ar"/>
              </w:rPr>
              <w:t>16.7M；</w:t>
            </w:r>
          </w:p>
          <w:p w14:paraId="7E9C5793">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灯管寿命：超过</w:t>
            </w:r>
            <w:r>
              <w:rPr>
                <w:rFonts w:ascii="宋体" w:hAnsi="宋体" w:cs="宋体"/>
                <w:color w:val="auto"/>
                <w:kern w:val="0"/>
                <w:sz w:val="24"/>
                <w:szCs w:val="24"/>
                <w:lang w:bidi="ar"/>
              </w:rPr>
              <w:t>50000小时；</w:t>
            </w:r>
          </w:p>
          <w:p w14:paraId="4B0B35B7">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操作系统：</w:t>
            </w:r>
            <w:r>
              <w:rPr>
                <w:rFonts w:ascii="宋体" w:hAnsi="宋体" w:cs="宋体"/>
                <w:color w:val="auto"/>
                <w:kern w:val="0"/>
                <w:sz w:val="24"/>
                <w:szCs w:val="24"/>
                <w:lang w:bidi="ar"/>
              </w:rPr>
              <w:t>Android7.1.2；</w:t>
            </w:r>
          </w:p>
          <w:p w14:paraId="3695121B">
            <w:pPr>
              <w:widowControl/>
              <w:numPr>
                <w:ilvl w:val="0"/>
                <w:numId w:val="107"/>
              </w:numPr>
              <w:ind w:firstLine="0"/>
              <w:jc w:val="left"/>
              <w:rPr>
                <w:rFonts w:ascii="宋体" w:hAnsi="宋体" w:cs="宋体"/>
                <w:color w:val="auto"/>
                <w:kern w:val="0"/>
                <w:sz w:val="24"/>
                <w:szCs w:val="24"/>
                <w:lang w:bidi="ar"/>
              </w:rPr>
            </w:pPr>
            <w:r>
              <w:rPr>
                <w:rFonts w:ascii="宋体" w:hAnsi="宋体" w:cs="宋体"/>
                <w:color w:val="auto"/>
                <w:kern w:val="0"/>
                <w:sz w:val="24"/>
                <w:szCs w:val="24"/>
                <w:lang w:bidi="ar"/>
              </w:rPr>
              <w:t>CPU：RK3288，四核；</w:t>
            </w:r>
          </w:p>
          <w:p w14:paraId="21F1019F">
            <w:pPr>
              <w:widowControl/>
              <w:numPr>
                <w:ilvl w:val="0"/>
                <w:numId w:val="107"/>
              </w:numPr>
              <w:ind w:firstLine="0"/>
              <w:jc w:val="left"/>
              <w:rPr>
                <w:rFonts w:ascii="宋体" w:hAnsi="宋体" w:cs="宋体"/>
                <w:color w:val="auto"/>
                <w:kern w:val="0"/>
                <w:sz w:val="24"/>
                <w:szCs w:val="24"/>
                <w:lang w:bidi="ar"/>
              </w:rPr>
            </w:pPr>
            <w:r>
              <w:rPr>
                <w:rFonts w:ascii="宋体" w:hAnsi="宋体" w:cs="宋体"/>
                <w:color w:val="auto"/>
                <w:kern w:val="0"/>
                <w:sz w:val="24"/>
                <w:szCs w:val="24"/>
                <w:lang w:bidi="ar"/>
              </w:rPr>
              <w:t>CPU主频：1.8GHz；</w:t>
            </w:r>
          </w:p>
          <w:p w14:paraId="38C42082">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内存：</w:t>
            </w:r>
            <w:r>
              <w:rPr>
                <w:rFonts w:ascii="宋体" w:hAnsi="宋体" w:cs="宋体"/>
                <w:color w:val="auto"/>
                <w:kern w:val="0"/>
                <w:sz w:val="24"/>
                <w:szCs w:val="24"/>
                <w:lang w:bidi="ar"/>
              </w:rPr>
              <w:t>DDR32G；</w:t>
            </w:r>
          </w:p>
          <w:p w14:paraId="315CFEE9">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内置存储容量：</w:t>
            </w:r>
            <w:r>
              <w:rPr>
                <w:rFonts w:ascii="宋体" w:hAnsi="宋体" w:cs="宋体"/>
                <w:color w:val="auto"/>
                <w:kern w:val="0"/>
                <w:sz w:val="24"/>
                <w:szCs w:val="24"/>
                <w:lang w:bidi="ar"/>
              </w:rPr>
              <w:t>EMMC8G；</w:t>
            </w:r>
          </w:p>
          <w:p w14:paraId="745BC003">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喇叭：</w:t>
            </w:r>
            <w:r>
              <w:rPr>
                <w:rFonts w:ascii="宋体" w:hAnsi="宋体" w:cs="宋体"/>
                <w:color w:val="auto"/>
                <w:kern w:val="0"/>
                <w:sz w:val="24"/>
                <w:szCs w:val="24"/>
                <w:lang w:bidi="ar"/>
              </w:rPr>
              <w:t>8Ω2W；</w:t>
            </w:r>
          </w:p>
          <w:p w14:paraId="5D9CA3BF">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网络：支持</w:t>
            </w:r>
            <w:r>
              <w:rPr>
                <w:rFonts w:ascii="宋体" w:hAnsi="宋体" w:cs="宋体"/>
                <w:color w:val="auto"/>
                <w:kern w:val="0"/>
                <w:sz w:val="24"/>
                <w:szCs w:val="24"/>
                <w:lang w:bidi="ar"/>
              </w:rPr>
              <w:t>WiFi、BT；</w:t>
            </w:r>
          </w:p>
          <w:p w14:paraId="659025E5">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接口：</w:t>
            </w:r>
            <w:r>
              <w:rPr>
                <w:rFonts w:ascii="宋体" w:hAnsi="宋体" w:cs="宋体"/>
                <w:color w:val="auto"/>
                <w:kern w:val="0"/>
                <w:sz w:val="24"/>
                <w:szCs w:val="24"/>
                <w:lang w:bidi="ar"/>
              </w:rPr>
              <w:t>I/O:2*USB，可扩展2*USB；</w:t>
            </w:r>
          </w:p>
          <w:p w14:paraId="37E3BA94">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工作环境温度：</w:t>
            </w:r>
            <w:r>
              <w:rPr>
                <w:rFonts w:ascii="宋体" w:hAnsi="宋体" w:cs="宋体"/>
                <w:color w:val="auto"/>
                <w:kern w:val="0"/>
                <w:sz w:val="24"/>
                <w:szCs w:val="24"/>
                <w:lang w:bidi="ar"/>
              </w:rPr>
              <w:t>0～50摄氏度；</w:t>
            </w:r>
          </w:p>
          <w:p w14:paraId="447A3FE3">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触摸精度：±</w:t>
            </w:r>
            <w:r>
              <w:rPr>
                <w:rFonts w:ascii="宋体" w:hAnsi="宋体" w:cs="宋体"/>
                <w:color w:val="auto"/>
                <w:kern w:val="0"/>
                <w:sz w:val="24"/>
                <w:szCs w:val="24"/>
                <w:lang w:bidi="ar"/>
              </w:rPr>
              <w:t>2mm；</w:t>
            </w:r>
          </w:p>
          <w:p w14:paraId="6F078E0C">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响应时间：</w:t>
            </w:r>
            <w:r>
              <w:rPr>
                <w:rFonts w:ascii="宋体" w:hAnsi="宋体" w:cs="宋体"/>
                <w:color w:val="auto"/>
                <w:kern w:val="0"/>
                <w:sz w:val="24"/>
                <w:szCs w:val="24"/>
                <w:lang w:bidi="ar"/>
              </w:rPr>
              <w:t>25ms~30ms；</w:t>
            </w:r>
          </w:p>
          <w:p w14:paraId="57DE03E1">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可识别物体：手指或者专用触摸笔；</w:t>
            </w:r>
          </w:p>
          <w:p w14:paraId="7622D82A">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透明度：≥</w:t>
            </w:r>
            <w:r>
              <w:rPr>
                <w:rFonts w:ascii="宋体" w:hAnsi="宋体" w:cs="宋体"/>
                <w:color w:val="auto"/>
                <w:kern w:val="0"/>
                <w:sz w:val="24"/>
                <w:szCs w:val="24"/>
                <w:lang w:bidi="ar"/>
              </w:rPr>
              <w:t>85％±2％；</w:t>
            </w:r>
          </w:p>
          <w:p w14:paraId="4C6F273E">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温度范围：工作温度：</w:t>
            </w:r>
            <w:r>
              <w:rPr>
                <w:rFonts w:ascii="宋体" w:hAnsi="宋体" w:cs="宋体"/>
                <w:color w:val="auto"/>
                <w:kern w:val="0"/>
                <w:sz w:val="24"/>
                <w:szCs w:val="24"/>
                <w:lang w:bidi="ar"/>
              </w:rPr>
              <w:t>-10℃~60℃；</w:t>
            </w:r>
          </w:p>
          <w:p w14:paraId="27B3F31C">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供电方式：外置</w:t>
            </w:r>
            <w:r>
              <w:rPr>
                <w:rFonts w:ascii="宋体" w:hAnsi="宋体" w:cs="宋体"/>
                <w:color w:val="auto"/>
                <w:kern w:val="0"/>
                <w:sz w:val="24"/>
                <w:szCs w:val="24"/>
                <w:lang w:bidi="ar"/>
              </w:rPr>
              <w:t>12V/2A适配器；</w:t>
            </w:r>
          </w:p>
          <w:p w14:paraId="6CFCCE4F">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整机功率：</w:t>
            </w:r>
            <w:r>
              <w:rPr>
                <w:rFonts w:ascii="宋体" w:hAnsi="宋体" w:cs="宋体"/>
                <w:color w:val="auto"/>
                <w:kern w:val="0"/>
                <w:sz w:val="24"/>
                <w:szCs w:val="24"/>
                <w:lang w:bidi="ar"/>
              </w:rPr>
              <w:t>15W；</w:t>
            </w:r>
          </w:p>
          <w:p w14:paraId="588EF2AC">
            <w:pPr>
              <w:widowControl/>
              <w:numPr>
                <w:ilvl w:val="0"/>
                <w:numId w:val="10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安装方式：壁挂式；</w:t>
            </w:r>
          </w:p>
          <w:p w14:paraId="69609D65">
            <w:pPr>
              <w:widowControl/>
              <w:numPr>
                <w:ilvl w:val="0"/>
                <w:numId w:val="104"/>
              </w:numPr>
              <w:ind w:left="0" w:firstLine="0"/>
              <w:jc w:val="left"/>
              <w:rPr>
                <w:rFonts w:ascii="宋体" w:hAnsi="宋体" w:cs="宋体"/>
                <w:color w:val="auto"/>
                <w:kern w:val="0"/>
                <w:sz w:val="24"/>
                <w:szCs w:val="24"/>
                <w:lang w:bidi="ar"/>
              </w:rPr>
            </w:pPr>
            <w:r>
              <w:rPr>
                <w:rFonts w:ascii="宋体" w:hAnsi="宋体" w:cs="宋体"/>
                <w:color w:val="auto"/>
                <w:kern w:val="0"/>
                <w:sz w:val="24"/>
                <w:szCs w:val="24"/>
                <w:lang w:bidi="ar"/>
              </w:rPr>
              <w:t>IO通讯模块设备参数：</w:t>
            </w:r>
          </w:p>
          <w:p w14:paraId="4AEE39B6">
            <w:pPr>
              <w:pStyle w:val="22"/>
              <w:numPr>
                <w:ilvl w:val="0"/>
                <w:numId w:val="108"/>
              </w:numPr>
              <w:ind w:left="0" w:firstLine="0"/>
              <w:rPr>
                <w:color w:val="auto"/>
              </w:rPr>
            </w:pPr>
            <w:r>
              <w:rPr>
                <w:rFonts w:hint="eastAsia" w:ascii="宋体" w:hAnsi="宋体" w:eastAsia="宋体" w:cs="宋体"/>
                <w:color w:val="auto"/>
                <w:sz w:val="24"/>
                <w:szCs w:val="24"/>
              </w:rPr>
              <w:t>主要参数：</w:t>
            </w:r>
          </w:p>
          <w:p w14:paraId="10F3604A">
            <w:pPr>
              <w:widowControl/>
              <w:numPr>
                <w:ilvl w:val="0"/>
                <w:numId w:val="109"/>
              </w:numPr>
              <w:ind w:firstLine="0"/>
              <w:jc w:val="left"/>
              <w:rPr>
                <w:rFonts w:ascii="宋体" w:hAnsi="宋体" w:cs="宋体"/>
                <w:color w:val="auto"/>
                <w:kern w:val="0"/>
                <w:sz w:val="24"/>
                <w:szCs w:val="24"/>
              </w:rPr>
            </w:pPr>
            <w:r>
              <w:rPr>
                <w:rFonts w:ascii="宋体" w:hAnsi="宋体" w:cs="宋体"/>
                <w:color w:val="auto"/>
                <w:kern w:val="0"/>
                <w:sz w:val="24"/>
                <w:szCs w:val="24"/>
              </w:rPr>
              <w:t>2路继电器控制输出，触点容250VAC10A/DC30V10A；</w:t>
            </w:r>
          </w:p>
          <w:p w14:paraId="6F4AF567">
            <w:pPr>
              <w:widowControl/>
              <w:numPr>
                <w:ilvl w:val="0"/>
                <w:numId w:val="109"/>
              </w:numPr>
              <w:ind w:firstLine="0"/>
              <w:jc w:val="left"/>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路数字量输入，隔离输入，抗浪涌等级</w:t>
            </w:r>
            <w:r>
              <w:rPr>
                <w:rFonts w:ascii="宋体" w:hAnsi="宋体" w:cs="宋体"/>
                <w:color w:val="auto"/>
                <w:kern w:val="0"/>
                <w:sz w:val="24"/>
                <w:szCs w:val="24"/>
              </w:rPr>
              <w:t>1500V，有源</w:t>
            </w:r>
            <w:r>
              <w:rPr>
                <w:rFonts w:hint="eastAsia" w:ascii="宋体" w:hAnsi="宋体" w:cs="宋体"/>
                <w:color w:val="auto"/>
                <w:kern w:val="0"/>
                <w:sz w:val="24"/>
                <w:szCs w:val="24"/>
              </w:rPr>
              <w:t>无源均支持；</w:t>
            </w:r>
          </w:p>
          <w:p w14:paraId="3A9A8BC3">
            <w:pPr>
              <w:widowControl/>
              <w:numPr>
                <w:ilvl w:val="0"/>
                <w:numId w:val="109"/>
              </w:numPr>
              <w:ind w:firstLine="0"/>
              <w:jc w:val="left"/>
              <w:rPr>
                <w:rFonts w:ascii="宋体" w:hAnsi="宋体" w:cs="宋体"/>
                <w:color w:val="auto"/>
                <w:kern w:val="0"/>
                <w:sz w:val="24"/>
                <w:szCs w:val="24"/>
              </w:rPr>
            </w:pPr>
            <w:r>
              <w:rPr>
                <w:rFonts w:hint="eastAsia" w:ascii="宋体" w:hAnsi="宋体" w:cs="宋体"/>
                <w:color w:val="auto"/>
                <w:kern w:val="0"/>
                <w:sz w:val="24"/>
                <w:szCs w:val="24"/>
              </w:rPr>
              <w:t>以太网通讯接口，</w:t>
            </w:r>
            <w:r>
              <w:rPr>
                <w:rFonts w:ascii="宋体" w:hAnsi="宋体" w:cs="宋体"/>
                <w:color w:val="auto"/>
                <w:kern w:val="0"/>
                <w:sz w:val="24"/>
                <w:szCs w:val="24"/>
              </w:rPr>
              <w:t>10/100M自适应；</w:t>
            </w:r>
          </w:p>
          <w:p w14:paraId="1CB1F305">
            <w:pPr>
              <w:widowControl/>
              <w:numPr>
                <w:ilvl w:val="0"/>
                <w:numId w:val="109"/>
              </w:numPr>
              <w:ind w:firstLine="0"/>
              <w:jc w:val="left"/>
              <w:rPr>
                <w:rFonts w:ascii="宋体" w:hAnsi="宋体" w:cs="宋体"/>
                <w:color w:val="auto"/>
                <w:kern w:val="0"/>
                <w:sz w:val="24"/>
                <w:szCs w:val="24"/>
              </w:rPr>
            </w:pPr>
            <w:r>
              <w:rPr>
                <w:rFonts w:hint="eastAsia" w:ascii="宋体" w:hAnsi="宋体" w:cs="宋体"/>
                <w:color w:val="auto"/>
                <w:kern w:val="0"/>
                <w:sz w:val="24"/>
                <w:szCs w:val="24"/>
              </w:rPr>
              <w:t>支持</w:t>
            </w:r>
            <w:r>
              <w:rPr>
                <w:rFonts w:ascii="宋体" w:hAnsi="宋体" w:cs="宋体"/>
                <w:color w:val="auto"/>
                <w:kern w:val="0"/>
                <w:sz w:val="24"/>
                <w:szCs w:val="24"/>
              </w:rPr>
              <w:t>MQTT通讯，参数可配置；</w:t>
            </w:r>
          </w:p>
          <w:p w14:paraId="52DDA826">
            <w:pPr>
              <w:widowControl/>
              <w:numPr>
                <w:ilvl w:val="0"/>
                <w:numId w:val="109"/>
              </w:numPr>
              <w:ind w:firstLine="0"/>
              <w:jc w:val="left"/>
              <w:rPr>
                <w:rFonts w:ascii="宋体" w:hAnsi="宋体" w:cs="宋体"/>
                <w:color w:val="auto"/>
                <w:kern w:val="0"/>
                <w:sz w:val="24"/>
                <w:szCs w:val="24"/>
              </w:rPr>
            </w:pPr>
            <w:r>
              <w:rPr>
                <w:rFonts w:hint="eastAsia" w:ascii="宋体" w:hAnsi="宋体" w:cs="宋体"/>
                <w:color w:val="auto"/>
                <w:kern w:val="0"/>
                <w:sz w:val="24"/>
                <w:szCs w:val="24"/>
              </w:rPr>
              <w:t>通信波特率，</w:t>
            </w:r>
            <w:r>
              <w:rPr>
                <w:rFonts w:ascii="宋体" w:hAnsi="宋体" w:cs="宋体"/>
                <w:color w:val="auto"/>
                <w:kern w:val="0"/>
                <w:sz w:val="24"/>
                <w:szCs w:val="24"/>
              </w:rPr>
              <w:t>bps：1200～115200bps；</w:t>
            </w:r>
          </w:p>
          <w:p w14:paraId="112C5B4D">
            <w:pPr>
              <w:widowControl/>
              <w:numPr>
                <w:ilvl w:val="0"/>
                <w:numId w:val="109"/>
              </w:numPr>
              <w:ind w:firstLine="0"/>
              <w:jc w:val="left"/>
              <w:rPr>
                <w:rFonts w:ascii="宋体" w:hAnsi="宋体" w:cs="宋体"/>
                <w:color w:val="auto"/>
                <w:kern w:val="0"/>
                <w:sz w:val="24"/>
                <w:szCs w:val="24"/>
              </w:rPr>
            </w:pPr>
            <w:r>
              <w:rPr>
                <w:rFonts w:hint="eastAsia" w:ascii="宋体" w:hAnsi="宋体" w:cs="宋体"/>
                <w:color w:val="auto"/>
                <w:kern w:val="0"/>
                <w:sz w:val="24"/>
                <w:szCs w:val="24"/>
              </w:rPr>
              <w:t>通信协议</w:t>
            </w:r>
            <w:r>
              <w:rPr>
                <w:rFonts w:ascii="宋体" w:hAnsi="宋体" w:cs="宋体"/>
                <w:color w:val="auto"/>
                <w:kern w:val="0"/>
                <w:sz w:val="24"/>
                <w:szCs w:val="24"/>
              </w:rPr>
              <w:t>ModbusTCP；</w:t>
            </w:r>
          </w:p>
          <w:p w14:paraId="5256B733">
            <w:pPr>
              <w:widowControl/>
              <w:numPr>
                <w:ilvl w:val="0"/>
                <w:numId w:val="109"/>
              </w:numPr>
              <w:ind w:firstLine="0"/>
              <w:jc w:val="left"/>
              <w:rPr>
                <w:rFonts w:ascii="宋体" w:hAnsi="宋体" w:cs="宋体"/>
                <w:color w:val="auto"/>
                <w:kern w:val="0"/>
                <w:sz w:val="24"/>
                <w:szCs w:val="24"/>
              </w:rPr>
            </w:pPr>
            <w:r>
              <w:rPr>
                <w:rFonts w:hint="eastAsia" w:ascii="宋体" w:hAnsi="宋体" w:cs="宋体"/>
                <w:color w:val="auto"/>
                <w:kern w:val="0"/>
                <w:sz w:val="24"/>
                <w:szCs w:val="24"/>
              </w:rPr>
              <w:t>工作电压范围</w:t>
            </w:r>
            <w:r>
              <w:rPr>
                <w:rFonts w:ascii="宋体" w:hAnsi="宋体" w:cs="宋体"/>
                <w:color w:val="auto"/>
                <w:kern w:val="0"/>
                <w:sz w:val="24"/>
                <w:szCs w:val="24"/>
              </w:rPr>
              <w:t>DC7-40V宽压；静态工作电流≤100ma；</w:t>
            </w:r>
          </w:p>
          <w:p w14:paraId="6FA57C92">
            <w:pPr>
              <w:widowControl/>
              <w:numPr>
                <w:ilvl w:val="0"/>
                <w:numId w:val="104"/>
              </w:numPr>
              <w:ind w:left="0" w:firstLine="0"/>
              <w:jc w:val="left"/>
              <w:rPr>
                <w:rFonts w:ascii="宋体" w:hAnsi="宋体" w:cs="宋体"/>
                <w:color w:val="auto"/>
                <w:sz w:val="24"/>
                <w:szCs w:val="24"/>
              </w:rPr>
            </w:pPr>
            <w:r>
              <w:rPr>
                <w:rFonts w:hint="eastAsia" w:ascii="宋体" w:hAnsi="宋体" w:cs="宋体"/>
                <w:color w:val="auto"/>
                <w:sz w:val="24"/>
                <w:szCs w:val="24"/>
              </w:rPr>
              <w:t>中间继电器（</w:t>
            </w:r>
            <w:r>
              <w:rPr>
                <w:rFonts w:ascii="宋体" w:hAnsi="宋体" w:cs="宋体"/>
                <w:color w:val="auto"/>
                <w:sz w:val="24"/>
                <w:szCs w:val="24"/>
              </w:rPr>
              <w:t>220V）设备参数：</w:t>
            </w:r>
          </w:p>
          <w:p w14:paraId="11B9E277">
            <w:pPr>
              <w:pStyle w:val="22"/>
              <w:numPr>
                <w:ilvl w:val="0"/>
                <w:numId w:val="110"/>
              </w:numPr>
              <w:ind w:left="0" w:firstLine="0"/>
              <w:rPr>
                <w:color w:val="auto"/>
              </w:rPr>
            </w:pPr>
            <w:r>
              <w:rPr>
                <w:rFonts w:hint="eastAsia" w:ascii="宋体" w:hAnsi="宋体" w:eastAsia="宋体" w:cs="宋体"/>
                <w:color w:val="auto"/>
                <w:sz w:val="24"/>
                <w:szCs w:val="24"/>
              </w:rPr>
              <w:t>主要参数：</w:t>
            </w:r>
          </w:p>
          <w:p w14:paraId="0327984F">
            <w:pPr>
              <w:numPr>
                <w:ilvl w:val="0"/>
                <w:numId w:val="111"/>
              </w:numPr>
              <w:ind w:firstLine="0"/>
              <w:jc w:val="left"/>
              <w:rPr>
                <w:rFonts w:ascii="宋体" w:hAnsi="宋体" w:cs="宋体"/>
                <w:color w:val="auto"/>
                <w:sz w:val="24"/>
                <w:szCs w:val="24"/>
              </w:rPr>
            </w:pPr>
            <w:r>
              <w:rPr>
                <w:rFonts w:hint="eastAsia" w:ascii="宋体" w:hAnsi="宋体" w:cs="宋体"/>
                <w:color w:val="auto"/>
                <w:sz w:val="24"/>
                <w:szCs w:val="24"/>
              </w:rPr>
              <w:t>额定电流：</w:t>
            </w:r>
            <w:r>
              <w:rPr>
                <w:rFonts w:ascii="宋体" w:hAnsi="宋体" w:cs="宋体"/>
                <w:color w:val="auto"/>
                <w:sz w:val="24"/>
                <w:szCs w:val="24"/>
              </w:rPr>
              <w:t>5A/10A；</w:t>
            </w:r>
          </w:p>
          <w:p w14:paraId="3C3EEE88">
            <w:pPr>
              <w:numPr>
                <w:ilvl w:val="0"/>
                <w:numId w:val="111"/>
              </w:numPr>
              <w:ind w:firstLine="0"/>
              <w:jc w:val="left"/>
              <w:rPr>
                <w:rFonts w:ascii="宋体" w:hAnsi="宋体" w:cs="宋体"/>
                <w:color w:val="auto"/>
                <w:sz w:val="24"/>
                <w:szCs w:val="24"/>
              </w:rPr>
            </w:pPr>
            <w:r>
              <w:rPr>
                <w:rFonts w:hint="eastAsia" w:ascii="宋体" w:hAnsi="宋体" w:cs="宋体"/>
                <w:color w:val="auto"/>
                <w:sz w:val="24"/>
                <w:szCs w:val="24"/>
              </w:rPr>
              <w:t>额定频率：</w:t>
            </w:r>
            <w:r>
              <w:rPr>
                <w:rFonts w:ascii="宋体" w:hAnsi="宋体" w:cs="宋体"/>
                <w:color w:val="auto"/>
                <w:sz w:val="24"/>
                <w:szCs w:val="24"/>
              </w:rPr>
              <w:t>50Hz/60Hz；</w:t>
            </w:r>
          </w:p>
          <w:p w14:paraId="0E7AD17F">
            <w:pPr>
              <w:numPr>
                <w:ilvl w:val="0"/>
                <w:numId w:val="111"/>
              </w:numPr>
              <w:ind w:firstLine="0"/>
              <w:jc w:val="left"/>
              <w:rPr>
                <w:rFonts w:ascii="宋体" w:hAnsi="宋体" w:cs="宋体"/>
                <w:color w:val="auto"/>
                <w:sz w:val="24"/>
                <w:szCs w:val="24"/>
              </w:rPr>
            </w:pPr>
            <w:r>
              <w:rPr>
                <w:rFonts w:hint="eastAsia" w:ascii="宋体" w:hAnsi="宋体" w:cs="宋体"/>
                <w:color w:val="auto"/>
                <w:sz w:val="24"/>
                <w:szCs w:val="24"/>
              </w:rPr>
              <w:t>引脚：细脚、宽脚；</w:t>
            </w:r>
          </w:p>
          <w:p w14:paraId="559D7B2C">
            <w:pPr>
              <w:numPr>
                <w:ilvl w:val="0"/>
                <w:numId w:val="111"/>
              </w:numPr>
              <w:ind w:firstLine="0"/>
              <w:jc w:val="left"/>
              <w:rPr>
                <w:rFonts w:ascii="宋体" w:hAnsi="宋体" w:cs="宋体"/>
                <w:color w:val="auto"/>
                <w:sz w:val="24"/>
                <w:szCs w:val="24"/>
              </w:rPr>
            </w:pPr>
            <w:r>
              <w:rPr>
                <w:rFonts w:hint="eastAsia" w:ascii="宋体" w:hAnsi="宋体" w:cs="宋体"/>
                <w:color w:val="auto"/>
                <w:sz w:val="24"/>
                <w:szCs w:val="24"/>
              </w:rPr>
              <w:t>触点形式：二开二闭；</w:t>
            </w:r>
          </w:p>
          <w:p w14:paraId="7C3F7182">
            <w:pPr>
              <w:widowControl/>
              <w:numPr>
                <w:ilvl w:val="0"/>
                <w:numId w:val="111"/>
              </w:numPr>
              <w:ind w:firstLine="0"/>
              <w:jc w:val="left"/>
              <w:rPr>
                <w:rFonts w:ascii="宋体" w:hAnsi="宋体" w:cs="宋体"/>
                <w:color w:val="auto"/>
                <w:sz w:val="24"/>
                <w:szCs w:val="24"/>
              </w:rPr>
            </w:pPr>
            <w:r>
              <w:rPr>
                <w:rFonts w:hint="eastAsia" w:ascii="宋体" w:hAnsi="宋体" w:cs="宋体"/>
                <w:color w:val="auto"/>
                <w:sz w:val="24"/>
                <w:szCs w:val="24"/>
              </w:rPr>
              <w:t>电压规格：交流</w:t>
            </w:r>
            <w:r>
              <w:rPr>
                <w:rFonts w:ascii="宋体" w:hAnsi="宋体" w:cs="宋体"/>
                <w:color w:val="auto"/>
                <w:sz w:val="24"/>
                <w:szCs w:val="24"/>
              </w:rPr>
              <w:t>AC:12、24、36、48、110、220；</w:t>
            </w:r>
          </w:p>
          <w:p w14:paraId="50E30EC5">
            <w:pPr>
              <w:widowControl/>
              <w:numPr>
                <w:ilvl w:val="0"/>
                <w:numId w:val="104"/>
              </w:numPr>
              <w:ind w:left="0" w:firstLine="0"/>
              <w:jc w:val="left"/>
              <w:rPr>
                <w:rFonts w:ascii="宋体" w:hAnsi="宋体" w:cs="宋体"/>
                <w:color w:val="auto"/>
                <w:sz w:val="24"/>
                <w:szCs w:val="24"/>
              </w:rPr>
            </w:pPr>
            <w:r>
              <w:rPr>
                <w:rFonts w:hint="eastAsia" w:ascii="宋体" w:hAnsi="宋体" w:cs="宋体"/>
                <w:color w:val="auto"/>
                <w:sz w:val="24"/>
                <w:szCs w:val="24"/>
              </w:rPr>
              <w:t>人体感应器设备参数：</w:t>
            </w:r>
          </w:p>
          <w:p w14:paraId="283BBA86">
            <w:pPr>
              <w:pStyle w:val="22"/>
              <w:numPr>
                <w:ilvl w:val="0"/>
                <w:numId w:val="112"/>
              </w:numPr>
              <w:ind w:left="0" w:firstLine="0"/>
              <w:rPr>
                <w:color w:val="auto"/>
              </w:rPr>
            </w:pPr>
            <w:r>
              <w:rPr>
                <w:rFonts w:hint="eastAsia" w:ascii="宋体" w:hAnsi="宋体" w:eastAsia="宋体" w:cs="宋体"/>
                <w:color w:val="auto"/>
                <w:sz w:val="24"/>
                <w:szCs w:val="24"/>
              </w:rPr>
              <w:t>主要参数：</w:t>
            </w:r>
          </w:p>
          <w:p w14:paraId="23D61D8D">
            <w:pPr>
              <w:numPr>
                <w:ilvl w:val="0"/>
                <w:numId w:val="113"/>
              </w:numPr>
              <w:ind w:firstLine="0"/>
              <w:jc w:val="left"/>
              <w:rPr>
                <w:rFonts w:ascii="宋体" w:hAnsi="宋体" w:cs="宋体"/>
                <w:color w:val="auto"/>
                <w:sz w:val="24"/>
                <w:szCs w:val="24"/>
              </w:rPr>
            </w:pPr>
            <w:r>
              <w:rPr>
                <w:rFonts w:hint="eastAsia" w:ascii="宋体" w:hAnsi="宋体" w:cs="宋体"/>
                <w:color w:val="auto"/>
                <w:sz w:val="24"/>
                <w:szCs w:val="24"/>
              </w:rPr>
              <w:t>感应原理：红外线感应；</w:t>
            </w:r>
          </w:p>
          <w:p w14:paraId="1513501B">
            <w:pPr>
              <w:numPr>
                <w:ilvl w:val="0"/>
                <w:numId w:val="113"/>
              </w:numPr>
              <w:ind w:firstLine="0"/>
              <w:jc w:val="left"/>
              <w:rPr>
                <w:rFonts w:ascii="宋体" w:hAnsi="宋体" w:cs="宋体"/>
                <w:color w:val="auto"/>
                <w:sz w:val="24"/>
                <w:szCs w:val="24"/>
              </w:rPr>
            </w:pPr>
            <w:r>
              <w:rPr>
                <w:rFonts w:hint="eastAsia" w:ascii="宋体" w:hAnsi="宋体" w:cs="宋体"/>
                <w:color w:val="auto"/>
                <w:sz w:val="24"/>
                <w:szCs w:val="24"/>
              </w:rPr>
              <w:t>感应范围：</w:t>
            </w:r>
            <w:r>
              <w:rPr>
                <w:rFonts w:ascii="宋体" w:hAnsi="宋体" w:cs="宋体"/>
                <w:color w:val="auto"/>
                <w:sz w:val="24"/>
                <w:szCs w:val="24"/>
              </w:rPr>
              <w:t>3—5m；</w:t>
            </w:r>
          </w:p>
          <w:p w14:paraId="269E8A9D">
            <w:pPr>
              <w:numPr>
                <w:ilvl w:val="0"/>
                <w:numId w:val="113"/>
              </w:numPr>
              <w:ind w:firstLine="0"/>
              <w:jc w:val="left"/>
              <w:rPr>
                <w:rFonts w:ascii="宋体" w:hAnsi="宋体" w:cs="宋体"/>
                <w:color w:val="auto"/>
                <w:sz w:val="24"/>
                <w:szCs w:val="24"/>
              </w:rPr>
            </w:pPr>
            <w:r>
              <w:rPr>
                <w:rFonts w:hint="eastAsia" w:ascii="宋体" w:hAnsi="宋体" w:cs="宋体"/>
                <w:color w:val="auto"/>
                <w:sz w:val="24"/>
                <w:szCs w:val="24"/>
              </w:rPr>
              <w:t>负载功率：</w:t>
            </w:r>
            <w:r>
              <w:rPr>
                <w:rFonts w:ascii="宋体" w:hAnsi="宋体" w:cs="宋体"/>
                <w:color w:val="auto"/>
                <w:sz w:val="24"/>
                <w:szCs w:val="24"/>
              </w:rPr>
              <w:t>10W；</w:t>
            </w:r>
          </w:p>
          <w:p w14:paraId="1E317DCE">
            <w:pPr>
              <w:numPr>
                <w:ilvl w:val="0"/>
                <w:numId w:val="113"/>
              </w:numPr>
              <w:ind w:firstLine="0"/>
              <w:jc w:val="left"/>
              <w:rPr>
                <w:rFonts w:ascii="宋体" w:hAnsi="宋体" w:cs="宋体"/>
                <w:color w:val="auto"/>
                <w:sz w:val="24"/>
                <w:szCs w:val="24"/>
              </w:rPr>
            </w:pPr>
            <w:r>
              <w:rPr>
                <w:rFonts w:hint="eastAsia" w:ascii="宋体" w:hAnsi="宋体" w:cs="宋体"/>
                <w:color w:val="auto"/>
                <w:sz w:val="24"/>
                <w:szCs w:val="24"/>
              </w:rPr>
              <w:t>延时关闭时间：</w:t>
            </w:r>
            <w:r>
              <w:rPr>
                <w:rFonts w:ascii="宋体" w:hAnsi="宋体" w:cs="宋体"/>
                <w:color w:val="auto"/>
                <w:sz w:val="24"/>
                <w:szCs w:val="24"/>
              </w:rPr>
              <w:t>50±10s；</w:t>
            </w:r>
          </w:p>
          <w:p w14:paraId="1C1843A4">
            <w:pPr>
              <w:numPr>
                <w:ilvl w:val="0"/>
                <w:numId w:val="113"/>
              </w:numPr>
              <w:ind w:firstLine="0"/>
              <w:jc w:val="left"/>
              <w:rPr>
                <w:rFonts w:ascii="宋体" w:hAnsi="宋体" w:cs="宋体"/>
                <w:color w:val="auto"/>
                <w:sz w:val="24"/>
                <w:szCs w:val="24"/>
              </w:rPr>
            </w:pPr>
            <w:r>
              <w:rPr>
                <w:rFonts w:hint="eastAsia" w:ascii="宋体" w:hAnsi="宋体" w:cs="宋体"/>
                <w:color w:val="auto"/>
                <w:sz w:val="24"/>
                <w:szCs w:val="24"/>
              </w:rPr>
              <w:t>颜色：雅白色；</w:t>
            </w:r>
          </w:p>
          <w:p w14:paraId="71D86ED2">
            <w:pPr>
              <w:numPr>
                <w:ilvl w:val="0"/>
                <w:numId w:val="113"/>
              </w:numPr>
              <w:ind w:firstLine="0"/>
              <w:jc w:val="left"/>
              <w:rPr>
                <w:rFonts w:ascii="宋体" w:hAnsi="宋体" w:cs="宋体"/>
                <w:color w:val="auto"/>
                <w:sz w:val="24"/>
                <w:szCs w:val="24"/>
              </w:rPr>
            </w:pPr>
            <w:r>
              <w:rPr>
                <w:rFonts w:hint="eastAsia" w:ascii="宋体" w:hAnsi="宋体" w:cs="宋体"/>
                <w:color w:val="auto"/>
                <w:sz w:val="24"/>
                <w:szCs w:val="24"/>
              </w:rPr>
              <w:t>工作电压：</w:t>
            </w:r>
            <w:r>
              <w:rPr>
                <w:rFonts w:ascii="宋体" w:hAnsi="宋体" w:cs="宋体"/>
                <w:color w:val="auto"/>
                <w:sz w:val="24"/>
                <w:szCs w:val="24"/>
              </w:rPr>
              <w:t>220（V）；</w:t>
            </w:r>
          </w:p>
          <w:p w14:paraId="320884EA">
            <w:pPr>
              <w:numPr>
                <w:ilvl w:val="0"/>
                <w:numId w:val="113"/>
              </w:numPr>
              <w:ind w:firstLine="0"/>
              <w:jc w:val="left"/>
              <w:rPr>
                <w:rFonts w:ascii="宋体" w:hAnsi="宋体" w:cs="宋体"/>
                <w:color w:val="auto"/>
                <w:sz w:val="24"/>
                <w:szCs w:val="24"/>
              </w:rPr>
            </w:pPr>
            <w:r>
              <w:rPr>
                <w:rFonts w:ascii="宋体" w:hAnsi="宋体" w:cs="宋体"/>
                <w:color w:val="auto"/>
                <w:sz w:val="24"/>
                <w:szCs w:val="24"/>
              </w:rPr>
              <w:t>3C额定电压范围：440V以上；</w:t>
            </w:r>
          </w:p>
          <w:p w14:paraId="417A7A00">
            <w:pPr>
              <w:widowControl/>
              <w:numPr>
                <w:ilvl w:val="0"/>
                <w:numId w:val="113"/>
              </w:numPr>
              <w:ind w:firstLine="0"/>
              <w:jc w:val="left"/>
              <w:rPr>
                <w:rFonts w:ascii="宋体" w:hAnsi="宋体" w:cs="宋体"/>
                <w:color w:val="auto"/>
                <w:sz w:val="24"/>
                <w:szCs w:val="24"/>
              </w:rPr>
            </w:pPr>
            <w:r>
              <w:rPr>
                <w:rFonts w:hint="eastAsia" w:ascii="宋体" w:hAnsi="宋体" w:cs="宋体"/>
                <w:color w:val="auto"/>
                <w:sz w:val="24"/>
                <w:szCs w:val="24"/>
              </w:rPr>
              <w:t>可联动继电器检测人员经过关闭紫外线消毒灯；</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3CC7B1">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029259">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4C19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D38017">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6</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29CE7F9">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AI行为识别摄像机</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9C9161">
            <w:pPr>
              <w:numPr>
                <w:ilvl w:val="0"/>
                <w:numId w:val="114"/>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0E3843C4">
            <w:pPr>
              <w:numPr>
                <w:ilvl w:val="0"/>
                <w:numId w:val="115"/>
              </w:numPr>
              <w:jc w:val="left"/>
              <w:rPr>
                <w:rFonts w:ascii="宋体" w:hAnsi="宋体" w:cs="宋体"/>
                <w:color w:val="auto"/>
                <w:sz w:val="24"/>
                <w:szCs w:val="24"/>
              </w:rPr>
            </w:pPr>
            <w:r>
              <w:rPr>
                <w:rFonts w:hint="eastAsia" w:ascii="宋体" w:hAnsi="宋体" w:cs="宋体"/>
                <w:color w:val="auto"/>
                <w:sz w:val="24"/>
                <w:szCs w:val="24"/>
              </w:rPr>
              <w:t>支持口罩、工服、工帽三白预警抓拍并现场定制语音实施报警；</w:t>
            </w:r>
          </w:p>
          <w:p w14:paraId="175239E7">
            <w:pPr>
              <w:numPr>
                <w:ilvl w:val="0"/>
                <w:numId w:val="115"/>
              </w:numPr>
              <w:jc w:val="left"/>
              <w:rPr>
                <w:rFonts w:ascii="宋体" w:hAnsi="宋体" w:cs="宋体"/>
                <w:color w:val="auto"/>
                <w:sz w:val="24"/>
                <w:szCs w:val="24"/>
              </w:rPr>
            </w:pPr>
            <w:r>
              <w:rPr>
                <w:rFonts w:hint="eastAsia" w:ascii="宋体" w:hAnsi="宋体" w:cs="宋体"/>
                <w:color w:val="auto"/>
                <w:sz w:val="24"/>
                <w:szCs w:val="24"/>
              </w:rPr>
              <w:t>支持特定颜色工服、工帽识别预警；</w:t>
            </w:r>
          </w:p>
          <w:p w14:paraId="08D7B7A2">
            <w:pPr>
              <w:numPr>
                <w:ilvl w:val="0"/>
                <w:numId w:val="114"/>
              </w:numPr>
              <w:ind w:left="0" w:firstLine="0"/>
              <w:jc w:val="left"/>
              <w:rPr>
                <w:rFonts w:ascii="宋体" w:hAnsi="宋体" w:cs="宋体"/>
                <w:color w:val="auto"/>
                <w:sz w:val="24"/>
                <w:szCs w:val="24"/>
              </w:rPr>
            </w:pPr>
            <w:r>
              <w:rPr>
                <w:rFonts w:ascii="宋体" w:hAnsi="宋体" w:cs="宋体"/>
                <w:color w:val="auto"/>
                <w:kern w:val="0"/>
                <w:sz w:val="24"/>
                <w:szCs w:val="24"/>
                <w:lang w:bidi="ar"/>
              </w:rPr>
              <w:t>AI行为识别摄像机设备</w:t>
            </w:r>
            <w:r>
              <w:rPr>
                <w:rFonts w:hint="eastAsia" w:ascii="宋体" w:hAnsi="宋体" w:cs="宋体"/>
                <w:color w:val="auto"/>
                <w:sz w:val="24"/>
                <w:szCs w:val="24"/>
              </w:rPr>
              <w:t>参数：</w:t>
            </w:r>
          </w:p>
          <w:p w14:paraId="27BA3DFC">
            <w:pPr>
              <w:pStyle w:val="22"/>
              <w:numPr>
                <w:ilvl w:val="0"/>
                <w:numId w:val="116"/>
              </w:numPr>
              <w:ind w:left="0" w:firstLine="0"/>
              <w:rPr>
                <w:color w:val="auto"/>
              </w:rPr>
            </w:pPr>
            <w:r>
              <w:rPr>
                <w:rFonts w:hint="eastAsia" w:ascii="宋体" w:hAnsi="宋体" w:eastAsia="宋体" w:cs="宋体"/>
                <w:color w:val="auto"/>
                <w:sz w:val="24"/>
                <w:szCs w:val="24"/>
              </w:rPr>
              <w:t>主要参数：</w:t>
            </w:r>
          </w:p>
          <w:p w14:paraId="0BE7A415">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主板性能：算力</w:t>
            </w:r>
            <w:r>
              <w:rPr>
                <w:rFonts w:ascii="宋体" w:hAnsi="宋体" w:cs="宋体"/>
                <w:color w:val="auto"/>
                <w:sz w:val="24"/>
                <w:szCs w:val="24"/>
              </w:rPr>
              <w:t>2.0Tops,内存：8Gbit,闪存：8GBEMMC；</w:t>
            </w:r>
          </w:p>
          <w:p w14:paraId="25EAE873">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传感器类型：</w:t>
            </w:r>
            <w:r>
              <w:rPr>
                <w:rFonts w:ascii="宋体" w:hAnsi="宋体" w:cs="宋体"/>
                <w:color w:val="auto"/>
                <w:sz w:val="24"/>
                <w:szCs w:val="24"/>
              </w:rPr>
              <w:t>1/3"CMOS；</w:t>
            </w:r>
          </w:p>
          <w:p w14:paraId="4EFF1DEB">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镜头类型：定焦；</w:t>
            </w:r>
          </w:p>
          <w:p w14:paraId="65FC42C4">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视场角：（</w:t>
            </w:r>
            <w:r>
              <w:rPr>
                <w:rFonts w:ascii="宋体" w:hAnsi="宋体" w:cs="宋体"/>
                <w:color w:val="auto"/>
                <w:sz w:val="24"/>
                <w:szCs w:val="24"/>
              </w:rPr>
              <w:t>H）47.6°(D)59.4°；</w:t>
            </w:r>
          </w:p>
          <w:p w14:paraId="31FB5C29">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光圈：</w:t>
            </w:r>
            <w:r>
              <w:rPr>
                <w:rFonts w:ascii="宋体" w:hAnsi="宋体" w:cs="宋体"/>
                <w:color w:val="auto"/>
                <w:sz w:val="24"/>
                <w:szCs w:val="24"/>
              </w:rPr>
              <w:t>F1.6；</w:t>
            </w:r>
          </w:p>
          <w:p w14:paraId="2C553306">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焦距：</w:t>
            </w:r>
            <w:r>
              <w:rPr>
                <w:rFonts w:ascii="宋体" w:hAnsi="宋体" w:cs="宋体"/>
                <w:color w:val="auto"/>
                <w:sz w:val="24"/>
                <w:szCs w:val="24"/>
              </w:rPr>
              <w:t>6mm；</w:t>
            </w:r>
          </w:p>
          <w:p w14:paraId="3AEA7231">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红外灯：最大补光距离</w:t>
            </w:r>
            <w:r>
              <w:rPr>
                <w:rFonts w:ascii="宋体" w:hAnsi="宋体" w:cs="宋体"/>
                <w:color w:val="auto"/>
                <w:sz w:val="24"/>
                <w:szCs w:val="24"/>
              </w:rPr>
              <w:t>40米；</w:t>
            </w:r>
          </w:p>
          <w:p w14:paraId="25A63968">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白光灯：最大补光距离</w:t>
            </w:r>
            <w:r>
              <w:rPr>
                <w:rFonts w:ascii="宋体" w:hAnsi="宋体" w:cs="宋体"/>
                <w:color w:val="auto"/>
                <w:sz w:val="24"/>
                <w:szCs w:val="24"/>
              </w:rPr>
              <w:t>10米；</w:t>
            </w:r>
          </w:p>
          <w:p w14:paraId="29FD86FF">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灯光控制：自动</w:t>
            </w:r>
            <w:r>
              <w:rPr>
                <w:rFonts w:ascii="宋体" w:hAnsi="宋体" w:cs="宋体"/>
                <w:color w:val="auto"/>
                <w:sz w:val="24"/>
                <w:szCs w:val="24"/>
              </w:rPr>
              <w:t>/手动，亮度可调；</w:t>
            </w:r>
          </w:p>
          <w:p w14:paraId="4986753A">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图像设置：亮度、对比度、饱和度、锐度；</w:t>
            </w:r>
          </w:p>
          <w:p w14:paraId="20A74DDE">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最低照度：</w:t>
            </w:r>
            <w:r>
              <w:rPr>
                <w:rFonts w:ascii="宋体" w:hAnsi="宋体" w:cs="宋体"/>
                <w:color w:val="auto"/>
                <w:sz w:val="24"/>
                <w:szCs w:val="24"/>
              </w:rPr>
              <w:t>0.001Lux（彩色模式）,0.001Lux（黑白模式）,0Lux（补光灯开启）；</w:t>
            </w:r>
          </w:p>
          <w:p w14:paraId="241131DF">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白平衡：自动</w:t>
            </w:r>
            <w:r>
              <w:rPr>
                <w:rFonts w:ascii="宋体" w:hAnsi="宋体" w:cs="宋体"/>
                <w:color w:val="auto"/>
                <w:sz w:val="24"/>
                <w:szCs w:val="24"/>
              </w:rPr>
              <w:t>/手动；</w:t>
            </w:r>
          </w:p>
          <w:p w14:paraId="68A361CD">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强光抑制：支持；</w:t>
            </w:r>
          </w:p>
          <w:p w14:paraId="3F74126E">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背光补偿；支持；</w:t>
            </w:r>
          </w:p>
          <w:p w14:paraId="4E6C5468">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降噪：支持</w:t>
            </w:r>
            <w:r>
              <w:rPr>
                <w:rFonts w:ascii="宋体" w:hAnsi="宋体" w:cs="宋体"/>
                <w:color w:val="auto"/>
                <w:sz w:val="24"/>
                <w:szCs w:val="24"/>
              </w:rPr>
              <w:t>2D/3D数字降噪；</w:t>
            </w:r>
          </w:p>
          <w:p w14:paraId="77BE96C2">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宽动态：支持；</w:t>
            </w:r>
          </w:p>
          <w:p w14:paraId="0140792F">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信噪比：≥</w:t>
            </w:r>
            <w:r>
              <w:rPr>
                <w:rFonts w:ascii="宋体" w:hAnsi="宋体" w:cs="宋体"/>
                <w:color w:val="auto"/>
                <w:sz w:val="24"/>
                <w:szCs w:val="24"/>
              </w:rPr>
              <w:t>56db；</w:t>
            </w:r>
          </w:p>
          <w:p w14:paraId="2472D888">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增益控制：自动</w:t>
            </w:r>
            <w:r>
              <w:rPr>
                <w:rFonts w:ascii="宋体" w:hAnsi="宋体" w:cs="宋体"/>
                <w:color w:val="auto"/>
                <w:sz w:val="24"/>
                <w:szCs w:val="24"/>
              </w:rPr>
              <w:t>/快门优先/增益优先/手动；</w:t>
            </w:r>
          </w:p>
          <w:p w14:paraId="00BE7BFF">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视频压缩标准：</w:t>
            </w:r>
            <w:r>
              <w:rPr>
                <w:rFonts w:ascii="宋体" w:hAnsi="宋体" w:cs="宋体"/>
                <w:color w:val="auto"/>
                <w:sz w:val="24"/>
                <w:szCs w:val="24"/>
              </w:rPr>
              <w:t>H.265、H.264、H.264H、H.264B、MJPEG；</w:t>
            </w:r>
          </w:p>
          <w:p w14:paraId="416354E5">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分辨率：码流一：</w:t>
            </w:r>
            <w:r>
              <w:rPr>
                <w:rFonts w:ascii="宋体" w:hAnsi="宋体" w:cs="宋体"/>
                <w:color w:val="auto"/>
                <w:sz w:val="24"/>
                <w:szCs w:val="24"/>
              </w:rPr>
              <w:t>2560x14401920x10801280*720；码流二：1960*544704x576640*360；</w:t>
            </w:r>
          </w:p>
          <w:p w14:paraId="575BA76B">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视频制式</w:t>
            </w:r>
            <w:r>
              <w:rPr>
                <w:rFonts w:ascii="宋体" w:hAnsi="宋体" w:cs="宋体"/>
                <w:color w:val="auto"/>
                <w:sz w:val="24"/>
                <w:szCs w:val="24"/>
              </w:rPr>
              <w:t>PAL(25fps)/NTSC(30fps)；</w:t>
            </w:r>
          </w:p>
          <w:p w14:paraId="3A79176E">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码率控制：</w:t>
            </w:r>
            <w:r>
              <w:rPr>
                <w:rFonts w:ascii="宋体" w:hAnsi="宋体" w:cs="宋体"/>
                <w:color w:val="auto"/>
                <w:sz w:val="24"/>
                <w:szCs w:val="24"/>
              </w:rPr>
              <w:t>CBR/VBR；</w:t>
            </w:r>
          </w:p>
          <w:p w14:paraId="4B89DCB1">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默认码流：</w:t>
            </w:r>
            <w:r>
              <w:rPr>
                <w:rFonts w:ascii="宋体" w:hAnsi="宋体" w:cs="宋体"/>
                <w:color w:val="auto"/>
                <w:sz w:val="24"/>
                <w:szCs w:val="24"/>
              </w:rPr>
              <w:t>4096kbps(2560×1440)；</w:t>
            </w:r>
          </w:p>
          <w:p w14:paraId="41B298E6">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码率调节范围：主、辅</w:t>
            </w:r>
            <w:r>
              <w:rPr>
                <w:rFonts w:ascii="宋体" w:hAnsi="宋体" w:cs="宋体"/>
                <w:color w:val="auto"/>
                <w:sz w:val="24"/>
                <w:szCs w:val="24"/>
              </w:rPr>
              <w:t>30Kbps~16Mbps连续可调；</w:t>
            </w:r>
          </w:p>
          <w:p w14:paraId="6CCE62E3">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音频压缩标准：</w:t>
            </w:r>
            <w:r>
              <w:rPr>
                <w:rFonts w:ascii="宋体" w:hAnsi="宋体" w:cs="宋体"/>
                <w:color w:val="auto"/>
                <w:sz w:val="24"/>
                <w:szCs w:val="24"/>
              </w:rPr>
              <w:t>G.711A,G.711U,G.726,AAC；</w:t>
            </w:r>
          </w:p>
          <w:p w14:paraId="1B64198F">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网络协议：</w:t>
            </w:r>
            <w:r>
              <w:rPr>
                <w:rFonts w:ascii="宋体" w:hAnsi="宋体" w:cs="宋体"/>
                <w:color w:val="auto"/>
                <w:sz w:val="24"/>
                <w:szCs w:val="24"/>
              </w:rPr>
              <w:t>HTTP,TCP,RTSP,RTP,UDP,RTCP,SMTP,FTP,DHCP,DNS,DDNS,PPPoE,IPv4/v6,UPnP,NTP；</w:t>
            </w:r>
          </w:p>
          <w:p w14:paraId="1D569625">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协议：支持</w:t>
            </w:r>
            <w:r>
              <w:rPr>
                <w:rFonts w:ascii="宋体" w:hAnsi="宋体" w:cs="宋体"/>
                <w:color w:val="auto"/>
                <w:sz w:val="24"/>
                <w:szCs w:val="24"/>
              </w:rPr>
              <w:t>Onvif,GB28181,GA/T1400,MQTT；</w:t>
            </w:r>
          </w:p>
          <w:p w14:paraId="11FB9ACA">
            <w:pPr>
              <w:numPr>
                <w:ilvl w:val="0"/>
                <w:numId w:val="117"/>
              </w:numPr>
              <w:ind w:firstLine="0"/>
              <w:jc w:val="left"/>
              <w:rPr>
                <w:rFonts w:ascii="宋体" w:hAnsi="宋体" w:cs="宋体"/>
                <w:color w:val="auto"/>
                <w:sz w:val="24"/>
                <w:szCs w:val="24"/>
              </w:rPr>
            </w:pPr>
            <w:r>
              <w:rPr>
                <w:rFonts w:ascii="宋体" w:hAnsi="宋体" w:cs="宋体"/>
                <w:color w:val="auto"/>
                <w:sz w:val="24"/>
                <w:szCs w:val="24"/>
              </w:rPr>
              <w:t>5.功能特性参数：</w:t>
            </w:r>
          </w:p>
          <w:p w14:paraId="6BAD29B5">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通用行为分析：区域入侵</w:t>
            </w:r>
            <w:r>
              <w:rPr>
                <w:rFonts w:ascii="宋体" w:hAnsi="宋体" w:cs="宋体"/>
                <w:color w:val="auto"/>
                <w:sz w:val="24"/>
                <w:szCs w:val="24"/>
              </w:rPr>
              <w:t>,绊线入侵；</w:t>
            </w:r>
          </w:p>
          <w:p w14:paraId="0B1D0145">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报警功能：声光报警</w:t>
            </w:r>
            <w:r>
              <w:rPr>
                <w:rFonts w:ascii="宋体" w:hAnsi="宋体" w:cs="宋体"/>
                <w:color w:val="auto"/>
                <w:sz w:val="24"/>
                <w:szCs w:val="24"/>
              </w:rPr>
              <w:t>,隐私遮挡报警,移动侦测报警,网络故障报警,语音播报；</w:t>
            </w:r>
          </w:p>
          <w:p w14:paraId="3EA776F7">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录像模式：手动录像</w:t>
            </w:r>
            <w:r>
              <w:rPr>
                <w:rFonts w:ascii="宋体" w:hAnsi="宋体" w:cs="宋体"/>
                <w:color w:val="auto"/>
                <w:sz w:val="24"/>
                <w:szCs w:val="24"/>
              </w:rPr>
              <w:t>,视频事件检测录像,定时录像,报警录像；</w:t>
            </w:r>
          </w:p>
          <w:p w14:paraId="5A961D65">
            <w:pPr>
              <w:numPr>
                <w:ilvl w:val="0"/>
                <w:numId w:val="117"/>
              </w:numPr>
              <w:ind w:firstLine="0"/>
              <w:jc w:val="left"/>
              <w:rPr>
                <w:rFonts w:ascii="宋体" w:hAnsi="宋体" w:cs="宋体"/>
                <w:color w:val="auto"/>
                <w:sz w:val="24"/>
                <w:szCs w:val="24"/>
              </w:rPr>
            </w:pPr>
            <w:r>
              <w:rPr>
                <w:rFonts w:ascii="宋体" w:hAnsi="宋体" w:cs="宋体"/>
                <w:color w:val="auto"/>
                <w:sz w:val="24"/>
                <w:szCs w:val="24"/>
              </w:rPr>
              <w:t>OSD信息叠加时间,通道标题,设备名称,支持自定义；</w:t>
            </w:r>
          </w:p>
          <w:p w14:paraId="17C95E61">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日夜模式：白天、夜晚</w:t>
            </w:r>
            <w:r>
              <w:rPr>
                <w:rFonts w:ascii="宋体" w:hAnsi="宋体" w:cs="宋体"/>
                <w:color w:val="auto"/>
                <w:sz w:val="24"/>
                <w:szCs w:val="24"/>
              </w:rPr>
              <w:t>,支持定时转换,手动转换,自动转换；</w:t>
            </w:r>
          </w:p>
          <w:p w14:paraId="5AE51596">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隐私遮蔽：支持</w:t>
            </w:r>
            <w:r>
              <w:rPr>
                <w:rFonts w:ascii="宋体" w:hAnsi="宋体" w:cs="宋体"/>
                <w:color w:val="auto"/>
                <w:sz w:val="24"/>
                <w:szCs w:val="24"/>
              </w:rPr>
              <w:t>4个区域设置；</w:t>
            </w:r>
          </w:p>
          <w:p w14:paraId="79C9171C">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镜像：支持</w:t>
            </w:r>
            <w:r>
              <w:rPr>
                <w:rFonts w:ascii="宋体" w:hAnsi="宋体" w:cs="宋体"/>
                <w:color w:val="auto"/>
                <w:sz w:val="24"/>
                <w:szCs w:val="24"/>
              </w:rPr>
              <w:t>90°/180°图像翻转；</w:t>
            </w:r>
          </w:p>
          <w:p w14:paraId="2CA6E8FF">
            <w:pPr>
              <w:numPr>
                <w:ilvl w:val="0"/>
                <w:numId w:val="117"/>
              </w:numPr>
              <w:ind w:firstLine="0"/>
              <w:jc w:val="left"/>
              <w:rPr>
                <w:rFonts w:ascii="宋体" w:hAnsi="宋体" w:cs="宋体"/>
                <w:color w:val="auto"/>
                <w:sz w:val="24"/>
                <w:szCs w:val="24"/>
              </w:rPr>
            </w:pPr>
            <w:r>
              <w:rPr>
                <w:rFonts w:ascii="宋体" w:hAnsi="宋体" w:cs="宋体"/>
                <w:color w:val="auto"/>
                <w:sz w:val="24"/>
                <w:szCs w:val="24"/>
              </w:rPr>
              <w:t>ROI：支持；</w:t>
            </w:r>
          </w:p>
          <w:p w14:paraId="284F32A7">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检测类型：厨师帽，厨师服，猫、狗，鼠，抽烟，打电话，口罩检测；</w:t>
            </w:r>
          </w:p>
          <w:p w14:paraId="54448005">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检测区域：支持自定义；</w:t>
            </w:r>
          </w:p>
          <w:p w14:paraId="1AFDA00C">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抓拍模式：支持离开后抓拍、实时抓拍、间隔抓拍、实时抓拍</w:t>
            </w:r>
            <w:r>
              <w:rPr>
                <w:rFonts w:ascii="宋体" w:hAnsi="宋体" w:cs="宋体"/>
                <w:color w:val="auto"/>
                <w:sz w:val="24"/>
                <w:szCs w:val="24"/>
              </w:rPr>
              <w:t>+离开后抓拍、实时抓拍+间隔抓拍；</w:t>
            </w:r>
          </w:p>
          <w:p w14:paraId="656EE530">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检测范围：支持最小</w:t>
            </w:r>
            <w:r>
              <w:rPr>
                <w:rFonts w:ascii="宋体" w:hAnsi="宋体" w:cs="宋体"/>
                <w:color w:val="auto"/>
                <w:sz w:val="24"/>
                <w:szCs w:val="24"/>
              </w:rPr>
              <w:t>/最大检测目标可调；</w:t>
            </w:r>
          </w:p>
          <w:p w14:paraId="7092E60D">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图片类型：目标图</w:t>
            </w:r>
            <w:r>
              <w:rPr>
                <w:rFonts w:ascii="宋体" w:hAnsi="宋体" w:cs="宋体"/>
                <w:color w:val="auto"/>
                <w:sz w:val="24"/>
                <w:szCs w:val="24"/>
              </w:rPr>
              <w:t>,全景图；</w:t>
            </w:r>
          </w:p>
          <w:p w14:paraId="175E6BD4">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图片格式：</w:t>
            </w:r>
            <w:r>
              <w:rPr>
                <w:rFonts w:ascii="宋体" w:hAnsi="宋体" w:cs="宋体"/>
                <w:color w:val="auto"/>
                <w:sz w:val="24"/>
                <w:szCs w:val="24"/>
              </w:rPr>
              <w:t>JPG；</w:t>
            </w:r>
          </w:p>
          <w:p w14:paraId="029A2A78">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网络接口：</w:t>
            </w:r>
            <w:r>
              <w:rPr>
                <w:rFonts w:ascii="宋体" w:hAnsi="宋体" w:cs="宋体"/>
                <w:color w:val="auto"/>
                <w:sz w:val="24"/>
                <w:szCs w:val="24"/>
              </w:rPr>
              <w:t>1个RJ45，10/100M自适应以太网口，支持PoE供电；</w:t>
            </w:r>
          </w:p>
          <w:p w14:paraId="746A3D06">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电源接口：</w:t>
            </w:r>
            <w:r>
              <w:rPr>
                <w:rFonts w:ascii="宋体" w:hAnsi="宋体" w:cs="宋体"/>
                <w:color w:val="auto"/>
                <w:sz w:val="24"/>
                <w:szCs w:val="24"/>
              </w:rPr>
              <w:t>DC12V(-15%~+10%)；</w:t>
            </w:r>
          </w:p>
          <w:p w14:paraId="7FC7F812">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报警接口：</w:t>
            </w:r>
            <w:r>
              <w:rPr>
                <w:rFonts w:ascii="宋体" w:hAnsi="宋体" w:cs="宋体"/>
                <w:color w:val="auto"/>
                <w:sz w:val="24"/>
                <w:szCs w:val="24"/>
              </w:rPr>
              <w:t>1进1出；</w:t>
            </w:r>
          </w:p>
          <w:p w14:paraId="29E459C3">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音频接口；</w:t>
            </w:r>
            <w:r>
              <w:rPr>
                <w:rFonts w:ascii="宋体" w:hAnsi="宋体" w:cs="宋体"/>
                <w:color w:val="auto"/>
                <w:sz w:val="24"/>
                <w:szCs w:val="24"/>
              </w:rPr>
              <w:t>1路音频输入/1路音频输出（RCA头），内置MIC/扬声器；</w:t>
            </w:r>
          </w:p>
          <w:p w14:paraId="18D7761C">
            <w:pPr>
              <w:numPr>
                <w:ilvl w:val="0"/>
                <w:numId w:val="117"/>
              </w:numPr>
              <w:ind w:firstLine="0"/>
              <w:jc w:val="left"/>
              <w:rPr>
                <w:rFonts w:ascii="宋体" w:hAnsi="宋体" w:cs="宋体"/>
                <w:color w:val="auto"/>
                <w:sz w:val="24"/>
                <w:szCs w:val="24"/>
              </w:rPr>
            </w:pPr>
            <w:r>
              <w:rPr>
                <w:rFonts w:ascii="宋体" w:hAnsi="宋体" w:cs="宋体"/>
                <w:color w:val="auto"/>
                <w:sz w:val="24"/>
                <w:szCs w:val="24"/>
              </w:rPr>
              <w:t>SD卡接口：最大容量256GB；</w:t>
            </w:r>
          </w:p>
          <w:p w14:paraId="5F39B28B">
            <w:pPr>
              <w:numPr>
                <w:ilvl w:val="0"/>
                <w:numId w:val="117"/>
              </w:numPr>
              <w:ind w:firstLine="0"/>
              <w:jc w:val="left"/>
              <w:rPr>
                <w:rFonts w:ascii="宋体" w:hAnsi="宋体" w:cs="宋体"/>
                <w:color w:val="auto"/>
                <w:sz w:val="24"/>
                <w:szCs w:val="24"/>
              </w:rPr>
            </w:pPr>
            <w:r>
              <w:rPr>
                <w:rFonts w:ascii="宋体" w:hAnsi="宋体" w:cs="宋体"/>
                <w:color w:val="auto"/>
                <w:sz w:val="24"/>
                <w:szCs w:val="24"/>
              </w:rPr>
              <w:t>RS485：预留；</w:t>
            </w:r>
          </w:p>
          <w:p w14:paraId="0B1D8AD5">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复位：软件复位，硬件复位；</w:t>
            </w:r>
          </w:p>
          <w:p w14:paraId="7B5BE490">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安装方式：壁装，吊装；</w:t>
            </w:r>
          </w:p>
          <w:p w14:paraId="26557606">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工作电压：</w:t>
            </w:r>
            <w:r>
              <w:rPr>
                <w:rFonts w:ascii="宋体" w:hAnsi="宋体" w:cs="宋体"/>
                <w:color w:val="auto"/>
                <w:sz w:val="24"/>
                <w:szCs w:val="24"/>
              </w:rPr>
              <w:t>DC12V(-15%~+10%)/PoE(802.3af选配）；</w:t>
            </w:r>
          </w:p>
          <w:p w14:paraId="1E61B6D9">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功耗</w:t>
            </w:r>
            <w:r>
              <w:rPr>
                <w:rFonts w:ascii="宋体" w:hAnsi="宋体" w:cs="宋体"/>
                <w:color w:val="auto"/>
                <w:sz w:val="24"/>
                <w:szCs w:val="24"/>
              </w:rPr>
              <w:t>&lt;8W；</w:t>
            </w:r>
          </w:p>
          <w:p w14:paraId="6919BEC6">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工作温度：</w:t>
            </w:r>
            <w:r>
              <w:rPr>
                <w:rFonts w:ascii="宋体" w:hAnsi="宋体" w:cs="宋体"/>
                <w:color w:val="auto"/>
                <w:sz w:val="24"/>
                <w:szCs w:val="24"/>
              </w:rPr>
              <w:t>-30℃-+60℃；</w:t>
            </w:r>
          </w:p>
          <w:p w14:paraId="0E9CC0A8">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工作湿度：</w:t>
            </w:r>
            <w:r>
              <w:rPr>
                <w:rFonts w:ascii="宋体" w:hAnsi="宋体" w:cs="宋体"/>
                <w:color w:val="auto"/>
                <w:sz w:val="24"/>
                <w:szCs w:val="24"/>
              </w:rPr>
              <w:t>0%~95%RH（无凝结）；</w:t>
            </w:r>
          </w:p>
          <w:p w14:paraId="6C1FD8D7">
            <w:pPr>
              <w:numPr>
                <w:ilvl w:val="0"/>
                <w:numId w:val="117"/>
              </w:numPr>
              <w:ind w:firstLine="0"/>
              <w:jc w:val="left"/>
              <w:rPr>
                <w:rFonts w:ascii="宋体" w:hAnsi="宋体" w:cs="宋体"/>
                <w:color w:val="auto"/>
                <w:sz w:val="24"/>
                <w:szCs w:val="24"/>
              </w:rPr>
            </w:pPr>
            <w:r>
              <w:rPr>
                <w:rFonts w:hint="eastAsia" w:ascii="宋体" w:hAnsi="宋体" w:cs="宋体"/>
                <w:color w:val="auto"/>
                <w:sz w:val="24"/>
                <w:szCs w:val="24"/>
              </w:rPr>
              <w:t>防护等级：</w:t>
            </w:r>
            <w:r>
              <w:rPr>
                <w:rFonts w:ascii="宋体" w:hAnsi="宋体" w:cs="宋体"/>
                <w:color w:val="auto"/>
                <w:sz w:val="24"/>
                <w:szCs w:val="24"/>
              </w:rPr>
              <w:t>IP66；</w:t>
            </w:r>
          </w:p>
          <w:p w14:paraId="79F42E45">
            <w:pPr>
              <w:numPr>
                <w:ilvl w:val="0"/>
                <w:numId w:val="114"/>
              </w:numPr>
              <w:ind w:left="0" w:firstLine="0"/>
              <w:jc w:val="left"/>
              <w:rPr>
                <w:rFonts w:ascii="宋体" w:hAnsi="宋体" w:cs="宋体"/>
                <w:color w:val="auto"/>
                <w:sz w:val="24"/>
                <w:szCs w:val="24"/>
              </w:rPr>
            </w:pPr>
            <w:r>
              <w:rPr>
                <w:rFonts w:hint="eastAsia" w:ascii="宋体" w:hAnsi="宋体" w:cs="宋体"/>
                <w:color w:val="auto"/>
                <w:sz w:val="24"/>
                <w:szCs w:val="24"/>
              </w:rPr>
              <w:t>音柱设备设备参数：</w:t>
            </w:r>
          </w:p>
          <w:p w14:paraId="6DCB0C14">
            <w:pPr>
              <w:numPr>
                <w:ilvl w:val="0"/>
                <w:numId w:val="118"/>
              </w:numPr>
              <w:ind w:left="0" w:firstLine="0"/>
              <w:jc w:val="left"/>
              <w:rPr>
                <w:rFonts w:ascii="宋体" w:hAnsi="宋体" w:cs="宋体"/>
                <w:color w:val="auto"/>
                <w:sz w:val="24"/>
                <w:szCs w:val="24"/>
              </w:rPr>
            </w:pPr>
            <w:r>
              <w:rPr>
                <w:rFonts w:hint="eastAsia" w:ascii="宋体" w:hAnsi="宋体" w:cs="宋体"/>
                <w:color w:val="auto"/>
                <w:sz w:val="24"/>
                <w:szCs w:val="24"/>
              </w:rPr>
              <w:t>主要参数：</w:t>
            </w:r>
          </w:p>
          <w:p w14:paraId="39E27050">
            <w:pPr>
              <w:numPr>
                <w:ilvl w:val="0"/>
                <w:numId w:val="119"/>
              </w:numPr>
              <w:ind w:firstLine="0"/>
              <w:jc w:val="left"/>
              <w:rPr>
                <w:rFonts w:ascii="宋体" w:hAnsi="宋体" w:cs="宋体"/>
                <w:color w:val="auto"/>
                <w:sz w:val="24"/>
                <w:szCs w:val="24"/>
              </w:rPr>
            </w:pPr>
            <w:r>
              <w:rPr>
                <w:rFonts w:ascii="宋体" w:hAnsi="宋体" w:cs="宋体"/>
                <w:color w:val="auto"/>
                <w:sz w:val="24"/>
                <w:szCs w:val="24"/>
              </w:rPr>
              <w:t>机身采用纯铝合金打造，防水性能强，可以直接在户外使用</w:t>
            </w:r>
            <w:r>
              <w:rPr>
                <w:rFonts w:hint="eastAsia" w:ascii="宋体" w:hAnsi="宋体" w:cs="宋体"/>
                <w:color w:val="auto"/>
                <w:sz w:val="24"/>
                <w:szCs w:val="24"/>
              </w:rPr>
              <w:t>；</w:t>
            </w:r>
          </w:p>
          <w:p w14:paraId="7FCC6038">
            <w:pPr>
              <w:numPr>
                <w:ilvl w:val="0"/>
                <w:numId w:val="119"/>
              </w:numPr>
              <w:ind w:firstLine="0"/>
              <w:jc w:val="left"/>
              <w:rPr>
                <w:rFonts w:ascii="宋体" w:hAnsi="宋体" w:cs="宋体"/>
                <w:color w:val="auto"/>
                <w:sz w:val="24"/>
                <w:szCs w:val="24"/>
              </w:rPr>
            </w:pPr>
            <w:r>
              <w:rPr>
                <w:rFonts w:ascii="宋体" w:hAnsi="宋体" w:cs="宋体"/>
                <w:color w:val="auto"/>
                <w:sz w:val="24"/>
                <w:szCs w:val="24"/>
              </w:rPr>
              <w:t>内置高效率全频带单元、高灵敏度、声音清晰明亮；</w:t>
            </w:r>
          </w:p>
          <w:p w14:paraId="545E2003">
            <w:pPr>
              <w:numPr>
                <w:ilvl w:val="0"/>
                <w:numId w:val="119"/>
              </w:numPr>
              <w:ind w:firstLine="0"/>
              <w:jc w:val="left"/>
              <w:rPr>
                <w:rFonts w:ascii="宋体" w:hAnsi="宋体" w:cs="宋体"/>
                <w:color w:val="auto"/>
                <w:sz w:val="24"/>
                <w:szCs w:val="24"/>
              </w:rPr>
            </w:pPr>
            <w:r>
              <w:rPr>
                <w:rFonts w:ascii="宋体" w:hAnsi="宋体" w:cs="宋体"/>
                <w:color w:val="auto"/>
                <w:sz w:val="24"/>
                <w:szCs w:val="24"/>
              </w:rPr>
              <w:t>采用进口功放电路、性能高效、低失真、低损耗；</w:t>
            </w:r>
          </w:p>
          <w:p w14:paraId="071F1CA7">
            <w:pPr>
              <w:numPr>
                <w:ilvl w:val="0"/>
                <w:numId w:val="119"/>
              </w:numPr>
              <w:ind w:firstLine="0"/>
              <w:jc w:val="left"/>
              <w:rPr>
                <w:rFonts w:ascii="宋体" w:hAnsi="宋体" w:cs="宋体"/>
                <w:color w:val="auto"/>
                <w:sz w:val="24"/>
                <w:szCs w:val="24"/>
              </w:rPr>
            </w:pPr>
            <w:r>
              <w:rPr>
                <w:rFonts w:ascii="宋体" w:hAnsi="宋体" w:cs="宋体"/>
                <w:color w:val="auto"/>
                <w:sz w:val="24"/>
                <w:szCs w:val="24"/>
              </w:rPr>
              <w:t>具有1路非平衡信号输入、插拔式端子；</w:t>
            </w:r>
          </w:p>
          <w:p w14:paraId="5A2C9121">
            <w:pPr>
              <w:numPr>
                <w:ilvl w:val="0"/>
                <w:numId w:val="119"/>
              </w:numPr>
              <w:ind w:firstLine="0"/>
              <w:jc w:val="left"/>
              <w:rPr>
                <w:rFonts w:ascii="宋体" w:hAnsi="宋体" w:cs="宋体"/>
                <w:color w:val="auto"/>
                <w:sz w:val="24"/>
                <w:szCs w:val="24"/>
              </w:rPr>
            </w:pPr>
            <w:r>
              <w:rPr>
                <w:rFonts w:ascii="宋体" w:hAnsi="宋体" w:cs="宋体"/>
                <w:color w:val="auto"/>
                <w:sz w:val="24"/>
                <w:szCs w:val="24"/>
              </w:rPr>
              <w:t>具有1组短路控制线，控制内存6首歌曲，内置16M音频存储空间，可以通过外置USB接口擦除拷贝6首音乐，通过拨码开关选择预设音乐信号，通过触发播放预设语音节目</w:t>
            </w:r>
            <w:r>
              <w:rPr>
                <w:rFonts w:hint="eastAsia" w:ascii="宋体" w:hAnsi="宋体" w:cs="宋体"/>
                <w:color w:val="auto"/>
                <w:sz w:val="24"/>
                <w:szCs w:val="24"/>
              </w:rPr>
              <w:t>；</w:t>
            </w:r>
          </w:p>
          <w:p w14:paraId="4A9FBFF0">
            <w:pPr>
              <w:numPr>
                <w:ilvl w:val="0"/>
                <w:numId w:val="119"/>
              </w:numPr>
              <w:ind w:firstLine="0"/>
              <w:jc w:val="left"/>
              <w:rPr>
                <w:rFonts w:ascii="宋体" w:hAnsi="宋体" w:cs="宋体"/>
                <w:color w:val="auto"/>
                <w:sz w:val="24"/>
                <w:szCs w:val="24"/>
              </w:rPr>
            </w:pPr>
            <w:r>
              <w:rPr>
                <w:rFonts w:ascii="宋体" w:hAnsi="宋体" w:cs="宋体"/>
                <w:color w:val="auto"/>
                <w:sz w:val="24"/>
                <w:szCs w:val="24"/>
              </w:rPr>
              <w:t>适合于室外背景音乐场所、壁挂式安装；</w:t>
            </w:r>
          </w:p>
          <w:p w14:paraId="0AA53624">
            <w:pPr>
              <w:numPr>
                <w:ilvl w:val="0"/>
                <w:numId w:val="119"/>
              </w:numPr>
              <w:ind w:firstLine="0"/>
              <w:jc w:val="left"/>
              <w:rPr>
                <w:rFonts w:ascii="宋体" w:hAnsi="宋体" w:cs="宋体"/>
                <w:color w:val="auto"/>
                <w:sz w:val="24"/>
                <w:szCs w:val="24"/>
              </w:rPr>
            </w:pPr>
            <w:r>
              <w:rPr>
                <w:rFonts w:ascii="宋体" w:hAnsi="宋体" w:cs="宋体"/>
                <w:color w:val="auto"/>
                <w:sz w:val="24"/>
                <w:szCs w:val="24"/>
              </w:rPr>
              <w:t>额定功率：20W；</w:t>
            </w:r>
          </w:p>
          <w:p w14:paraId="170D5700">
            <w:pPr>
              <w:numPr>
                <w:ilvl w:val="0"/>
                <w:numId w:val="119"/>
              </w:numPr>
              <w:ind w:firstLine="0"/>
              <w:jc w:val="left"/>
              <w:rPr>
                <w:rFonts w:ascii="宋体" w:hAnsi="宋体" w:cs="宋体"/>
                <w:color w:val="auto"/>
                <w:sz w:val="24"/>
                <w:szCs w:val="24"/>
              </w:rPr>
            </w:pPr>
            <w:r>
              <w:rPr>
                <w:rFonts w:ascii="宋体" w:hAnsi="宋体" w:cs="宋体"/>
                <w:color w:val="auto"/>
                <w:sz w:val="24"/>
                <w:szCs w:val="24"/>
              </w:rPr>
              <w:t>线路输入：10kohms(Ω)300Mv非平衡信号；</w:t>
            </w:r>
          </w:p>
          <w:p w14:paraId="3A980B88">
            <w:pPr>
              <w:numPr>
                <w:ilvl w:val="0"/>
                <w:numId w:val="119"/>
              </w:numPr>
              <w:ind w:firstLine="0"/>
              <w:jc w:val="left"/>
              <w:rPr>
                <w:rFonts w:ascii="宋体" w:hAnsi="宋体" w:cs="宋体"/>
                <w:color w:val="auto"/>
                <w:sz w:val="24"/>
                <w:szCs w:val="24"/>
              </w:rPr>
            </w:pPr>
            <w:r>
              <w:rPr>
                <w:rFonts w:ascii="宋体" w:hAnsi="宋体" w:cs="宋体"/>
                <w:color w:val="auto"/>
                <w:sz w:val="24"/>
                <w:szCs w:val="24"/>
              </w:rPr>
              <w:t>频响：100Hz-18KHz（±3dB）；</w:t>
            </w:r>
          </w:p>
          <w:p w14:paraId="01535D16">
            <w:pPr>
              <w:numPr>
                <w:ilvl w:val="0"/>
                <w:numId w:val="119"/>
              </w:numPr>
              <w:ind w:firstLine="0"/>
              <w:jc w:val="left"/>
              <w:rPr>
                <w:rFonts w:ascii="宋体" w:hAnsi="宋体" w:cs="宋体"/>
                <w:color w:val="auto"/>
                <w:sz w:val="24"/>
                <w:szCs w:val="24"/>
              </w:rPr>
            </w:pPr>
            <w:r>
              <w:rPr>
                <w:rFonts w:ascii="宋体" w:hAnsi="宋体" w:cs="宋体"/>
                <w:color w:val="auto"/>
                <w:sz w:val="24"/>
                <w:szCs w:val="24"/>
              </w:rPr>
              <w:t>非线性失真THD：&lt;1%at1kHz，1/3额定输出功率；</w:t>
            </w:r>
          </w:p>
          <w:p w14:paraId="5B69319D">
            <w:pPr>
              <w:numPr>
                <w:ilvl w:val="0"/>
                <w:numId w:val="119"/>
              </w:numPr>
              <w:ind w:firstLine="0"/>
              <w:jc w:val="left"/>
              <w:rPr>
                <w:rFonts w:ascii="宋体" w:hAnsi="宋体" w:cs="宋体"/>
                <w:color w:val="auto"/>
                <w:sz w:val="24"/>
                <w:szCs w:val="24"/>
              </w:rPr>
            </w:pPr>
            <w:r>
              <w:rPr>
                <w:rFonts w:ascii="宋体" w:hAnsi="宋体" w:cs="宋体"/>
                <w:color w:val="auto"/>
                <w:sz w:val="24"/>
                <w:szCs w:val="24"/>
              </w:rPr>
              <w:t>信噪比S/N：&gt;70dB；</w:t>
            </w:r>
          </w:p>
          <w:p w14:paraId="447306E3">
            <w:pPr>
              <w:numPr>
                <w:ilvl w:val="0"/>
                <w:numId w:val="119"/>
              </w:numPr>
              <w:ind w:firstLine="0"/>
              <w:jc w:val="left"/>
              <w:rPr>
                <w:rFonts w:ascii="宋体" w:hAnsi="宋体" w:cs="宋体"/>
                <w:color w:val="auto"/>
                <w:sz w:val="24"/>
                <w:szCs w:val="24"/>
              </w:rPr>
            </w:pPr>
            <w:r>
              <w:rPr>
                <w:rFonts w:ascii="宋体" w:hAnsi="宋体" w:cs="宋体"/>
                <w:color w:val="auto"/>
                <w:sz w:val="24"/>
                <w:szCs w:val="24"/>
              </w:rPr>
              <w:t>喇叭单元：4"防水全频单元*1；2"高音*1保护：内置贴片保险丝；</w:t>
            </w:r>
          </w:p>
          <w:p w14:paraId="75EA8C8A">
            <w:pPr>
              <w:numPr>
                <w:ilvl w:val="0"/>
                <w:numId w:val="119"/>
              </w:numPr>
              <w:ind w:firstLine="0"/>
              <w:jc w:val="left"/>
              <w:rPr>
                <w:rFonts w:ascii="宋体" w:hAnsi="宋体" w:cs="宋体"/>
                <w:color w:val="auto"/>
                <w:sz w:val="24"/>
                <w:szCs w:val="24"/>
              </w:rPr>
            </w:pPr>
            <w:r>
              <w:rPr>
                <w:rFonts w:ascii="宋体" w:hAnsi="宋体" w:cs="宋体"/>
                <w:color w:val="auto"/>
                <w:sz w:val="24"/>
                <w:szCs w:val="24"/>
              </w:rPr>
              <w:t>安装形式：支架式安装；</w:t>
            </w:r>
          </w:p>
          <w:p w14:paraId="4F3DB38A">
            <w:pPr>
              <w:numPr>
                <w:ilvl w:val="0"/>
                <w:numId w:val="119"/>
              </w:numPr>
              <w:ind w:firstLine="0"/>
              <w:jc w:val="left"/>
              <w:rPr>
                <w:rFonts w:ascii="宋体" w:hAnsi="宋体" w:cs="宋体"/>
                <w:color w:val="auto"/>
                <w:sz w:val="24"/>
                <w:szCs w:val="24"/>
              </w:rPr>
            </w:pPr>
            <w:r>
              <w:rPr>
                <w:rFonts w:ascii="宋体" w:hAnsi="宋体" w:cs="宋体"/>
                <w:color w:val="auto"/>
                <w:sz w:val="24"/>
                <w:szCs w:val="24"/>
              </w:rPr>
              <w:t>供电电压：AC220V/50Hz；</w:t>
            </w:r>
          </w:p>
          <w:p w14:paraId="5E8BB161">
            <w:pPr>
              <w:numPr>
                <w:ilvl w:val="0"/>
                <w:numId w:val="119"/>
              </w:numPr>
              <w:ind w:firstLine="0"/>
              <w:jc w:val="left"/>
              <w:rPr>
                <w:color w:val="auto"/>
              </w:rPr>
            </w:pPr>
            <w:r>
              <w:rPr>
                <w:rFonts w:ascii="宋体" w:hAnsi="宋体" w:cs="宋体"/>
                <w:color w:val="auto"/>
                <w:sz w:val="24"/>
                <w:szCs w:val="24"/>
              </w:rPr>
              <w:t>外壳尺寸：</w:t>
            </w:r>
            <w:r>
              <w:rPr>
                <w:rFonts w:hint="eastAsia" w:ascii="宋体" w:hAnsi="宋体" w:cs="宋体"/>
                <w:color w:val="auto"/>
                <w:kern w:val="0"/>
                <w:sz w:val="24"/>
                <w:szCs w:val="24"/>
                <w:lang w:bidi="ar"/>
              </w:rPr>
              <w:t>不低于</w:t>
            </w:r>
            <w:r>
              <w:rPr>
                <w:rFonts w:hint="eastAsia" w:ascii="宋体" w:hAnsi="宋体" w:cs="宋体"/>
                <w:color w:val="auto"/>
                <w:sz w:val="24"/>
                <w:szCs w:val="24"/>
              </w:rPr>
              <w:t>小于</w:t>
            </w:r>
            <w:r>
              <w:rPr>
                <w:rFonts w:ascii="宋体" w:hAnsi="宋体" w:cs="宋体"/>
                <w:color w:val="auto"/>
                <w:sz w:val="24"/>
                <w:szCs w:val="24"/>
              </w:rPr>
              <w:t>150×96×336mm</w:t>
            </w:r>
            <w:r>
              <w:rPr>
                <w:rFonts w:hint="eastAsia" w:ascii="宋体" w:hAnsi="宋体" w:cs="宋体"/>
                <w:color w:val="auto"/>
                <w:sz w:val="24"/>
                <w:szCs w:val="24"/>
              </w:rPr>
              <w:t>；</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8DD349">
            <w:pPr>
              <w:jc w:val="center"/>
              <w:rPr>
                <w:rFonts w:ascii="宋体" w:hAnsi="宋体" w:cs="宋体"/>
                <w:color w:val="auto"/>
                <w:sz w:val="24"/>
                <w:szCs w:val="24"/>
              </w:rPr>
            </w:pPr>
            <w:r>
              <w:rPr>
                <w:rFonts w:hint="eastAsia" w:ascii="宋体" w:hAnsi="宋体" w:cs="宋体"/>
                <w:color w:val="auto"/>
                <w:sz w:val="24"/>
                <w:szCs w:val="24"/>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3D037D">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4109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4FCA0B">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7</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E4CB59C">
            <w:pPr>
              <w:jc w:val="center"/>
              <w:rPr>
                <w:rFonts w:ascii="宋体" w:hAnsi="宋体" w:cs="宋体"/>
                <w:color w:val="auto"/>
                <w:sz w:val="24"/>
                <w:szCs w:val="24"/>
              </w:rPr>
            </w:pPr>
            <w:r>
              <w:rPr>
                <w:rFonts w:ascii="宋体" w:hAnsi="宋体" w:cs="宋体"/>
                <w:color w:val="auto"/>
                <w:sz w:val="24"/>
                <w:szCs w:val="24"/>
              </w:rPr>
              <w:t>AI盒子</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B0F391">
            <w:pPr>
              <w:numPr>
                <w:ilvl w:val="0"/>
                <w:numId w:val="120"/>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7633D2F1">
            <w:pPr>
              <w:widowControl/>
              <w:numPr>
                <w:ilvl w:val="0"/>
                <w:numId w:val="121"/>
              </w:numPr>
              <w:ind w:left="0" w:firstLine="0"/>
              <w:jc w:val="left"/>
              <w:textAlignment w:val="center"/>
              <w:rPr>
                <w:rFonts w:ascii="宋体" w:hAnsi="宋体" w:cs="宋体"/>
                <w:color w:val="auto"/>
                <w:sz w:val="24"/>
                <w:szCs w:val="24"/>
              </w:rPr>
            </w:pPr>
            <w:r>
              <w:rPr>
                <w:rFonts w:hint="eastAsia" w:ascii="宋体" w:hAnsi="宋体" w:cs="宋体"/>
                <w:color w:val="auto"/>
                <w:sz w:val="24"/>
                <w:szCs w:val="24"/>
              </w:rPr>
              <w:t>实现有害生物抓拍并上传系统预警；</w:t>
            </w:r>
          </w:p>
          <w:p w14:paraId="6A39F78A">
            <w:pPr>
              <w:widowControl/>
              <w:numPr>
                <w:ilvl w:val="0"/>
                <w:numId w:val="121"/>
              </w:numPr>
              <w:ind w:left="0" w:firstLine="0"/>
              <w:jc w:val="left"/>
              <w:textAlignment w:val="center"/>
              <w:rPr>
                <w:rFonts w:ascii="宋体" w:hAnsi="宋体" w:cs="宋体"/>
                <w:color w:val="auto"/>
                <w:sz w:val="24"/>
                <w:szCs w:val="24"/>
              </w:rPr>
            </w:pPr>
            <w:r>
              <w:rPr>
                <w:rFonts w:hint="eastAsia" w:ascii="宋体" w:hAnsi="宋体" w:cs="宋体"/>
                <w:color w:val="auto"/>
                <w:sz w:val="24"/>
                <w:szCs w:val="24"/>
              </w:rPr>
              <w:t>支持利旧普通摄像头做识别分析；</w:t>
            </w:r>
          </w:p>
          <w:p w14:paraId="008CAB04">
            <w:pPr>
              <w:widowControl/>
              <w:numPr>
                <w:ilvl w:val="0"/>
                <w:numId w:val="121"/>
              </w:numPr>
              <w:ind w:left="0" w:firstLine="0"/>
              <w:jc w:val="left"/>
              <w:textAlignment w:val="center"/>
              <w:rPr>
                <w:rFonts w:ascii="宋体" w:hAnsi="宋体" w:cs="宋体"/>
                <w:color w:val="auto"/>
                <w:sz w:val="24"/>
                <w:szCs w:val="24"/>
              </w:rPr>
            </w:pPr>
            <w:r>
              <w:rPr>
                <w:rFonts w:hint="eastAsia" w:ascii="宋体" w:hAnsi="宋体" w:cs="宋体"/>
                <w:color w:val="auto"/>
                <w:sz w:val="24"/>
                <w:szCs w:val="24"/>
              </w:rPr>
              <w:t>支持口罩、工服、工帽三白预警抓拍；</w:t>
            </w:r>
          </w:p>
          <w:p w14:paraId="6D37F6CD">
            <w:pPr>
              <w:numPr>
                <w:ilvl w:val="0"/>
                <w:numId w:val="120"/>
              </w:numPr>
              <w:ind w:left="0" w:firstLine="0"/>
              <w:jc w:val="left"/>
              <w:rPr>
                <w:rFonts w:ascii="宋体" w:hAnsi="宋体" w:cs="宋体"/>
                <w:color w:val="auto"/>
                <w:sz w:val="24"/>
                <w:szCs w:val="24"/>
              </w:rPr>
            </w:pPr>
            <w:r>
              <w:rPr>
                <w:rFonts w:hint="eastAsia" w:ascii="宋体" w:hAnsi="宋体" w:cs="宋体"/>
                <w:color w:val="auto"/>
                <w:sz w:val="24"/>
                <w:szCs w:val="24"/>
              </w:rPr>
              <w:t>设备参数：</w:t>
            </w:r>
          </w:p>
          <w:p w14:paraId="13262294">
            <w:pPr>
              <w:numPr>
                <w:ilvl w:val="0"/>
                <w:numId w:val="122"/>
              </w:numPr>
              <w:ind w:left="0" w:firstLine="0"/>
              <w:jc w:val="left"/>
              <w:rPr>
                <w:rFonts w:ascii="宋体" w:hAnsi="宋体" w:cs="宋体"/>
                <w:color w:val="auto"/>
                <w:sz w:val="24"/>
                <w:szCs w:val="24"/>
              </w:rPr>
            </w:pPr>
            <w:r>
              <w:rPr>
                <w:rFonts w:hint="eastAsia" w:ascii="宋体" w:hAnsi="宋体" w:cs="宋体"/>
                <w:color w:val="auto"/>
                <w:sz w:val="24"/>
                <w:szCs w:val="24"/>
              </w:rPr>
              <w:t>基本参数：</w:t>
            </w:r>
          </w:p>
          <w:p w14:paraId="596D0114">
            <w:pPr>
              <w:widowControl/>
              <w:numPr>
                <w:ilvl w:val="0"/>
                <w:numId w:val="123"/>
              </w:numPr>
              <w:ind w:firstLine="0"/>
              <w:jc w:val="left"/>
              <w:textAlignment w:val="center"/>
              <w:rPr>
                <w:rFonts w:ascii="宋体" w:hAnsi="宋体" w:cs="宋体"/>
                <w:color w:val="auto"/>
                <w:sz w:val="24"/>
                <w:szCs w:val="24"/>
              </w:rPr>
            </w:pPr>
            <w:r>
              <w:rPr>
                <w:rFonts w:hint="eastAsia" w:ascii="宋体" w:hAnsi="宋体" w:cs="宋体"/>
                <w:color w:val="auto"/>
                <w:sz w:val="24"/>
                <w:szCs w:val="24"/>
              </w:rPr>
              <w:t>处理器：六核处理器，双</w:t>
            </w:r>
            <w:r>
              <w:rPr>
                <w:rFonts w:ascii="宋体" w:hAnsi="宋体" w:cs="宋体"/>
                <w:color w:val="auto"/>
                <w:sz w:val="24"/>
                <w:szCs w:val="24"/>
              </w:rPr>
              <w:t>Cortex-A72+四Cortex-A53大小核CPU结构，频率不低于1.8GHz；</w:t>
            </w:r>
          </w:p>
          <w:p w14:paraId="7429D154">
            <w:pPr>
              <w:widowControl/>
              <w:numPr>
                <w:ilvl w:val="0"/>
                <w:numId w:val="123"/>
              </w:numPr>
              <w:ind w:firstLine="0"/>
              <w:jc w:val="left"/>
              <w:textAlignment w:val="center"/>
              <w:rPr>
                <w:rFonts w:ascii="宋体" w:hAnsi="宋体" w:cs="宋体"/>
                <w:color w:val="auto"/>
                <w:sz w:val="24"/>
                <w:szCs w:val="24"/>
              </w:rPr>
            </w:pPr>
            <w:r>
              <w:rPr>
                <w:rFonts w:ascii="宋体" w:hAnsi="宋体" w:cs="宋体"/>
                <w:color w:val="auto"/>
                <w:sz w:val="24"/>
                <w:szCs w:val="24"/>
              </w:rPr>
              <w:t>GPU：</w:t>
            </w:r>
            <w:r>
              <w:rPr>
                <w:rFonts w:hint="eastAsia" w:ascii="宋体" w:hAnsi="宋体" w:cs="宋体"/>
                <w:color w:val="auto"/>
                <w:sz w:val="24"/>
                <w:szCs w:val="24"/>
              </w:rPr>
              <w:t>四核</w:t>
            </w:r>
            <w:r>
              <w:rPr>
                <w:rFonts w:ascii="宋体" w:hAnsi="宋体" w:cs="宋体"/>
                <w:color w:val="auto"/>
                <w:sz w:val="24"/>
                <w:szCs w:val="24"/>
              </w:rPr>
              <w:t>GPU，支持OpenGLES1.1/2.0/3.0/3.1，OpenVG1.1，OpenCL；</w:t>
            </w:r>
          </w:p>
          <w:p w14:paraId="6D505B7B">
            <w:pPr>
              <w:numPr>
                <w:ilvl w:val="0"/>
                <w:numId w:val="122"/>
              </w:numPr>
              <w:ind w:left="0" w:firstLine="0"/>
              <w:jc w:val="left"/>
              <w:rPr>
                <w:rFonts w:ascii="宋体" w:hAnsi="宋体" w:cs="宋体"/>
                <w:color w:val="auto"/>
                <w:sz w:val="24"/>
                <w:szCs w:val="24"/>
              </w:rPr>
            </w:pPr>
            <w:r>
              <w:rPr>
                <w:rFonts w:hint="eastAsia" w:ascii="宋体" w:hAnsi="宋体" w:cs="宋体"/>
                <w:color w:val="auto"/>
                <w:sz w:val="24"/>
                <w:szCs w:val="24"/>
              </w:rPr>
              <w:t>接口参数：</w:t>
            </w:r>
          </w:p>
          <w:p w14:paraId="69A8373C">
            <w:pPr>
              <w:widowControl/>
              <w:numPr>
                <w:ilvl w:val="0"/>
                <w:numId w:val="124"/>
              </w:numPr>
              <w:ind w:firstLine="0"/>
              <w:jc w:val="left"/>
              <w:textAlignment w:val="center"/>
              <w:rPr>
                <w:rFonts w:ascii="宋体" w:hAnsi="宋体" w:cs="宋体"/>
                <w:color w:val="auto"/>
                <w:sz w:val="24"/>
                <w:szCs w:val="24"/>
              </w:rPr>
            </w:pPr>
            <w:r>
              <w:rPr>
                <w:rFonts w:ascii="宋体" w:hAnsi="宋体" w:cs="宋体"/>
                <w:color w:val="auto"/>
                <w:sz w:val="24"/>
                <w:szCs w:val="24"/>
              </w:rPr>
              <w:t>USB接口：USBx2；</w:t>
            </w:r>
          </w:p>
          <w:p w14:paraId="6636581F">
            <w:pPr>
              <w:widowControl/>
              <w:numPr>
                <w:ilvl w:val="0"/>
                <w:numId w:val="124"/>
              </w:numPr>
              <w:ind w:firstLine="0"/>
              <w:jc w:val="left"/>
              <w:textAlignment w:val="center"/>
              <w:rPr>
                <w:rFonts w:ascii="宋体" w:hAnsi="宋体" w:cs="宋体"/>
                <w:color w:val="auto"/>
                <w:sz w:val="24"/>
                <w:szCs w:val="24"/>
              </w:rPr>
            </w:pPr>
            <w:r>
              <w:rPr>
                <w:rFonts w:hint="eastAsia" w:ascii="宋体" w:hAnsi="宋体" w:cs="宋体"/>
                <w:color w:val="auto"/>
                <w:sz w:val="24"/>
                <w:szCs w:val="24"/>
              </w:rPr>
              <w:t>物联网接口：支持</w:t>
            </w:r>
            <w:r>
              <w:rPr>
                <w:rFonts w:ascii="宋体" w:hAnsi="宋体" w:cs="宋体"/>
                <w:color w:val="auto"/>
                <w:sz w:val="24"/>
                <w:szCs w:val="24"/>
              </w:rPr>
              <w:t>1个RS485；</w:t>
            </w:r>
          </w:p>
          <w:p w14:paraId="5AF436EC">
            <w:pPr>
              <w:numPr>
                <w:ilvl w:val="0"/>
                <w:numId w:val="122"/>
              </w:numPr>
              <w:ind w:left="0" w:firstLine="0"/>
              <w:jc w:val="left"/>
              <w:rPr>
                <w:rFonts w:ascii="宋体" w:hAnsi="宋体" w:cs="宋体"/>
                <w:color w:val="auto"/>
                <w:sz w:val="24"/>
                <w:szCs w:val="24"/>
              </w:rPr>
            </w:pPr>
            <w:r>
              <w:rPr>
                <w:rFonts w:hint="eastAsia" w:ascii="宋体" w:hAnsi="宋体" w:cs="宋体"/>
                <w:color w:val="auto"/>
                <w:sz w:val="24"/>
                <w:szCs w:val="24"/>
              </w:rPr>
              <w:t>其他参数：</w:t>
            </w:r>
          </w:p>
          <w:p w14:paraId="64C64A40">
            <w:pPr>
              <w:widowControl/>
              <w:numPr>
                <w:ilvl w:val="0"/>
                <w:numId w:val="125"/>
              </w:numPr>
              <w:ind w:firstLine="0"/>
              <w:jc w:val="left"/>
              <w:textAlignment w:val="center"/>
              <w:rPr>
                <w:rFonts w:ascii="宋体" w:hAnsi="宋体" w:cs="宋体"/>
                <w:color w:val="auto"/>
                <w:sz w:val="24"/>
                <w:szCs w:val="24"/>
              </w:rPr>
            </w:pPr>
            <w:r>
              <w:rPr>
                <w:rFonts w:ascii="宋体" w:hAnsi="宋体" w:cs="宋体"/>
                <w:color w:val="auto"/>
                <w:sz w:val="24"/>
                <w:szCs w:val="24"/>
              </w:rPr>
              <w:t>DX11，支持AFBC（帧缓冲压缩）；</w:t>
            </w:r>
          </w:p>
          <w:p w14:paraId="63D03227">
            <w:pPr>
              <w:widowControl/>
              <w:numPr>
                <w:ilvl w:val="0"/>
                <w:numId w:val="125"/>
              </w:numPr>
              <w:ind w:firstLine="0"/>
              <w:jc w:val="left"/>
              <w:textAlignment w:val="center"/>
              <w:rPr>
                <w:rFonts w:ascii="宋体" w:hAnsi="宋体" w:cs="宋体"/>
                <w:color w:val="auto"/>
                <w:sz w:val="24"/>
                <w:szCs w:val="24"/>
              </w:rPr>
            </w:pPr>
            <w:r>
              <w:rPr>
                <w:rFonts w:hint="eastAsia" w:ascii="宋体" w:hAnsi="宋体" w:cs="宋体"/>
                <w:color w:val="auto"/>
                <w:sz w:val="24"/>
                <w:szCs w:val="24"/>
              </w:rPr>
              <w:t>内存与</w:t>
            </w:r>
            <w:r>
              <w:rPr>
                <w:rFonts w:ascii="宋体" w:hAnsi="宋体" w:cs="宋体"/>
                <w:color w:val="auto"/>
                <w:sz w:val="24"/>
                <w:szCs w:val="24"/>
              </w:rPr>
              <w:t>flash：4G内存、64G芯片存储；</w:t>
            </w:r>
          </w:p>
          <w:p w14:paraId="283C6E17">
            <w:pPr>
              <w:widowControl/>
              <w:numPr>
                <w:ilvl w:val="0"/>
                <w:numId w:val="125"/>
              </w:numPr>
              <w:ind w:firstLine="0"/>
              <w:jc w:val="left"/>
              <w:textAlignment w:val="center"/>
              <w:rPr>
                <w:rFonts w:ascii="宋体" w:hAnsi="宋体" w:cs="宋体"/>
                <w:color w:val="auto"/>
                <w:sz w:val="24"/>
                <w:szCs w:val="24"/>
              </w:rPr>
            </w:pPr>
            <w:r>
              <w:rPr>
                <w:rFonts w:hint="eastAsia" w:ascii="宋体" w:hAnsi="宋体" w:cs="宋体"/>
                <w:color w:val="auto"/>
                <w:sz w:val="24"/>
                <w:szCs w:val="24"/>
              </w:rPr>
              <w:t>存储：内置监控级硬盘，最大支持</w:t>
            </w:r>
            <w:r>
              <w:rPr>
                <w:rFonts w:ascii="宋体" w:hAnsi="宋体" w:cs="宋体"/>
                <w:color w:val="auto"/>
                <w:sz w:val="24"/>
                <w:szCs w:val="24"/>
              </w:rPr>
              <w:t>16TB；</w:t>
            </w:r>
          </w:p>
          <w:p w14:paraId="2057A2E5">
            <w:pPr>
              <w:widowControl/>
              <w:numPr>
                <w:ilvl w:val="0"/>
                <w:numId w:val="125"/>
              </w:numPr>
              <w:ind w:firstLine="0"/>
              <w:jc w:val="left"/>
              <w:textAlignment w:val="center"/>
              <w:rPr>
                <w:rFonts w:ascii="宋体" w:hAnsi="宋体" w:cs="宋体"/>
                <w:color w:val="auto"/>
                <w:sz w:val="24"/>
                <w:szCs w:val="24"/>
              </w:rPr>
            </w:pPr>
            <w:r>
              <w:rPr>
                <w:rFonts w:hint="eastAsia" w:ascii="宋体" w:hAnsi="宋体" w:cs="宋体"/>
                <w:color w:val="auto"/>
                <w:sz w:val="24"/>
                <w:szCs w:val="24"/>
              </w:rPr>
              <w:t>报警输入输出：</w:t>
            </w:r>
            <w:r>
              <w:rPr>
                <w:rFonts w:ascii="宋体" w:hAnsi="宋体" w:cs="宋体"/>
                <w:color w:val="auto"/>
                <w:sz w:val="24"/>
                <w:szCs w:val="24"/>
              </w:rPr>
              <w:t>GPIO口：2进1出，可接开关量报警探头和联动输出电路控制设备；</w:t>
            </w:r>
          </w:p>
          <w:p w14:paraId="030EBC78">
            <w:pPr>
              <w:widowControl/>
              <w:numPr>
                <w:ilvl w:val="0"/>
                <w:numId w:val="125"/>
              </w:numPr>
              <w:ind w:firstLine="0"/>
              <w:jc w:val="left"/>
              <w:textAlignment w:val="center"/>
              <w:rPr>
                <w:rFonts w:ascii="宋体" w:hAnsi="宋体" w:cs="宋体"/>
                <w:color w:val="auto"/>
                <w:sz w:val="24"/>
                <w:szCs w:val="24"/>
              </w:rPr>
            </w:pPr>
            <w:r>
              <w:rPr>
                <w:rFonts w:hint="eastAsia" w:ascii="宋体" w:hAnsi="宋体" w:cs="宋体"/>
                <w:color w:val="auto"/>
                <w:sz w:val="24"/>
                <w:szCs w:val="24"/>
              </w:rPr>
              <w:t>音频输入输出：</w:t>
            </w:r>
            <w:r>
              <w:rPr>
                <w:rFonts w:ascii="宋体" w:hAnsi="宋体" w:cs="宋体"/>
                <w:color w:val="auto"/>
                <w:sz w:val="24"/>
                <w:szCs w:val="24"/>
              </w:rPr>
              <w:t>RCA接口1进1出，外部MIC插孔（3.5MM）1个；</w:t>
            </w:r>
          </w:p>
          <w:p w14:paraId="69F12EBF">
            <w:pPr>
              <w:widowControl/>
              <w:numPr>
                <w:ilvl w:val="0"/>
                <w:numId w:val="125"/>
              </w:numPr>
              <w:ind w:firstLine="0"/>
              <w:jc w:val="left"/>
              <w:textAlignment w:val="center"/>
              <w:rPr>
                <w:rFonts w:ascii="宋体" w:hAnsi="宋体" w:cs="宋体"/>
                <w:color w:val="auto"/>
                <w:sz w:val="24"/>
                <w:szCs w:val="24"/>
              </w:rPr>
            </w:pPr>
            <w:r>
              <w:rPr>
                <w:rFonts w:hint="eastAsia" w:ascii="宋体" w:hAnsi="宋体" w:cs="宋体"/>
                <w:color w:val="auto"/>
                <w:sz w:val="24"/>
                <w:szCs w:val="24"/>
              </w:rPr>
              <w:t>视频输出：</w:t>
            </w:r>
            <w:r>
              <w:rPr>
                <w:rFonts w:ascii="宋体" w:hAnsi="宋体" w:cs="宋体"/>
                <w:color w:val="auto"/>
                <w:sz w:val="24"/>
                <w:szCs w:val="24"/>
              </w:rPr>
              <w:t>HDMIx1；</w:t>
            </w:r>
          </w:p>
          <w:p w14:paraId="0645815E">
            <w:pPr>
              <w:widowControl/>
              <w:numPr>
                <w:ilvl w:val="0"/>
                <w:numId w:val="125"/>
              </w:numPr>
              <w:ind w:firstLine="0"/>
              <w:jc w:val="left"/>
              <w:textAlignment w:val="center"/>
              <w:rPr>
                <w:rFonts w:ascii="宋体" w:hAnsi="宋体" w:cs="宋体"/>
                <w:color w:val="auto"/>
                <w:sz w:val="24"/>
                <w:szCs w:val="24"/>
              </w:rPr>
            </w:pPr>
            <w:r>
              <w:rPr>
                <w:rFonts w:ascii="宋体" w:hAnsi="宋体" w:cs="宋体"/>
                <w:color w:val="auto"/>
                <w:sz w:val="24"/>
                <w:szCs w:val="24"/>
              </w:rPr>
              <w:t>WiFi/4G/5G:WiFi/4G/5G；</w:t>
            </w:r>
          </w:p>
          <w:p w14:paraId="65E9E85B">
            <w:pPr>
              <w:widowControl/>
              <w:numPr>
                <w:ilvl w:val="0"/>
                <w:numId w:val="125"/>
              </w:numPr>
              <w:ind w:firstLine="0"/>
              <w:jc w:val="left"/>
              <w:textAlignment w:val="center"/>
              <w:rPr>
                <w:rFonts w:ascii="宋体" w:hAnsi="宋体" w:cs="宋体"/>
                <w:color w:val="auto"/>
                <w:sz w:val="24"/>
                <w:szCs w:val="24"/>
              </w:rPr>
            </w:pPr>
            <w:r>
              <w:rPr>
                <w:rFonts w:hint="eastAsia" w:ascii="宋体" w:hAnsi="宋体" w:cs="宋体"/>
                <w:color w:val="auto"/>
                <w:sz w:val="24"/>
                <w:szCs w:val="24"/>
              </w:rPr>
              <w:t>工作湿度：≤</w:t>
            </w:r>
            <w:r>
              <w:rPr>
                <w:rFonts w:ascii="宋体" w:hAnsi="宋体" w:cs="宋体"/>
                <w:color w:val="auto"/>
                <w:sz w:val="24"/>
                <w:szCs w:val="24"/>
              </w:rPr>
              <w:t>90%；</w:t>
            </w:r>
          </w:p>
          <w:p w14:paraId="728DFF39">
            <w:pPr>
              <w:widowControl/>
              <w:numPr>
                <w:ilvl w:val="0"/>
                <w:numId w:val="125"/>
              </w:numPr>
              <w:ind w:firstLine="0"/>
              <w:jc w:val="left"/>
              <w:textAlignment w:val="center"/>
              <w:rPr>
                <w:rFonts w:ascii="宋体" w:hAnsi="宋体" w:cs="宋体"/>
                <w:color w:val="auto"/>
                <w:sz w:val="24"/>
                <w:szCs w:val="24"/>
              </w:rPr>
            </w:pPr>
            <w:r>
              <w:rPr>
                <w:rFonts w:hint="eastAsia" w:ascii="宋体" w:hAnsi="宋体" w:cs="宋体"/>
                <w:color w:val="auto"/>
                <w:sz w:val="24"/>
                <w:szCs w:val="24"/>
              </w:rPr>
              <w:t>工作温度：</w:t>
            </w:r>
            <w:r>
              <w:rPr>
                <w:rFonts w:ascii="宋体" w:hAnsi="宋体" w:cs="宋体"/>
                <w:color w:val="auto"/>
                <w:sz w:val="24"/>
                <w:szCs w:val="24"/>
              </w:rPr>
              <w:t>-10℃~+50℃；</w:t>
            </w:r>
          </w:p>
          <w:p w14:paraId="0CF2CB55">
            <w:pPr>
              <w:widowControl/>
              <w:numPr>
                <w:ilvl w:val="0"/>
                <w:numId w:val="125"/>
              </w:numPr>
              <w:ind w:firstLine="0"/>
              <w:jc w:val="left"/>
              <w:textAlignment w:val="center"/>
              <w:rPr>
                <w:rFonts w:ascii="宋体" w:hAnsi="宋体" w:cs="宋体"/>
                <w:color w:val="auto"/>
                <w:sz w:val="24"/>
                <w:szCs w:val="24"/>
              </w:rPr>
            </w:pPr>
            <w:r>
              <w:rPr>
                <w:rFonts w:hint="eastAsia" w:ascii="宋体" w:hAnsi="宋体" w:cs="宋体"/>
                <w:color w:val="auto"/>
                <w:sz w:val="24"/>
                <w:szCs w:val="24"/>
              </w:rPr>
              <w:t>电源：</w:t>
            </w:r>
            <w:r>
              <w:rPr>
                <w:rFonts w:ascii="宋体" w:hAnsi="宋体" w:cs="宋体"/>
                <w:color w:val="auto"/>
                <w:sz w:val="24"/>
                <w:szCs w:val="24"/>
              </w:rPr>
              <w:t>DC12V5A；</w:t>
            </w:r>
          </w:p>
          <w:p w14:paraId="2934B16D">
            <w:pPr>
              <w:widowControl/>
              <w:numPr>
                <w:ilvl w:val="0"/>
                <w:numId w:val="125"/>
              </w:numPr>
              <w:ind w:firstLine="0"/>
              <w:jc w:val="left"/>
              <w:textAlignment w:val="center"/>
              <w:rPr>
                <w:rFonts w:ascii="宋体" w:hAnsi="宋体" w:cs="宋体"/>
                <w:color w:val="auto"/>
                <w:sz w:val="24"/>
                <w:szCs w:val="24"/>
              </w:rPr>
            </w:pPr>
            <w:r>
              <w:rPr>
                <w:rFonts w:hint="eastAsia" w:ascii="宋体" w:hAnsi="宋体" w:cs="宋体"/>
                <w:color w:val="auto"/>
                <w:sz w:val="24"/>
                <w:szCs w:val="24"/>
              </w:rPr>
              <w:t>尺寸：</w:t>
            </w:r>
            <w:r>
              <w:rPr>
                <w:rFonts w:hint="eastAsia" w:ascii="宋体" w:hAnsi="宋体" w:cs="宋体"/>
                <w:color w:val="auto"/>
                <w:kern w:val="0"/>
                <w:sz w:val="24"/>
                <w:szCs w:val="24"/>
                <w:lang w:bidi="ar"/>
              </w:rPr>
              <w:t>不低于</w:t>
            </w:r>
            <w:r>
              <w:rPr>
                <w:rFonts w:ascii="宋体" w:hAnsi="宋体" w:cs="宋体"/>
                <w:color w:val="auto"/>
                <w:sz w:val="24"/>
                <w:szCs w:val="24"/>
              </w:rPr>
              <w:t>320mm×214mm×40mm（长宽高）；</w:t>
            </w:r>
          </w:p>
        </w:tc>
        <w:tc>
          <w:tcPr>
            <w:tcW w:w="8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73B74A6">
            <w:pPr>
              <w:jc w:val="center"/>
              <w:rPr>
                <w:rFonts w:ascii="宋体" w:hAnsi="宋体" w:cs="宋体"/>
                <w:color w:val="auto"/>
                <w:sz w:val="24"/>
                <w:szCs w:val="24"/>
              </w:rPr>
            </w:pPr>
            <w:r>
              <w:rPr>
                <w:rFonts w:hint="eastAsia" w:ascii="宋体" w:hAnsi="宋体" w:cs="宋体"/>
                <w:color w:val="auto"/>
                <w:sz w:val="24"/>
                <w:szCs w:val="24"/>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EA8EE3">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2ADD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6E009717">
            <w:pPr>
              <w:widowControl/>
              <w:jc w:val="center"/>
              <w:textAlignment w:val="center"/>
              <w:rPr>
                <w:rFonts w:ascii="宋体" w:hAnsi="宋体" w:cs="宋体"/>
                <w:color w:val="auto"/>
                <w:sz w:val="24"/>
                <w:szCs w:val="24"/>
              </w:rPr>
            </w:pPr>
            <w:r>
              <w:rPr>
                <w:rFonts w:ascii="宋体" w:hAnsi="宋体" w:cs="宋体"/>
                <w:color w:val="auto"/>
                <w:kern w:val="0"/>
                <w:sz w:val="24"/>
                <w:szCs w:val="24"/>
                <w:lang w:bidi="ar"/>
              </w:rPr>
              <w:t>8</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5AD2D0C">
            <w:pPr>
              <w:jc w:val="center"/>
              <w:rPr>
                <w:rFonts w:ascii="宋体" w:hAnsi="宋体" w:cs="宋体"/>
                <w:color w:val="auto"/>
                <w:sz w:val="24"/>
                <w:szCs w:val="24"/>
              </w:rPr>
            </w:pPr>
            <w:r>
              <w:rPr>
                <w:rFonts w:hint="eastAsia" w:ascii="宋体" w:hAnsi="宋体" w:cs="宋体"/>
                <w:color w:val="auto"/>
                <w:sz w:val="24"/>
                <w:szCs w:val="24"/>
              </w:rPr>
              <w:t>数据驾驶舱</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34FFAB80">
            <w:pPr>
              <w:numPr>
                <w:ilvl w:val="0"/>
                <w:numId w:val="126"/>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2642AB63">
            <w:pPr>
              <w:numPr>
                <w:ilvl w:val="0"/>
                <w:numId w:val="127"/>
              </w:numPr>
              <w:jc w:val="left"/>
              <w:rPr>
                <w:rFonts w:ascii="宋体" w:hAnsi="宋体" w:cs="宋体"/>
                <w:color w:val="auto"/>
                <w:sz w:val="24"/>
                <w:szCs w:val="24"/>
              </w:rPr>
            </w:pPr>
            <w:r>
              <w:rPr>
                <w:rFonts w:hint="eastAsia" w:ascii="宋体" w:hAnsi="宋体" w:cs="宋体"/>
                <w:color w:val="auto"/>
                <w:sz w:val="24"/>
                <w:szCs w:val="24"/>
              </w:rPr>
              <w:t>食堂信息公示：食堂证件、经营范围；</w:t>
            </w:r>
          </w:p>
          <w:p w14:paraId="4B47C1BD">
            <w:pPr>
              <w:numPr>
                <w:ilvl w:val="0"/>
                <w:numId w:val="127"/>
              </w:numPr>
              <w:jc w:val="left"/>
              <w:rPr>
                <w:rFonts w:ascii="宋体" w:hAnsi="宋体" w:cs="宋体"/>
                <w:color w:val="auto"/>
                <w:sz w:val="24"/>
                <w:szCs w:val="24"/>
              </w:rPr>
            </w:pPr>
            <w:r>
              <w:rPr>
                <w:rFonts w:hint="eastAsia" w:ascii="宋体" w:hAnsi="宋体" w:cs="宋体"/>
                <w:color w:val="auto"/>
                <w:sz w:val="24"/>
                <w:szCs w:val="24"/>
              </w:rPr>
              <w:t>人员健康安全：食堂人员安全：食堂基础信息、出勤晨检、着装行为监管、人员健康安全、烹饪行为监管、意见与反馈等六个维护公示；</w:t>
            </w:r>
          </w:p>
          <w:p w14:paraId="4125FFDA">
            <w:pPr>
              <w:numPr>
                <w:ilvl w:val="0"/>
                <w:numId w:val="127"/>
              </w:numPr>
              <w:jc w:val="left"/>
              <w:rPr>
                <w:rFonts w:ascii="宋体" w:hAnsi="宋体" w:cs="宋体"/>
                <w:color w:val="auto"/>
                <w:sz w:val="24"/>
                <w:szCs w:val="24"/>
              </w:rPr>
            </w:pPr>
            <w:r>
              <w:rPr>
                <w:rFonts w:hint="eastAsia" w:ascii="宋体" w:hAnsi="宋体" w:cs="宋体"/>
                <w:color w:val="auto"/>
                <w:sz w:val="24"/>
                <w:szCs w:val="24"/>
              </w:rPr>
              <w:t>菜品、存储环境、添加剂、供货商、农残、留样等六个维度公示；</w:t>
            </w:r>
          </w:p>
          <w:p w14:paraId="33C31996">
            <w:pPr>
              <w:numPr>
                <w:ilvl w:val="0"/>
                <w:numId w:val="127"/>
              </w:numPr>
              <w:jc w:val="left"/>
              <w:rPr>
                <w:rFonts w:ascii="宋体" w:hAnsi="宋体" w:cs="宋体"/>
                <w:color w:val="auto"/>
                <w:sz w:val="24"/>
                <w:szCs w:val="24"/>
              </w:rPr>
            </w:pPr>
            <w:r>
              <w:rPr>
                <w:rFonts w:hint="eastAsia" w:ascii="宋体" w:hAnsi="宋体" w:cs="宋体"/>
                <w:color w:val="auto"/>
                <w:sz w:val="24"/>
                <w:szCs w:val="24"/>
              </w:rPr>
              <w:t>智能监管状态公示：设备状态公示；</w:t>
            </w:r>
          </w:p>
          <w:p w14:paraId="37AC3901">
            <w:pPr>
              <w:numPr>
                <w:ilvl w:val="0"/>
                <w:numId w:val="127"/>
              </w:numPr>
              <w:jc w:val="left"/>
              <w:rPr>
                <w:rFonts w:ascii="宋体" w:hAnsi="宋体" w:cs="宋体"/>
                <w:color w:val="auto"/>
                <w:sz w:val="24"/>
                <w:szCs w:val="24"/>
              </w:rPr>
            </w:pPr>
            <w:r>
              <w:rPr>
                <w:rFonts w:hint="eastAsia" w:ascii="宋体" w:hAnsi="宋体" w:cs="宋体"/>
                <w:color w:val="auto"/>
                <w:sz w:val="24"/>
                <w:szCs w:val="24"/>
              </w:rPr>
              <w:t>食堂日管控执行进度公示；</w:t>
            </w:r>
          </w:p>
          <w:p w14:paraId="0F785211">
            <w:pPr>
              <w:numPr>
                <w:ilvl w:val="0"/>
                <w:numId w:val="127"/>
              </w:numPr>
              <w:jc w:val="left"/>
              <w:rPr>
                <w:rFonts w:ascii="宋体" w:hAnsi="宋体" w:cs="宋体"/>
                <w:color w:val="auto"/>
                <w:sz w:val="24"/>
                <w:szCs w:val="24"/>
              </w:rPr>
            </w:pPr>
            <w:r>
              <w:rPr>
                <w:rFonts w:hint="eastAsia" w:ascii="宋体" w:hAnsi="宋体" w:cs="宋体"/>
                <w:color w:val="auto"/>
                <w:sz w:val="24"/>
                <w:szCs w:val="24"/>
              </w:rPr>
              <w:t>食堂留样公示：留样记录、图片、冰箱状态；</w:t>
            </w:r>
          </w:p>
          <w:p w14:paraId="01A28453">
            <w:pPr>
              <w:numPr>
                <w:ilvl w:val="0"/>
                <w:numId w:val="127"/>
              </w:numPr>
              <w:jc w:val="left"/>
              <w:rPr>
                <w:rFonts w:ascii="宋体" w:hAnsi="宋体" w:cs="宋体"/>
                <w:color w:val="auto"/>
                <w:sz w:val="24"/>
                <w:szCs w:val="24"/>
              </w:rPr>
            </w:pPr>
            <w:r>
              <w:rPr>
                <w:rFonts w:hint="eastAsia" w:ascii="宋体" w:hAnsi="宋体" w:cs="宋体"/>
                <w:color w:val="auto"/>
                <w:sz w:val="24"/>
                <w:szCs w:val="24"/>
              </w:rPr>
              <w:t>后厨食安监管：数智场景数据公示；</w:t>
            </w:r>
          </w:p>
          <w:p w14:paraId="22074CA3">
            <w:pPr>
              <w:numPr>
                <w:ilvl w:val="0"/>
                <w:numId w:val="127"/>
              </w:numPr>
              <w:jc w:val="left"/>
              <w:rPr>
                <w:rFonts w:ascii="宋体" w:hAnsi="宋体" w:cs="宋体"/>
                <w:color w:val="auto"/>
                <w:sz w:val="24"/>
                <w:szCs w:val="24"/>
              </w:rPr>
            </w:pPr>
            <w:r>
              <w:rPr>
                <w:rFonts w:hint="eastAsia" w:ascii="宋体" w:hAnsi="宋体" w:cs="宋体"/>
                <w:color w:val="auto"/>
                <w:sz w:val="24"/>
                <w:szCs w:val="24"/>
              </w:rPr>
              <w:t>消毒台账公示：环境消毒、餐饮具消毒台账公示；</w:t>
            </w:r>
          </w:p>
          <w:p w14:paraId="026EAFE5">
            <w:pPr>
              <w:numPr>
                <w:ilvl w:val="0"/>
                <w:numId w:val="127"/>
              </w:numPr>
              <w:jc w:val="left"/>
              <w:rPr>
                <w:rFonts w:ascii="宋体" w:hAnsi="宋体" w:cs="宋体"/>
                <w:color w:val="auto"/>
                <w:sz w:val="24"/>
                <w:szCs w:val="24"/>
              </w:rPr>
            </w:pPr>
            <w:r>
              <w:rPr>
                <w:rFonts w:hint="eastAsia" w:ascii="宋体" w:hAnsi="宋体" w:cs="宋体"/>
                <w:color w:val="auto"/>
                <w:sz w:val="24"/>
                <w:szCs w:val="24"/>
              </w:rPr>
              <w:t>意见与反馈公示：负责人联系方式公示</w:t>
            </w:r>
          </w:p>
          <w:p w14:paraId="08B6CF5B">
            <w:pPr>
              <w:numPr>
                <w:ilvl w:val="0"/>
                <w:numId w:val="126"/>
              </w:numPr>
              <w:ind w:left="0" w:firstLine="0"/>
              <w:jc w:val="left"/>
              <w:rPr>
                <w:rFonts w:ascii="宋体" w:hAnsi="宋体" w:cs="宋体"/>
                <w:color w:val="auto"/>
                <w:sz w:val="24"/>
                <w:szCs w:val="24"/>
              </w:rPr>
            </w:pPr>
            <w:r>
              <w:rPr>
                <w:rFonts w:hint="eastAsia" w:ascii="宋体" w:hAnsi="宋体" w:cs="宋体"/>
                <w:color w:val="auto"/>
                <w:sz w:val="24"/>
                <w:szCs w:val="24"/>
              </w:rPr>
              <w:t>数据驾驶舱方案：</w:t>
            </w:r>
          </w:p>
          <w:p w14:paraId="4ACFAFEF">
            <w:pPr>
              <w:numPr>
                <w:ilvl w:val="0"/>
                <w:numId w:val="128"/>
              </w:numPr>
              <w:jc w:val="left"/>
              <w:rPr>
                <w:rFonts w:ascii="宋体" w:hAnsi="宋体" w:cs="宋体"/>
                <w:color w:val="auto"/>
                <w:sz w:val="24"/>
                <w:szCs w:val="24"/>
              </w:rPr>
            </w:pPr>
            <w:r>
              <w:rPr>
                <w:rFonts w:hint="eastAsia" w:ascii="宋体" w:hAnsi="宋体" w:cs="宋体"/>
                <w:color w:val="auto"/>
                <w:sz w:val="24"/>
                <w:szCs w:val="24"/>
              </w:rPr>
              <w:t>支持显示出勤信息公示：出勤统计，测温统计，出勤明细，测温明细；</w:t>
            </w:r>
          </w:p>
          <w:p w14:paraId="64502EB5">
            <w:pPr>
              <w:numPr>
                <w:ilvl w:val="0"/>
                <w:numId w:val="128"/>
              </w:numPr>
              <w:jc w:val="left"/>
              <w:rPr>
                <w:rFonts w:ascii="宋体" w:hAnsi="宋体" w:cs="宋体"/>
                <w:color w:val="auto"/>
                <w:sz w:val="24"/>
                <w:szCs w:val="24"/>
              </w:rPr>
            </w:pPr>
            <w:r>
              <w:rPr>
                <w:rFonts w:hint="eastAsia" w:ascii="宋体" w:hAnsi="宋体" w:cs="宋体"/>
                <w:color w:val="auto"/>
                <w:sz w:val="24"/>
                <w:szCs w:val="24"/>
              </w:rPr>
              <w:t>支持显示食堂证照信息公示：食堂评分，服务许可证，员工健康证；</w:t>
            </w:r>
          </w:p>
          <w:p w14:paraId="38CE56A6">
            <w:pPr>
              <w:numPr>
                <w:ilvl w:val="0"/>
                <w:numId w:val="128"/>
              </w:numPr>
              <w:jc w:val="left"/>
              <w:rPr>
                <w:rFonts w:ascii="宋体" w:hAnsi="宋体" w:cs="宋体"/>
                <w:color w:val="auto"/>
                <w:sz w:val="24"/>
                <w:szCs w:val="24"/>
              </w:rPr>
            </w:pPr>
            <w:r>
              <w:rPr>
                <w:rFonts w:hint="eastAsia" w:ascii="宋体" w:hAnsi="宋体" w:cs="宋体"/>
                <w:color w:val="auto"/>
                <w:sz w:val="24"/>
                <w:szCs w:val="24"/>
              </w:rPr>
              <w:t>支持显示数智管控公示：备餐间空气紫外线消毒状态，餐饮具消毒状态，刀具砧板消毒状态，仓库挡鼠板、红外光栅工作状态，自动灭火工作状态，后厨人员行为管控状态；</w:t>
            </w:r>
          </w:p>
          <w:p w14:paraId="55EBAB29">
            <w:pPr>
              <w:numPr>
                <w:ilvl w:val="0"/>
                <w:numId w:val="128"/>
              </w:numPr>
              <w:jc w:val="left"/>
              <w:rPr>
                <w:rFonts w:ascii="宋体" w:hAnsi="宋体" w:cs="宋体"/>
                <w:color w:val="auto"/>
                <w:sz w:val="24"/>
                <w:szCs w:val="24"/>
              </w:rPr>
            </w:pPr>
            <w:r>
              <w:rPr>
                <w:rFonts w:hint="eastAsia" w:ascii="宋体" w:hAnsi="宋体" w:cs="宋体"/>
                <w:color w:val="auto"/>
                <w:sz w:val="24"/>
                <w:szCs w:val="24"/>
              </w:rPr>
              <w:t>支持显示食堂留样公示：食堂留样信息；</w:t>
            </w:r>
          </w:p>
          <w:p w14:paraId="1CCCD148">
            <w:pPr>
              <w:numPr>
                <w:ilvl w:val="0"/>
                <w:numId w:val="128"/>
              </w:numPr>
              <w:jc w:val="left"/>
              <w:rPr>
                <w:rFonts w:ascii="宋体" w:hAnsi="宋体" w:cs="宋体"/>
                <w:color w:val="auto"/>
                <w:sz w:val="24"/>
                <w:szCs w:val="24"/>
              </w:rPr>
            </w:pPr>
            <w:r>
              <w:rPr>
                <w:rFonts w:hint="eastAsia" w:ascii="宋体" w:hAnsi="宋体" w:cs="宋体"/>
                <w:color w:val="auto"/>
                <w:sz w:val="24"/>
                <w:szCs w:val="24"/>
              </w:rPr>
              <w:t>支持显示食堂交流公示：食客建议信息，食堂服务提升回复信息，营业时间，食堂负责人信息；</w:t>
            </w:r>
          </w:p>
          <w:p w14:paraId="30E7A817">
            <w:pPr>
              <w:numPr>
                <w:ilvl w:val="0"/>
                <w:numId w:val="128"/>
              </w:numPr>
              <w:jc w:val="left"/>
              <w:rPr>
                <w:rFonts w:ascii="宋体" w:hAnsi="宋体" w:cs="宋体"/>
                <w:color w:val="auto"/>
                <w:sz w:val="24"/>
                <w:szCs w:val="24"/>
              </w:rPr>
            </w:pPr>
            <w:r>
              <w:rPr>
                <w:rFonts w:hint="eastAsia" w:ascii="宋体" w:hAnsi="宋体" w:cs="宋体"/>
                <w:color w:val="auto"/>
                <w:sz w:val="24"/>
                <w:szCs w:val="24"/>
              </w:rPr>
              <w:t>支持显示食堂检测公示：农药残留检测信息，添加剂使用检测信息；</w:t>
            </w:r>
          </w:p>
          <w:p w14:paraId="51EF05CB">
            <w:pPr>
              <w:numPr>
                <w:ilvl w:val="0"/>
                <w:numId w:val="128"/>
              </w:numPr>
              <w:jc w:val="left"/>
              <w:rPr>
                <w:rFonts w:ascii="宋体" w:hAnsi="宋体" w:cs="宋体"/>
                <w:color w:val="auto"/>
                <w:sz w:val="24"/>
                <w:szCs w:val="24"/>
              </w:rPr>
            </w:pPr>
            <w:r>
              <w:rPr>
                <w:rFonts w:hint="eastAsia" w:ascii="宋体" w:hAnsi="宋体" w:cs="宋体"/>
                <w:color w:val="auto"/>
                <w:sz w:val="24"/>
                <w:szCs w:val="24"/>
              </w:rPr>
              <w:t>支持显示环境公示：用餐大厅温湿度，主食</w:t>
            </w:r>
            <w:r>
              <w:rPr>
                <w:rFonts w:ascii="宋体" w:hAnsi="宋体" w:cs="宋体"/>
                <w:color w:val="auto"/>
                <w:sz w:val="24"/>
                <w:szCs w:val="24"/>
              </w:rPr>
              <w:t>/副食仓库温湿度，备餐间温湿度，食堂主要区域视频播放（明厨亮灶）；</w:t>
            </w:r>
          </w:p>
          <w:p w14:paraId="7894042E">
            <w:pPr>
              <w:numPr>
                <w:ilvl w:val="0"/>
                <w:numId w:val="126"/>
              </w:numPr>
              <w:ind w:left="0" w:firstLine="0"/>
              <w:jc w:val="left"/>
              <w:rPr>
                <w:rFonts w:ascii="宋体" w:hAnsi="宋体" w:cs="宋体"/>
                <w:color w:val="auto"/>
                <w:sz w:val="24"/>
                <w:szCs w:val="24"/>
              </w:rPr>
            </w:pPr>
            <w:r>
              <w:rPr>
                <w:rFonts w:ascii="宋体" w:hAnsi="宋体" w:cs="宋体"/>
                <w:color w:val="auto"/>
                <w:sz w:val="24"/>
                <w:szCs w:val="24"/>
              </w:rPr>
              <w:t>75寸屏幕设备参数：</w:t>
            </w:r>
          </w:p>
          <w:p w14:paraId="3E98F768">
            <w:pPr>
              <w:pStyle w:val="22"/>
              <w:numPr>
                <w:ilvl w:val="0"/>
                <w:numId w:val="116"/>
              </w:numPr>
              <w:ind w:left="0" w:firstLine="0"/>
              <w:rPr>
                <w:color w:val="auto"/>
              </w:rPr>
            </w:pPr>
            <w:r>
              <w:rPr>
                <w:rFonts w:hint="eastAsia" w:ascii="宋体" w:hAnsi="宋体" w:eastAsia="宋体" w:cs="宋体"/>
                <w:color w:val="auto"/>
                <w:sz w:val="24"/>
                <w:szCs w:val="24"/>
              </w:rPr>
              <w:t>主要参数：</w:t>
            </w:r>
          </w:p>
          <w:p w14:paraId="349FC436">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背光类型：</w:t>
            </w:r>
            <w:r>
              <w:rPr>
                <w:rFonts w:ascii="宋体" w:hAnsi="宋体" w:cs="宋体"/>
                <w:color w:val="auto"/>
                <w:sz w:val="24"/>
                <w:szCs w:val="24"/>
              </w:rPr>
              <w:t>LED；</w:t>
            </w:r>
          </w:p>
          <w:p w14:paraId="00C37891">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屏幕分辨率：</w:t>
            </w:r>
            <w:r>
              <w:rPr>
                <w:rFonts w:ascii="宋体" w:hAnsi="宋体" w:cs="宋体"/>
                <w:color w:val="auto"/>
                <w:sz w:val="24"/>
                <w:szCs w:val="24"/>
              </w:rPr>
              <w:t>3840（H）*2160（V）；</w:t>
            </w:r>
          </w:p>
          <w:p w14:paraId="64D9B6A0">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视角：</w:t>
            </w:r>
            <w:r>
              <w:rPr>
                <w:rFonts w:ascii="宋体" w:hAnsi="宋体" w:cs="宋体"/>
                <w:color w:val="auto"/>
                <w:sz w:val="24"/>
                <w:szCs w:val="24"/>
              </w:rPr>
              <w:t>178°；</w:t>
            </w:r>
          </w:p>
          <w:p w14:paraId="66313012">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颜色：</w:t>
            </w:r>
            <w:r>
              <w:rPr>
                <w:rFonts w:ascii="宋体" w:hAnsi="宋体" w:cs="宋体"/>
                <w:color w:val="auto"/>
                <w:sz w:val="24"/>
                <w:szCs w:val="24"/>
              </w:rPr>
              <w:t>66.8m；</w:t>
            </w:r>
          </w:p>
          <w:p w14:paraId="72BE6959">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亮度：</w:t>
            </w:r>
            <w:r>
              <w:rPr>
                <w:rFonts w:ascii="宋体" w:hAnsi="宋体" w:cs="宋体"/>
                <w:color w:val="auto"/>
                <w:sz w:val="24"/>
                <w:szCs w:val="24"/>
              </w:rPr>
              <w:t>350（cd/m2）10±；</w:t>
            </w:r>
          </w:p>
          <w:p w14:paraId="235B044D">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对比度：</w:t>
            </w:r>
            <w:r>
              <w:rPr>
                <w:rFonts w:ascii="宋体" w:hAnsi="宋体" w:cs="宋体"/>
                <w:color w:val="auto"/>
                <w:sz w:val="24"/>
                <w:szCs w:val="24"/>
              </w:rPr>
              <w:t>4000:1；</w:t>
            </w:r>
          </w:p>
          <w:p w14:paraId="1C98A216">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响应时间：</w:t>
            </w:r>
            <w:r>
              <w:rPr>
                <w:rFonts w:ascii="宋体" w:hAnsi="宋体" w:cs="宋体"/>
                <w:color w:val="auto"/>
                <w:sz w:val="24"/>
                <w:szCs w:val="24"/>
              </w:rPr>
              <w:t>6ms；</w:t>
            </w:r>
          </w:p>
          <w:p w14:paraId="733BCB41">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高清视频输入（</w:t>
            </w:r>
            <w:r>
              <w:rPr>
                <w:rFonts w:ascii="宋体" w:hAnsi="宋体" w:cs="宋体"/>
                <w:color w:val="auto"/>
                <w:sz w:val="24"/>
                <w:szCs w:val="24"/>
              </w:rPr>
              <w:t>HDMI）端口：二组；</w:t>
            </w:r>
          </w:p>
          <w:p w14:paraId="76AA1650">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模拟信号输入（</w:t>
            </w:r>
            <w:r>
              <w:rPr>
                <w:rFonts w:ascii="宋体" w:hAnsi="宋体" w:cs="宋体"/>
                <w:color w:val="auto"/>
                <w:sz w:val="24"/>
                <w:szCs w:val="24"/>
              </w:rPr>
              <w:t>RF）端口：一组；</w:t>
            </w:r>
          </w:p>
          <w:p w14:paraId="2D1E856B">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标准视频输入（</w:t>
            </w:r>
            <w:r>
              <w:rPr>
                <w:rFonts w:ascii="宋体" w:hAnsi="宋体" w:cs="宋体"/>
                <w:color w:val="auto"/>
                <w:sz w:val="24"/>
                <w:szCs w:val="24"/>
              </w:rPr>
              <w:t>AV）端口：二组；</w:t>
            </w:r>
          </w:p>
          <w:p w14:paraId="26B62B85">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音频输出（</w:t>
            </w:r>
            <w:r>
              <w:rPr>
                <w:rFonts w:ascii="宋体" w:hAnsi="宋体" w:cs="宋体"/>
                <w:color w:val="auto"/>
                <w:sz w:val="24"/>
                <w:szCs w:val="24"/>
              </w:rPr>
              <w:t>EARPHONE　OUT）端口：一组；</w:t>
            </w:r>
          </w:p>
          <w:p w14:paraId="4CCD3592">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运行内存：</w:t>
            </w:r>
            <w:r>
              <w:rPr>
                <w:rFonts w:ascii="宋体" w:hAnsi="宋体" w:cs="宋体"/>
                <w:color w:val="auto"/>
                <w:sz w:val="24"/>
                <w:szCs w:val="24"/>
              </w:rPr>
              <w:t>1G，机身内存8G；</w:t>
            </w:r>
          </w:p>
          <w:p w14:paraId="4906ACC7">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多媒体（</w:t>
            </w:r>
            <w:r>
              <w:rPr>
                <w:rFonts w:ascii="宋体" w:hAnsi="宋体" w:cs="宋体"/>
                <w:color w:val="auto"/>
                <w:sz w:val="24"/>
                <w:szCs w:val="24"/>
              </w:rPr>
              <w:t>USB3.0）端口：一组；</w:t>
            </w:r>
          </w:p>
          <w:p w14:paraId="1F137133">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电视系统：安卓系统</w:t>
            </w:r>
            <w:r>
              <w:rPr>
                <w:rFonts w:ascii="宋体" w:hAnsi="宋体" w:cs="宋体"/>
                <w:color w:val="auto"/>
                <w:sz w:val="24"/>
                <w:szCs w:val="24"/>
              </w:rPr>
              <w:tab/>
            </w:r>
            <w:r>
              <w:rPr>
                <w:rFonts w:ascii="宋体" w:hAnsi="宋体" w:cs="宋体"/>
                <w:color w:val="auto"/>
                <w:sz w:val="24"/>
                <w:szCs w:val="24"/>
              </w:rPr>
              <w:t>9；</w:t>
            </w:r>
          </w:p>
          <w:p w14:paraId="6AFC11FF">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图像制式：</w:t>
            </w:r>
            <w:r>
              <w:rPr>
                <w:rFonts w:ascii="宋体" w:hAnsi="宋体" w:cs="宋体"/>
                <w:color w:val="auto"/>
                <w:sz w:val="24"/>
                <w:szCs w:val="24"/>
              </w:rPr>
              <w:t>PAL/NTSC/SECAM；</w:t>
            </w:r>
          </w:p>
          <w:p w14:paraId="1A1FC2CF">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声音制式：</w:t>
            </w:r>
            <w:r>
              <w:rPr>
                <w:rFonts w:ascii="宋体" w:hAnsi="宋体" w:cs="宋体"/>
                <w:color w:val="auto"/>
                <w:sz w:val="24"/>
                <w:szCs w:val="24"/>
              </w:rPr>
              <w:t>DK/I/BG；</w:t>
            </w:r>
          </w:p>
          <w:p w14:paraId="152E53D5">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喇叭类型：内置喇叭高低音；</w:t>
            </w:r>
          </w:p>
          <w:p w14:paraId="1D2BA67E">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喇叭功率：</w:t>
            </w:r>
            <w:r>
              <w:rPr>
                <w:rFonts w:ascii="宋体" w:hAnsi="宋体" w:cs="宋体"/>
                <w:color w:val="auto"/>
                <w:sz w:val="24"/>
                <w:szCs w:val="24"/>
              </w:rPr>
              <w:t>8Ω10W；</w:t>
            </w:r>
          </w:p>
          <w:p w14:paraId="67D098C5">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相对湿度：≤</w:t>
            </w:r>
            <w:r>
              <w:rPr>
                <w:rFonts w:ascii="宋体" w:hAnsi="宋体" w:cs="宋体"/>
                <w:color w:val="auto"/>
                <w:sz w:val="24"/>
                <w:szCs w:val="24"/>
              </w:rPr>
              <w:t>80%；</w:t>
            </w:r>
          </w:p>
          <w:p w14:paraId="23A7AEE3">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存储湿度：</w:t>
            </w:r>
            <w:r>
              <w:rPr>
                <w:rFonts w:ascii="宋体" w:hAnsi="宋体" w:cs="宋体"/>
                <w:color w:val="auto"/>
                <w:sz w:val="24"/>
                <w:szCs w:val="24"/>
              </w:rPr>
              <w:t>-10～60℃；</w:t>
            </w:r>
          </w:p>
          <w:p w14:paraId="09609038">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使用湿度：</w:t>
            </w:r>
            <w:r>
              <w:rPr>
                <w:rFonts w:ascii="宋体" w:hAnsi="宋体" w:cs="宋体"/>
                <w:color w:val="auto"/>
                <w:sz w:val="24"/>
                <w:szCs w:val="24"/>
              </w:rPr>
              <w:t>0～40℃；</w:t>
            </w:r>
          </w:p>
          <w:p w14:paraId="612481E7">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输入电压：交流电</w:t>
            </w:r>
            <w:r>
              <w:rPr>
                <w:rFonts w:ascii="宋体" w:hAnsi="宋体" w:cs="宋体"/>
                <w:color w:val="auto"/>
                <w:sz w:val="24"/>
                <w:szCs w:val="24"/>
              </w:rPr>
              <w:t>110～240V50/60Hz；</w:t>
            </w:r>
          </w:p>
          <w:p w14:paraId="363B86B9">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功耗：</w:t>
            </w:r>
            <w:r>
              <w:rPr>
                <w:rFonts w:ascii="宋体" w:hAnsi="宋体" w:cs="宋体"/>
                <w:color w:val="auto"/>
                <w:sz w:val="24"/>
                <w:szCs w:val="24"/>
              </w:rPr>
              <w:t>280W；</w:t>
            </w:r>
          </w:p>
          <w:p w14:paraId="1E8A9863">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中国能效标识等级：</w:t>
            </w:r>
            <w:r>
              <w:rPr>
                <w:rFonts w:ascii="宋体" w:hAnsi="宋体" w:cs="宋体"/>
                <w:color w:val="auto"/>
                <w:sz w:val="24"/>
                <w:szCs w:val="24"/>
              </w:rPr>
              <w:t>3级；</w:t>
            </w:r>
          </w:p>
          <w:p w14:paraId="0C803A35">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电源规格：三合一电源（主板</w:t>
            </w:r>
            <w:r>
              <w:rPr>
                <w:rFonts w:ascii="宋体" w:hAnsi="宋体" w:cs="宋体"/>
                <w:color w:val="auto"/>
                <w:sz w:val="24"/>
                <w:szCs w:val="24"/>
              </w:rPr>
              <w:t>+背光+电源）；</w:t>
            </w:r>
          </w:p>
          <w:p w14:paraId="519CD18D">
            <w:pPr>
              <w:numPr>
                <w:ilvl w:val="0"/>
                <w:numId w:val="129"/>
              </w:numPr>
              <w:ind w:firstLine="0"/>
              <w:jc w:val="left"/>
              <w:rPr>
                <w:rFonts w:ascii="宋体" w:hAnsi="宋体" w:cs="宋体"/>
                <w:color w:val="auto"/>
                <w:sz w:val="24"/>
                <w:szCs w:val="24"/>
              </w:rPr>
            </w:pPr>
            <w:r>
              <w:rPr>
                <w:rFonts w:hint="eastAsia" w:ascii="宋体" w:hAnsi="宋体" w:cs="宋体"/>
                <w:color w:val="auto"/>
                <w:sz w:val="24"/>
                <w:szCs w:val="24"/>
              </w:rPr>
              <w:t>待机功率：＜</w:t>
            </w:r>
            <w:r>
              <w:rPr>
                <w:rFonts w:ascii="宋体" w:hAnsi="宋体" w:cs="宋体"/>
                <w:color w:val="auto"/>
                <w:sz w:val="24"/>
                <w:szCs w:val="24"/>
              </w:rPr>
              <w:t>0.5W；</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F938355">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725FBD32">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25B5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43176394">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9</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C2EB214">
            <w:pPr>
              <w:jc w:val="center"/>
              <w:rPr>
                <w:rFonts w:ascii="宋体" w:hAnsi="宋体" w:cs="宋体"/>
                <w:color w:val="auto"/>
                <w:sz w:val="24"/>
                <w:szCs w:val="24"/>
              </w:rPr>
            </w:pPr>
            <w:r>
              <w:rPr>
                <w:rFonts w:hint="eastAsia" w:ascii="宋体" w:hAnsi="宋体" w:cs="宋体"/>
                <w:color w:val="auto"/>
                <w:sz w:val="24"/>
                <w:szCs w:val="24"/>
              </w:rPr>
              <w:t>食安服务终端</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771C448A">
            <w:pPr>
              <w:numPr>
                <w:ilvl w:val="0"/>
                <w:numId w:val="130"/>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5AE66A96">
            <w:pPr>
              <w:numPr>
                <w:ilvl w:val="0"/>
                <w:numId w:val="131"/>
              </w:numPr>
              <w:ind w:left="0" w:firstLine="0"/>
              <w:jc w:val="left"/>
              <w:rPr>
                <w:rFonts w:ascii="宋体" w:hAnsi="宋体" w:cs="宋体"/>
                <w:color w:val="auto"/>
                <w:sz w:val="24"/>
                <w:szCs w:val="24"/>
              </w:rPr>
            </w:pPr>
            <w:r>
              <w:rPr>
                <w:rFonts w:hint="eastAsia" w:ascii="宋体" w:hAnsi="宋体" w:cs="宋体"/>
                <w:color w:val="auto"/>
                <w:sz w:val="24"/>
                <w:szCs w:val="24"/>
              </w:rPr>
              <w:t>可进行食堂菜品宣传、电子台账、明厨亮灶视频展示，可进行评价点评；</w:t>
            </w:r>
          </w:p>
          <w:p w14:paraId="0E63662F">
            <w:pPr>
              <w:numPr>
                <w:ilvl w:val="0"/>
                <w:numId w:val="131"/>
              </w:numPr>
              <w:ind w:left="0" w:firstLine="0"/>
              <w:jc w:val="left"/>
              <w:rPr>
                <w:rFonts w:ascii="宋体" w:hAnsi="宋体" w:cs="宋体"/>
                <w:color w:val="auto"/>
                <w:sz w:val="24"/>
                <w:szCs w:val="24"/>
              </w:rPr>
            </w:pPr>
            <w:r>
              <w:rPr>
                <w:rFonts w:hint="eastAsia" w:ascii="宋体" w:hAnsi="宋体" w:cs="宋体"/>
                <w:color w:val="auto"/>
                <w:sz w:val="24"/>
                <w:szCs w:val="24"/>
              </w:rPr>
              <w:t>用餐人员用餐反馈意见收集，统一渠道收集</w:t>
            </w:r>
            <w:r>
              <w:rPr>
                <w:rFonts w:ascii="宋体" w:hAnsi="宋体" w:cs="宋体"/>
                <w:color w:val="auto"/>
                <w:sz w:val="24"/>
                <w:szCs w:val="24"/>
              </w:rPr>
              <w:t>/答复食堂信息；</w:t>
            </w:r>
          </w:p>
          <w:p w14:paraId="3DECE875">
            <w:pPr>
              <w:numPr>
                <w:ilvl w:val="0"/>
                <w:numId w:val="130"/>
              </w:numPr>
              <w:ind w:left="0" w:firstLine="0"/>
              <w:jc w:val="left"/>
              <w:rPr>
                <w:rFonts w:ascii="宋体" w:hAnsi="宋体" w:cs="宋体"/>
                <w:color w:val="auto"/>
                <w:sz w:val="24"/>
                <w:szCs w:val="24"/>
              </w:rPr>
            </w:pPr>
            <w:r>
              <w:rPr>
                <w:rFonts w:hint="eastAsia" w:ascii="宋体" w:hAnsi="宋体" w:cs="宋体"/>
                <w:color w:val="auto"/>
                <w:sz w:val="24"/>
                <w:szCs w:val="24"/>
              </w:rPr>
              <w:t>设备参数</w:t>
            </w:r>
          </w:p>
          <w:p w14:paraId="37232777">
            <w:pPr>
              <w:pStyle w:val="22"/>
              <w:numPr>
                <w:ilvl w:val="0"/>
                <w:numId w:val="132"/>
              </w:numPr>
              <w:ind w:left="0" w:firstLine="0"/>
              <w:rPr>
                <w:rFonts w:ascii="宋体" w:hAnsi="宋体" w:cs="宋体"/>
                <w:color w:val="auto"/>
                <w:sz w:val="24"/>
                <w:szCs w:val="24"/>
              </w:rPr>
            </w:pPr>
            <w:r>
              <w:rPr>
                <w:rFonts w:hint="eastAsia" w:ascii="宋体" w:hAnsi="宋体" w:eastAsia="宋体" w:cs="宋体"/>
                <w:color w:val="auto"/>
                <w:sz w:val="24"/>
                <w:szCs w:val="24"/>
              </w:rPr>
              <w:t>显示</w:t>
            </w:r>
            <w:r>
              <w:rPr>
                <w:rFonts w:ascii="宋体" w:hAnsi="宋体" w:eastAsia="宋体" w:cs="宋体"/>
                <w:color w:val="auto"/>
                <w:sz w:val="24"/>
                <w:szCs w:val="24"/>
              </w:rPr>
              <w:t>/触摸参数：</w:t>
            </w:r>
          </w:p>
          <w:p w14:paraId="2A3F4E23">
            <w:pPr>
              <w:numPr>
                <w:ilvl w:val="0"/>
                <w:numId w:val="133"/>
              </w:numPr>
              <w:ind w:firstLine="0"/>
              <w:jc w:val="left"/>
              <w:rPr>
                <w:rFonts w:ascii="宋体" w:hAnsi="宋体" w:cs="宋体"/>
                <w:color w:val="auto"/>
                <w:sz w:val="24"/>
                <w:szCs w:val="24"/>
              </w:rPr>
            </w:pPr>
            <w:r>
              <w:rPr>
                <w:rFonts w:hint="eastAsia" w:ascii="宋体" w:hAnsi="宋体" w:cs="宋体"/>
                <w:color w:val="auto"/>
                <w:sz w:val="24"/>
                <w:szCs w:val="24"/>
              </w:rPr>
              <w:t>液晶等级：全新</w:t>
            </w:r>
            <w:r>
              <w:rPr>
                <w:rFonts w:ascii="宋体" w:hAnsi="宋体" w:cs="宋体"/>
                <w:color w:val="auto"/>
                <w:sz w:val="24"/>
                <w:szCs w:val="24"/>
              </w:rPr>
              <w:t>A+品牌液晶面板</w:t>
            </w:r>
          </w:p>
          <w:p w14:paraId="242EBCF7">
            <w:pPr>
              <w:numPr>
                <w:ilvl w:val="0"/>
                <w:numId w:val="133"/>
              </w:numPr>
              <w:ind w:firstLine="0"/>
              <w:jc w:val="left"/>
              <w:rPr>
                <w:rFonts w:ascii="宋体" w:hAnsi="宋体" w:cs="宋体"/>
                <w:color w:val="auto"/>
                <w:sz w:val="24"/>
                <w:szCs w:val="24"/>
              </w:rPr>
            </w:pPr>
            <w:r>
              <w:rPr>
                <w:rFonts w:hint="eastAsia" w:ascii="宋体" w:hAnsi="宋体" w:cs="宋体"/>
                <w:color w:val="auto"/>
                <w:sz w:val="24"/>
                <w:szCs w:val="24"/>
              </w:rPr>
              <w:t>液晶尺寸：不小于</w:t>
            </w:r>
            <w:r>
              <w:rPr>
                <w:rFonts w:ascii="宋体" w:hAnsi="宋体" w:cs="宋体"/>
                <w:color w:val="auto"/>
                <w:sz w:val="24"/>
                <w:szCs w:val="24"/>
              </w:rPr>
              <w:t>43英寸；</w:t>
            </w:r>
          </w:p>
          <w:p w14:paraId="1654E7A0">
            <w:pPr>
              <w:numPr>
                <w:ilvl w:val="0"/>
                <w:numId w:val="133"/>
              </w:numPr>
              <w:ind w:firstLine="0"/>
              <w:jc w:val="left"/>
              <w:rPr>
                <w:rFonts w:ascii="宋体" w:hAnsi="宋体" w:cs="宋体"/>
                <w:color w:val="auto"/>
                <w:sz w:val="24"/>
                <w:szCs w:val="24"/>
              </w:rPr>
            </w:pPr>
            <w:r>
              <w:rPr>
                <w:rFonts w:hint="eastAsia" w:ascii="宋体" w:hAnsi="宋体" w:cs="宋体"/>
                <w:color w:val="auto"/>
                <w:sz w:val="24"/>
                <w:szCs w:val="24"/>
              </w:rPr>
              <w:t>背光类型：</w:t>
            </w:r>
            <w:r>
              <w:rPr>
                <w:rFonts w:ascii="宋体" w:hAnsi="宋体" w:cs="宋体"/>
                <w:color w:val="auto"/>
                <w:sz w:val="24"/>
                <w:szCs w:val="24"/>
              </w:rPr>
              <w:t>E-LED；</w:t>
            </w:r>
          </w:p>
          <w:p w14:paraId="732DE6E6">
            <w:pPr>
              <w:numPr>
                <w:ilvl w:val="0"/>
                <w:numId w:val="133"/>
              </w:numPr>
              <w:ind w:firstLine="0"/>
              <w:jc w:val="left"/>
              <w:rPr>
                <w:rFonts w:ascii="宋体" w:hAnsi="宋体" w:cs="宋体"/>
                <w:color w:val="auto"/>
                <w:sz w:val="24"/>
                <w:szCs w:val="24"/>
              </w:rPr>
            </w:pPr>
            <w:r>
              <w:rPr>
                <w:rFonts w:hint="eastAsia" w:ascii="宋体" w:hAnsi="宋体" w:cs="宋体"/>
                <w:color w:val="auto"/>
                <w:sz w:val="24"/>
                <w:szCs w:val="24"/>
              </w:rPr>
              <w:t>分辨率：</w:t>
            </w:r>
            <w:r>
              <w:rPr>
                <w:rFonts w:ascii="宋体" w:hAnsi="宋体" w:cs="宋体"/>
                <w:color w:val="auto"/>
                <w:sz w:val="24"/>
                <w:szCs w:val="24"/>
              </w:rPr>
              <w:t>1920*1080；</w:t>
            </w:r>
          </w:p>
          <w:p w14:paraId="6591824A">
            <w:pPr>
              <w:numPr>
                <w:ilvl w:val="0"/>
                <w:numId w:val="133"/>
              </w:numPr>
              <w:ind w:firstLine="0"/>
              <w:jc w:val="left"/>
              <w:rPr>
                <w:rFonts w:ascii="宋体" w:hAnsi="宋体" w:cs="宋体"/>
                <w:color w:val="auto"/>
                <w:sz w:val="24"/>
                <w:szCs w:val="24"/>
              </w:rPr>
            </w:pPr>
            <w:r>
              <w:rPr>
                <w:rFonts w:hint="eastAsia" w:ascii="宋体" w:hAnsi="宋体" w:cs="宋体"/>
                <w:color w:val="auto"/>
                <w:sz w:val="24"/>
                <w:szCs w:val="24"/>
              </w:rPr>
              <w:t>显示亮度：≥</w:t>
            </w:r>
            <w:r>
              <w:rPr>
                <w:rFonts w:ascii="宋体" w:hAnsi="宋体" w:cs="宋体"/>
                <w:color w:val="auto"/>
                <w:sz w:val="24"/>
                <w:szCs w:val="24"/>
              </w:rPr>
              <w:t>350cd；</w:t>
            </w:r>
          </w:p>
          <w:p w14:paraId="19075CAC">
            <w:pPr>
              <w:numPr>
                <w:ilvl w:val="0"/>
                <w:numId w:val="133"/>
              </w:numPr>
              <w:ind w:firstLine="0"/>
              <w:jc w:val="left"/>
              <w:rPr>
                <w:rFonts w:ascii="宋体" w:hAnsi="宋体" w:cs="宋体"/>
                <w:color w:val="auto"/>
                <w:sz w:val="24"/>
                <w:szCs w:val="24"/>
              </w:rPr>
            </w:pPr>
            <w:r>
              <w:rPr>
                <w:rFonts w:hint="eastAsia" w:ascii="宋体" w:hAnsi="宋体" w:cs="宋体"/>
                <w:color w:val="auto"/>
                <w:sz w:val="24"/>
                <w:szCs w:val="24"/>
              </w:rPr>
              <w:t>触摸方案：电容</w:t>
            </w:r>
            <w:r>
              <w:rPr>
                <w:rFonts w:ascii="宋体" w:hAnsi="宋体" w:cs="宋体"/>
                <w:color w:val="auto"/>
                <w:sz w:val="24"/>
                <w:szCs w:val="24"/>
              </w:rPr>
              <w:t>G+G；</w:t>
            </w:r>
          </w:p>
          <w:p w14:paraId="7D76F197">
            <w:pPr>
              <w:pStyle w:val="22"/>
              <w:numPr>
                <w:ilvl w:val="0"/>
                <w:numId w:val="132"/>
              </w:numPr>
              <w:ind w:left="0" w:firstLine="0"/>
              <w:rPr>
                <w:rFonts w:ascii="宋体" w:hAnsi="宋体" w:eastAsia="宋体" w:cs="宋体"/>
                <w:color w:val="auto"/>
                <w:sz w:val="24"/>
                <w:szCs w:val="24"/>
              </w:rPr>
            </w:pPr>
            <w:r>
              <w:rPr>
                <w:rFonts w:hint="eastAsia" w:ascii="宋体" w:hAnsi="宋体" w:eastAsia="宋体" w:cs="宋体"/>
                <w:color w:val="auto"/>
                <w:sz w:val="24"/>
                <w:szCs w:val="24"/>
              </w:rPr>
              <w:t>系统参数：</w:t>
            </w:r>
          </w:p>
          <w:p w14:paraId="29F6C591">
            <w:pPr>
              <w:numPr>
                <w:ilvl w:val="0"/>
                <w:numId w:val="134"/>
              </w:numPr>
              <w:ind w:firstLine="0"/>
              <w:jc w:val="left"/>
              <w:rPr>
                <w:rFonts w:ascii="宋体" w:hAnsi="宋体" w:cs="宋体"/>
                <w:color w:val="auto"/>
                <w:sz w:val="24"/>
                <w:szCs w:val="24"/>
              </w:rPr>
            </w:pPr>
            <w:r>
              <w:rPr>
                <w:rFonts w:ascii="宋体" w:hAnsi="宋体" w:cs="宋体"/>
                <w:color w:val="auto"/>
                <w:sz w:val="24"/>
                <w:szCs w:val="24"/>
              </w:rPr>
              <w:t>CPU：四核，主频不低于2.0GHz；</w:t>
            </w:r>
          </w:p>
          <w:p w14:paraId="1F07FC75">
            <w:pPr>
              <w:numPr>
                <w:ilvl w:val="0"/>
                <w:numId w:val="134"/>
              </w:numPr>
              <w:ind w:firstLine="0"/>
              <w:jc w:val="left"/>
              <w:rPr>
                <w:rFonts w:ascii="宋体" w:hAnsi="宋体" w:cs="宋体"/>
                <w:color w:val="auto"/>
                <w:sz w:val="24"/>
                <w:szCs w:val="24"/>
              </w:rPr>
            </w:pPr>
            <w:r>
              <w:rPr>
                <w:rFonts w:hint="eastAsia" w:ascii="宋体" w:hAnsi="宋体" w:cs="宋体"/>
                <w:color w:val="auto"/>
                <w:sz w:val="24"/>
                <w:szCs w:val="24"/>
              </w:rPr>
              <w:t>内存：</w:t>
            </w:r>
            <w:r>
              <w:rPr>
                <w:rFonts w:ascii="宋体" w:hAnsi="宋体" w:cs="宋体"/>
                <w:color w:val="auto"/>
                <w:sz w:val="24"/>
                <w:szCs w:val="24"/>
              </w:rPr>
              <w:t>2+16GB；</w:t>
            </w:r>
          </w:p>
          <w:p w14:paraId="26E0D8FD">
            <w:pPr>
              <w:numPr>
                <w:ilvl w:val="0"/>
                <w:numId w:val="134"/>
              </w:numPr>
              <w:ind w:firstLine="0"/>
              <w:jc w:val="left"/>
              <w:rPr>
                <w:rFonts w:ascii="宋体" w:hAnsi="宋体" w:cs="宋体"/>
                <w:color w:val="auto"/>
                <w:sz w:val="24"/>
                <w:szCs w:val="24"/>
              </w:rPr>
            </w:pPr>
            <w:r>
              <w:rPr>
                <w:rFonts w:ascii="宋体" w:hAnsi="宋体" w:cs="宋体"/>
                <w:color w:val="auto"/>
                <w:sz w:val="24"/>
                <w:szCs w:val="24"/>
              </w:rPr>
              <w:t>NPU：支持1Tops算力；</w:t>
            </w:r>
          </w:p>
          <w:p w14:paraId="3AD44891">
            <w:pPr>
              <w:numPr>
                <w:ilvl w:val="0"/>
                <w:numId w:val="134"/>
              </w:numPr>
              <w:ind w:firstLine="0"/>
              <w:jc w:val="left"/>
              <w:rPr>
                <w:rFonts w:ascii="宋体" w:hAnsi="宋体" w:cs="宋体"/>
                <w:color w:val="auto"/>
                <w:sz w:val="24"/>
                <w:szCs w:val="24"/>
              </w:rPr>
            </w:pPr>
            <w:r>
              <w:rPr>
                <w:rFonts w:hint="eastAsia" w:ascii="宋体" w:hAnsi="宋体" w:cs="宋体"/>
                <w:color w:val="auto"/>
                <w:sz w:val="24"/>
                <w:szCs w:val="24"/>
              </w:rPr>
              <w:t>操作系统：安卓</w:t>
            </w:r>
            <w:r>
              <w:rPr>
                <w:rFonts w:ascii="宋体" w:hAnsi="宋体" w:cs="宋体"/>
                <w:color w:val="auto"/>
                <w:sz w:val="24"/>
                <w:szCs w:val="24"/>
              </w:rPr>
              <w:t>11；</w:t>
            </w:r>
          </w:p>
          <w:p w14:paraId="31C048E9">
            <w:pPr>
              <w:numPr>
                <w:ilvl w:val="0"/>
                <w:numId w:val="134"/>
              </w:numPr>
              <w:ind w:firstLine="0"/>
              <w:jc w:val="left"/>
              <w:rPr>
                <w:rFonts w:ascii="宋体" w:hAnsi="宋体" w:cs="宋体"/>
                <w:color w:val="auto"/>
                <w:sz w:val="24"/>
                <w:szCs w:val="24"/>
              </w:rPr>
            </w:pPr>
            <w:r>
              <w:rPr>
                <w:rFonts w:hint="eastAsia" w:ascii="宋体" w:hAnsi="宋体" w:cs="宋体"/>
                <w:color w:val="auto"/>
                <w:sz w:val="24"/>
                <w:szCs w:val="24"/>
              </w:rPr>
              <w:t>网络通讯：以太网</w:t>
            </w:r>
            <w:r>
              <w:rPr>
                <w:rFonts w:ascii="宋体" w:hAnsi="宋体" w:cs="宋体"/>
                <w:color w:val="auto"/>
                <w:sz w:val="24"/>
                <w:szCs w:val="24"/>
              </w:rPr>
              <w:t>+WiFi；</w:t>
            </w:r>
          </w:p>
          <w:p w14:paraId="67B53BB1">
            <w:pPr>
              <w:numPr>
                <w:ilvl w:val="0"/>
                <w:numId w:val="134"/>
              </w:numPr>
              <w:ind w:firstLine="0"/>
              <w:jc w:val="left"/>
              <w:rPr>
                <w:rFonts w:ascii="宋体" w:hAnsi="宋体" w:cs="宋体"/>
                <w:color w:val="auto"/>
                <w:sz w:val="24"/>
                <w:szCs w:val="24"/>
              </w:rPr>
            </w:pPr>
            <w:r>
              <w:rPr>
                <w:rFonts w:hint="eastAsia" w:ascii="宋体" w:hAnsi="宋体" w:cs="宋体"/>
                <w:color w:val="auto"/>
                <w:sz w:val="24"/>
                <w:szCs w:val="24"/>
              </w:rPr>
              <w:t>音频功放：内置</w:t>
            </w:r>
            <w:r>
              <w:rPr>
                <w:rFonts w:ascii="宋体" w:hAnsi="宋体" w:cs="宋体"/>
                <w:color w:val="auto"/>
                <w:sz w:val="24"/>
                <w:szCs w:val="24"/>
              </w:rPr>
              <w:t>2路8欧5瓦优质喇叭；</w:t>
            </w:r>
          </w:p>
          <w:p w14:paraId="7D66D7D6">
            <w:pPr>
              <w:numPr>
                <w:ilvl w:val="0"/>
                <w:numId w:val="134"/>
              </w:numPr>
              <w:ind w:firstLine="0"/>
              <w:jc w:val="left"/>
              <w:rPr>
                <w:rFonts w:ascii="宋体" w:hAnsi="宋体" w:cs="宋体"/>
                <w:color w:val="auto"/>
                <w:sz w:val="24"/>
                <w:szCs w:val="24"/>
              </w:rPr>
            </w:pPr>
            <w:r>
              <w:rPr>
                <w:rFonts w:hint="eastAsia" w:ascii="宋体" w:hAnsi="宋体" w:cs="宋体"/>
                <w:color w:val="auto"/>
                <w:sz w:val="24"/>
                <w:szCs w:val="24"/>
              </w:rPr>
              <w:t>开关设备：支持定时开关、遥控开关、通电自启等方式开关机；</w:t>
            </w:r>
          </w:p>
          <w:p w14:paraId="52DFAC56">
            <w:pPr>
              <w:pStyle w:val="22"/>
              <w:numPr>
                <w:ilvl w:val="0"/>
                <w:numId w:val="132"/>
              </w:numPr>
              <w:ind w:left="0" w:firstLine="0"/>
              <w:rPr>
                <w:rFonts w:ascii="宋体" w:hAnsi="宋体" w:eastAsia="宋体" w:cs="宋体"/>
                <w:color w:val="auto"/>
                <w:sz w:val="24"/>
                <w:szCs w:val="24"/>
              </w:rPr>
            </w:pPr>
            <w:r>
              <w:rPr>
                <w:rFonts w:hint="eastAsia" w:ascii="宋体" w:hAnsi="宋体" w:eastAsia="宋体" w:cs="宋体"/>
                <w:color w:val="auto"/>
                <w:sz w:val="24"/>
                <w:szCs w:val="24"/>
              </w:rPr>
              <w:t>机身参数：</w:t>
            </w:r>
          </w:p>
          <w:p w14:paraId="60657AC8">
            <w:pPr>
              <w:numPr>
                <w:ilvl w:val="0"/>
                <w:numId w:val="135"/>
              </w:numPr>
              <w:ind w:firstLine="0"/>
              <w:jc w:val="left"/>
              <w:rPr>
                <w:rFonts w:ascii="宋体" w:hAnsi="宋体" w:cs="宋体"/>
                <w:color w:val="auto"/>
                <w:sz w:val="24"/>
                <w:szCs w:val="24"/>
              </w:rPr>
            </w:pPr>
            <w:r>
              <w:rPr>
                <w:rFonts w:hint="eastAsia" w:ascii="宋体" w:hAnsi="宋体" w:cs="宋体"/>
                <w:color w:val="auto"/>
                <w:sz w:val="24"/>
                <w:szCs w:val="24"/>
              </w:rPr>
              <w:t>边框材质：铝型材（氧化拉丝工艺）；</w:t>
            </w:r>
          </w:p>
          <w:p w14:paraId="59900F64">
            <w:pPr>
              <w:numPr>
                <w:ilvl w:val="0"/>
                <w:numId w:val="135"/>
              </w:numPr>
              <w:ind w:firstLine="0"/>
              <w:jc w:val="left"/>
              <w:rPr>
                <w:rFonts w:ascii="宋体" w:hAnsi="宋体" w:cs="宋体"/>
                <w:color w:val="auto"/>
                <w:sz w:val="24"/>
                <w:szCs w:val="24"/>
              </w:rPr>
            </w:pPr>
            <w:r>
              <w:rPr>
                <w:rFonts w:hint="eastAsia" w:ascii="宋体" w:hAnsi="宋体" w:cs="宋体"/>
                <w:color w:val="auto"/>
                <w:sz w:val="24"/>
                <w:szCs w:val="24"/>
              </w:rPr>
              <w:t>机身材质：镀锌板（金属喷涂工艺）；</w:t>
            </w:r>
          </w:p>
          <w:p w14:paraId="5B80E9D4">
            <w:pPr>
              <w:numPr>
                <w:ilvl w:val="0"/>
                <w:numId w:val="135"/>
              </w:numPr>
              <w:ind w:firstLine="0"/>
              <w:jc w:val="left"/>
              <w:rPr>
                <w:rFonts w:ascii="宋体" w:hAnsi="宋体" w:cs="宋体"/>
                <w:color w:val="auto"/>
                <w:sz w:val="24"/>
                <w:szCs w:val="24"/>
              </w:rPr>
            </w:pPr>
            <w:r>
              <w:rPr>
                <w:rFonts w:hint="eastAsia" w:ascii="宋体" w:hAnsi="宋体" w:cs="宋体"/>
                <w:color w:val="auto"/>
                <w:sz w:val="24"/>
                <w:szCs w:val="24"/>
              </w:rPr>
              <w:t>表面材质：钢化玻璃（物理钢化工艺）；</w:t>
            </w:r>
          </w:p>
          <w:p w14:paraId="79B53034">
            <w:pPr>
              <w:numPr>
                <w:ilvl w:val="0"/>
                <w:numId w:val="135"/>
              </w:numPr>
              <w:ind w:firstLine="0"/>
              <w:jc w:val="left"/>
              <w:rPr>
                <w:rFonts w:ascii="宋体" w:hAnsi="宋体" w:cs="宋体"/>
                <w:color w:val="auto"/>
                <w:sz w:val="24"/>
                <w:szCs w:val="24"/>
              </w:rPr>
            </w:pPr>
            <w:r>
              <w:rPr>
                <w:rFonts w:hint="eastAsia" w:ascii="宋体" w:hAnsi="宋体" w:cs="宋体"/>
                <w:color w:val="auto"/>
                <w:sz w:val="24"/>
                <w:szCs w:val="24"/>
              </w:rPr>
              <w:t>机身尺寸：不大于</w:t>
            </w:r>
            <w:r>
              <w:rPr>
                <w:rFonts w:ascii="宋体" w:hAnsi="宋体" w:cs="宋体"/>
                <w:color w:val="auto"/>
                <w:sz w:val="24"/>
                <w:szCs w:val="24"/>
              </w:rPr>
              <w:t>981.6*569.6*64mm；</w:t>
            </w:r>
          </w:p>
          <w:p w14:paraId="4D1A5C69">
            <w:pPr>
              <w:pStyle w:val="22"/>
              <w:numPr>
                <w:ilvl w:val="0"/>
                <w:numId w:val="132"/>
              </w:numPr>
              <w:ind w:left="0" w:firstLine="0"/>
              <w:rPr>
                <w:rFonts w:ascii="宋体" w:hAnsi="宋体" w:eastAsia="宋体" w:cs="宋体"/>
                <w:color w:val="auto"/>
                <w:sz w:val="24"/>
                <w:szCs w:val="24"/>
              </w:rPr>
            </w:pPr>
            <w:r>
              <w:rPr>
                <w:rFonts w:hint="eastAsia" w:ascii="宋体" w:hAnsi="宋体" w:eastAsia="宋体" w:cs="宋体"/>
                <w:color w:val="auto"/>
                <w:sz w:val="24"/>
                <w:szCs w:val="24"/>
              </w:rPr>
              <w:t>底座参数：</w:t>
            </w:r>
          </w:p>
          <w:p w14:paraId="08F2964B">
            <w:pPr>
              <w:numPr>
                <w:ilvl w:val="0"/>
                <w:numId w:val="136"/>
              </w:numPr>
              <w:ind w:firstLine="0"/>
              <w:jc w:val="left"/>
              <w:rPr>
                <w:rFonts w:ascii="宋体" w:hAnsi="宋体" w:cs="宋体"/>
                <w:color w:val="auto"/>
                <w:sz w:val="24"/>
                <w:szCs w:val="24"/>
              </w:rPr>
            </w:pPr>
            <w:r>
              <w:rPr>
                <w:rFonts w:hint="eastAsia" w:ascii="宋体" w:hAnsi="宋体" w:cs="宋体"/>
                <w:color w:val="auto"/>
                <w:sz w:val="24"/>
                <w:szCs w:val="24"/>
              </w:rPr>
              <w:t>材质：镀锌板；</w:t>
            </w:r>
          </w:p>
          <w:p w14:paraId="70BE3933">
            <w:pPr>
              <w:numPr>
                <w:ilvl w:val="0"/>
                <w:numId w:val="136"/>
              </w:numPr>
              <w:ind w:firstLine="0"/>
              <w:jc w:val="left"/>
              <w:rPr>
                <w:rFonts w:ascii="宋体" w:hAnsi="宋体" w:cs="宋体"/>
                <w:color w:val="auto"/>
                <w:sz w:val="24"/>
                <w:szCs w:val="24"/>
              </w:rPr>
            </w:pPr>
            <w:r>
              <w:rPr>
                <w:rFonts w:hint="eastAsia" w:ascii="宋体" w:hAnsi="宋体" w:cs="宋体"/>
                <w:color w:val="auto"/>
                <w:sz w:val="24"/>
                <w:szCs w:val="24"/>
              </w:rPr>
              <w:t>安装孔位：</w:t>
            </w:r>
            <w:r>
              <w:rPr>
                <w:rFonts w:ascii="宋体" w:hAnsi="宋体" w:cs="宋体"/>
                <w:color w:val="auto"/>
                <w:sz w:val="24"/>
                <w:szCs w:val="24"/>
              </w:rPr>
              <w:t>400*200mm；</w:t>
            </w:r>
          </w:p>
          <w:p w14:paraId="293D81A0">
            <w:pPr>
              <w:numPr>
                <w:ilvl w:val="0"/>
                <w:numId w:val="136"/>
              </w:numPr>
              <w:ind w:firstLine="0"/>
              <w:jc w:val="left"/>
              <w:rPr>
                <w:rFonts w:ascii="宋体" w:hAnsi="宋体" w:cs="宋体"/>
                <w:color w:val="auto"/>
                <w:sz w:val="24"/>
                <w:szCs w:val="24"/>
              </w:rPr>
            </w:pPr>
            <w:r>
              <w:rPr>
                <w:rFonts w:hint="eastAsia" w:ascii="宋体" w:hAnsi="宋体" w:cs="宋体"/>
                <w:color w:val="auto"/>
                <w:sz w:val="24"/>
                <w:szCs w:val="24"/>
              </w:rPr>
              <w:t>底座重量：</w:t>
            </w:r>
            <w:r>
              <w:rPr>
                <w:rFonts w:ascii="宋体" w:hAnsi="宋体" w:cs="宋体"/>
                <w:color w:val="auto"/>
                <w:sz w:val="24"/>
                <w:szCs w:val="24"/>
              </w:rPr>
              <w:t>8KG；</w:t>
            </w:r>
          </w:p>
          <w:p w14:paraId="6C36659A">
            <w:pPr>
              <w:numPr>
                <w:ilvl w:val="0"/>
                <w:numId w:val="136"/>
              </w:numPr>
              <w:ind w:firstLine="0"/>
              <w:jc w:val="left"/>
              <w:rPr>
                <w:rFonts w:ascii="宋体" w:hAnsi="宋体" w:cs="宋体"/>
                <w:color w:val="auto"/>
                <w:sz w:val="24"/>
                <w:szCs w:val="24"/>
              </w:rPr>
            </w:pPr>
            <w:r>
              <w:rPr>
                <w:rFonts w:hint="eastAsia" w:ascii="宋体" w:hAnsi="宋体" w:cs="宋体"/>
                <w:color w:val="auto"/>
                <w:sz w:val="24"/>
                <w:szCs w:val="24"/>
              </w:rPr>
              <w:t>配件：调节脚杯</w:t>
            </w:r>
            <w:r>
              <w:rPr>
                <w:rFonts w:ascii="宋体" w:hAnsi="宋体" w:cs="宋体"/>
                <w:color w:val="auto"/>
                <w:sz w:val="24"/>
                <w:szCs w:val="24"/>
              </w:rPr>
              <w:t>*4个；</w:t>
            </w:r>
          </w:p>
          <w:p w14:paraId="7421F9FD">
            <w:pPr>
              <w:numPr>
                <w:ilvl w:val="0"/>
                <w:numId w:val="136"/>
              </w:numPr>
              <w:ind w:firstLine="0"/>
              <w:jc w:val="left"/>
              <w:rPr>
                <w:rFonts w:ascii="宋体" w:hAnsi="宋体" w:cs="宋体"/>
                <w:color w:val="auto"/>
                <w:sz w:val="24"/>
                <w:szCs w:val="24"/>
              </w:rPr>
            </w:pPr>
            <w:r>
              <w:rPr>
                <w:rFonts w:ascii="宋体" w:hAnsi="宋体" w:cs="宋体"/>
                <w:color w:val="auto"/>
                <w:sz w:val="24"/>
                <w:szCs w:val="24"/>
              </w:rPr>
              <w:t>M8螺丝*4颗；</w:t>
            </w:r>
          </w:p>
          <w:p w14:paraId="159FC71D">
            <w:pPr>
              <w:pStyle w:val="22"/>
              <w:numPr>
                <w:ilvl w:val="0"/>
                <w:numId w:val="132"/>
              </w:numPr>
              <w:ind w:left="0" w:firstLine="0"/>
              <w:rPr>
                <w:rFonts w:ascii="宋体" w:hAnsi="宋体" w:eastAsia="宋体" w:cs="宋体"/>
                <w:color w:val="auto"/>
                <w:sz w:val="24"/>
                <w:szCs w:val="24"/>
              </w:rPr>
            </w:pPr>
            <w:r>
              <w:rPr>
                <w:rFonts w:hint="eastAsia" w:ascii="宋体" w:hAnsi="宋体" w:eastAsia="宋体" w:cs="宋体"/>
                <w:color w:val="auto"/>
                <w:sz w:val="24"/>
                <w:szCs w:val="24"/>
              </w:rPr>
              <w:t>电气性能：</w:t>
            </w:r>
          </w:p>
          <w:p w14:paraId="40935C44">
            <w:pPr>
              <w:numPr>
                <w:ilvl w:val="0"/>
                <w:numId w:val="137"/>
              </w:numPr>
              <w:ind w:firstLine="0"/>
              <w:jc w:val="left"/>
              <w:rPr>
                <w:rFonts w:ascii="宋体" w:hAnsi="宋体" w:cs="宋体"/>
                <w:color w:val="auto"/>
                <w:sz w:val="24"/>
                <w:szCs w:val="24"/>
              </w:rPr>
            </w:pPr>
            <w:r>
              <w:rPr>
                <w:rFonts w:hint="eastAsia" w:ascii="宋体" w:hAnsi="宋体" w:cs="宋体"/>
                <w:color w:val="auto"/>
                <w:sz w:val="24"/>
                <w:szCs w:val="24"/>
              </w:rPr>
              <w:t>输入电压：</w:t>
            </w:r>
            <w:r>
              <w:rPr>
                <w:rFonts w:ascii="宋体" w:hAnsi="宋体" w:cs="宋体"/>
                <w:color w:val="auto"/>
                <w:sz w:val="24"/>
                <w:szCs w:val="24"/>
              </w:rPr>
              <w:t>AC110-220V；</w:t>
            </w:r>
          </w:p>
          <w:p w14:paraId="017E5F6F">
            <w:pPr>
              <w:numPr>
                <w:ilvl w:val="0"/>
                <w:numId w:val="137"/>
              </w:numPr>
              <w:ind w:firstLine="0"/>
              <w:jc w:val="left"/>
              <w:rPr>
                <w:rFonts w:ascii="宋体" w:hAnsi="宋体" w:cs="宋体"/>
                <w:color w:val="auto"/>
                <w:sz w:val="24"/>
                <w:szCs w:val="24"/>
              </w:rPr>
            </w:pPr>
            <w:r>
              <w:rPr>
                <w:rFonts w:hint="eastAsia" w:ascii="宋体" w:hAnsi="宋体" w:cs="宋体"/>
                <w:color w:val="auto"/>
                <w:sz w:val="24"/>
                <w:szCs w:val="24"/>
              </w:rPr>
              <w:t>待机功率：≦</w:t>
            </w:r>
            <w:r>
              <w:rPr>
                <w:rFonts w:ascii="宋体" w:hAnsi="宋体" w:cs="宋体"/>
                <w:color w:val="auto"/>
                <w:sz w:val="24"/>
                <w:szCs w:val="24"/>
              </w:rPr>
              <w:t>1W；</w:t>
            </w:r>
          </w:p>
          <w:p w14:paraId="758DC1C8">
            <w:pPr>
              <w:numPr>
                <w:ilvl w:val="0"/>
                <w:numId w:val="137"/>
              </w:numPr>
              <w:ind w:firstLine="0"/>
              <w:jc w:val="left"/>
              <w:rPr>
                <w:rFonts w:ascii="宋体" w:hAnsi="宋体" w:cs="宋体"/>
                <w:color w:val="auto"/>
                <w:sz w:val="24"/>
                <w:szCs w:val="24"/>
              </w:rPr>
            </w:pPr>
            <w:r>
              <w:rPr>
                <w:rFonts w:hint="eastAsia" w:ascii="宋体" w:hAnsi="宋体" w:cs="宋体"/>
                <w:color w:val="auto"/>
                <w:sz w:val="24"/>
                <w:szCs w:val="24"/>
              </w:rPr>
              <w:t>额定功率：≦</w:t>
            </w:r>
            <w:r>
              <w:rPr>
                <w:rFonts w:ascii="宋体" w:hAnsi="宋体" w:cs="宋体"/>
                <w:color w:val="auto"/>
                <w:sz w:val="24"/>
                <w:szCs w:val="24"/>
              </w:rPr>
              <w:t>55W；</w:t>
            </w:r>
          </w:p>
          <w:p w14:paraId="6FF95239">
            <w:pPr>
              <w:numPr>
                <w:ilvl w:val="0"/>
                <w:numId w:val="137"/>
              </w:numPr>
              <w:ind w:firstLine="0"/>
              <w:jc w:val="left"/>
              <w:rPr>
                <w:rFonts w:ascii="宋体" w:hAnsi="宋体" w:cs="宋体"/>
                <w:color w:val="auto"/>
                <w:sz w:val="24"/>
                <w:szCs w:val="24"/>
              </w:rPr>
            </w:pPr>
            <w:r>
              <w:rPr>
                <w:rFonts w:hint="eastAsia" w:ascii="宋体" w:hAnsi="宋体" w:cs="宋体"/>
                <w:color w:val="auto"/>
                <w:sz w:val="24"/>
                <w:szCs w:val="24"/>
              </w:rPr>
              <w:t>存储环境：温度‐</w:t>
            </w:r>
            <w:r>
              <w:rPr>
                <w:rFonts w:ascii="宋体" w:hAnsi="宋体" w:cs="宋体"/>
                <w:color w:val="auto"/>
                <w:sz w:val="24"/>
                <w:szCs w:val="24"/>
              </w:rPr>
              <w:t>5℃~60℃/湿度10%RH~90%RH；</w:t>
            </w:r>
          </w:p>
          <w:p w14:paraId="1259366E">
            <w:pPr>
              <w:numPr>
                <w:ilvl w:val="0"/>
                <w:numId w:val="137"/>
              </w:numPr>
              <w:ind w:firstLine="0"/>
              <w:jc w:val="left"/>
              <w:rPr>
                <w:rFonts w:ascii="宋体" w:hAnsi="宋体" w:cs="宋体"/>
                <w:color w:val="auto"/>
                <w:sz w:val="24"/>
                <w:szCs w:val="24"/>
              </w:rPr>
            </w:pPr>
            <w:r>
              <w:rPr>
                <w:rFonts w:hint="eastAsia" w:ascii="宋体" w:hAnsi="宋体" w:cs="宋体"/>
                <w:color w:val="auto"/>
                <w:sz w:val="24"/>
                <w:szCs w:val="24"/>
              </w:rPr>
              <w:t>工作环境：温度‐</w:t>
            </w:r>
            <w:r>
              <w:rPr>
                <w:rFonts w:ascii="宋体" w:hAnsi="宋体" w:cs="宋体"/>
                <w:color w:val="auto"/>
                <w:sz w:val="24"/>
                <w:szCs w:val="24"/>
              </w:rPr>
              <w:t>0℃~55℃/湿度10%RH~90%RH；</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9EA2705">
            <w:pPr>
              <w:jc w:val="center"/>
              <w:rPr>
                <w:rFonts w:ascii="宋体" w:hAnsi="宋体" w:cs="宋体"/>
                <w:color w:val="auto"/>
                <w:sz w:val="24"/>
                <w:szCs w:val="24"/>
              </w:rPr>
            </w:pPr>
            <w:r>
              <w:rPr>
                <w:rFonts w:hint="eastAsia" w:ascii="宋体" w:hAnsi="宋体" w:cs="宋体"/>
                <w:color w:val="auto"/>
                <w:sz w:val="24"/>
                <w:szCs w:val="24"/>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A6E0133">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5E48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51D9A771">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10</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418056F9">
            <w:pPr>
              <w:jc w:val="center"/>
              <w:rPr>
                <w:rFonts w:ascii="宋体" w:hAnsi="宋体" w:cs="宋体"/>
                <w:color w:val="auto"/>
                <w:sz w:val="24"/>
                <w:szCs w:val="24"/>
              </w:rPr>
            </w:pPr>
            <w:r>
              <w:rPr>
                <w:rFonts w:hint="eastAsia" w:ascii="宋体" w:hAnsi="宋体" w:cs="宋体"/>
                <w:color w:val="auto"/>
                <w:sz w:val="24"/>
                <w:szCs w:val="24"/>
              </w:rPr>
              <w:t>智能溯源收货秤</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189D33BD">
            <w:pPr>
              <w:numPr>
                <w:ilvl w:val="0"/>
                <w:numId w:val="138"/>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691B1CD1">
            <w:pPr>
              <w:numPr>
                <w:ilvl w:val="0"/>
                <w:numId w:val="139"/>
              </w:numPr>
              <w:ind w:left="0" w:firstLine="0"/>
              <w:jc w:val="left"/>
              <w:rPr>
                <w:rFonts w:ascii="宋体" w:hAnsi="宋体" w:cs="宋体"/>
                <w:color w:val="auto"/>
                <w:sz w:val="24"/>
                <w:szCs w:val="24"/>
              </w:rPr>
            </w:pPr>
            <w:r>
              <w:rPr>
                <w:rFonts w:ascii="宋体" w:hAnsi="宋体" w:cs="宋体"/>
                <w:color w:val="auto"/>
                <w:sz w:val="24"/>
                <w:szCs w:val="24"/>
              </w:rPr>
              <w:t>快速验货登记、票证拍照、快捷验收，生成台账</w:t>
            </w:r>
            <w:r>
              <w:rPr>
                <w:rFonts w:hint="eastAsia" w:ascii="宋体" w:hAnsi="宋体" w:cs="宋体"/>
                <w:color w:val="auto"/>
                <w:sz w:val="24"/>
                <w:szCs w:val="24"/>
              </w:rPr>
              <w:t>；</w:t>
            </w:r>
          </w:p>
          <w:p w14:paraId="059C4DCE">
            <w:pPr>
              <w:numPr>
                <w:ilvl w:val="0"/>
                <w:numId w:val="139"/>
              </w:numPr>
              <w:ind w:left="0" w:firstLine="0"/>
              <w:jc w:val="left"/>
              <w:rPr>
                <w:rFonts w:ascii="宋体" w:hAnsi="宋体" w:cs="宋体"/>
                <w:color w:val="auto"/>
                <w:sz w:val="24"/>
                <w:szCs w:val="24"/>
              </w:rPr>
            </w:pPr>
            <w:r>
              <w:rPr>
                <w:rFonts w:ascii="宋体" w:hAnsi="宋体" w:cs="宋体"/>
                <w:color w:val="auto"/>
                <w:sz w:val="24"/>
                <w:szCs w:val="24"/>
              </w:rPr>
              <w:t>快速出库登记、领料，并自动生成台账</w:t>
            </w:r>
            <w:r>
              <w:rPr>
                <w:rFonts w:hint="eastAsia" w:ascii="宋体" w:hAnsi="宋体" w:cs="宋体"/>
                <w:color w:val="auto"/>
                <w:sz w:val="24"/>
                <w:szCs w:val="24"/>
              </w:rPr>
              <w:t>；</w:t>
            </w:r>
          </w:p>
          <w:p w14:paraId="695C639F">
            <w:pPr>
              <w:numPr>
                <w:ilvl w:val="0"/>
                <w:numId w:val="139"/>
              </w:numPr>
              <w:ind w:left="0" w:firstLine="0"/>
              <w:jc w:val="left"/>
              <w:rPr>
                <w:rFonts w:ascii="宋体" w:hAnsi="宋体" w:cs="宋体"/>
                <w:color w:val="auto"/>
                <w:sz w:val="24"/>
                <w:szCs w:val="24"/>
              </w:rPr>
            </w:pPr>
            <w:r>
              <w:rPr>
                <w:rFonts w:ascii="宋体" w:hAnsi="宋体" w:cs="宋体"/>
                <w:color w:val="auto"/>
                <w:sz w:val="24"/>
                <w:szCs w:val="24"/>
              </w:rPr>
              <w:t>进行现有库存明细查询</w:t>
            </w:r>
            <w:r>
              <w:rPr>
                <w:rFonts w:hint="eastAsia" w:ascii="宋体" w:hAnsi="宋体" w:cs="宋体"/>
                <w:color w:val="auto"/>
                <w:sz w:val="24"/>
                <w:szCs w:val="24"/>
              </w:rPr>
              <w:t>；</w:t>
            </w:r>
          </w:p>
          <w:p w14:paraId="3CFAD210">
            <w:pPr>
              <w:numPr>
                <w:ilvl w:val="0"/>
                <w:numId w:val="138"/>
              </w:numPr>
              <w:ind w:left="0" w:firstLine="0"/>
              <w:jc w:val="left"/>
              <w:rPr>
                <w:color w:val="auto"/>
              </w:rPr>
            </w:pPr>
            <w:r>
              <w:rPr>
                <w:rFonts w:hint="eastAsia" w:ascii="宋体" w:hAnsi="宋体" w:cs="宋体"/>
                <w:color w:val="auto"/>
                <w:sz w:val="24"/>
                <w:szCs w:val="24"/>
              </w:rPr>
              <w:t>设备参数：</w:t>
            </w:r>
          </w:p>
          <w:p w14:paraId="7CA9FEB7">
            <w:pPr>
              <w:pStyle w:val="22"/>
              <w:numPr>
                <w:ilvl w:val="0"/>
                <w:numId w:val="140"/>
              </w:numPr>
              <w:ind w:left="0" w:firstLine="0"/>
              <w:rPr>
                <w:color w:val="auto"/>
              </w:rPr>
            </w:pPr>
            <w:r>
              <w:rPr>
                <w:rFonts w:hint="eastAsia" w:ascii="宋体" w:hAnsi="宋体" w:eastAsia="宋体" w:cs="宋体"/>
                <w:color w:val="auto"/>
                <w:sz w:val="24"/>
                <w:szCs w:val="24"/>
              </w:rPr>
              <w:t>主要参数</w:t>
            </w:r>
          </w:p>
          <w:p w14:paraId="3440EA79">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主板：不低于</w:t>
            </w:r>
            <w:r>
              <w:rPr>
                <w:rFonts w:ascii="宋体" w:hAnsi="宋体" w:cs="宋体"/>
                <w:color w:val="auto"/>
                <w:sz w:val="24"/>
                <w:szCs w:val="24"/>
              </w:rPr>
              <w:t>armrk3568的性能；</w:t>
            </w:r>
          </w:p>
          <w:p w14:paraId="7BDF822B">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操作系统：安卓；</w:t>
            </w:r>
          </w:p>
          <w:p w14:paraId="7B0892EF">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内存：</w:t>
            </w:r>
            <w:r>
              <w:rPr>
                <w:rFonts w:ascii="宋体" w:hAnsi="宋体" w:cs="宋体"/>
                <w:color w:val="auto"/>
                <w:sz w:val="24"/>
                <w:szCs w:val="24"/>
              </w:rPr>
              <w:t>4G+32G；</w:t>
            </w:r>
          </w:p>
          <w:p w14:paraId="7C6DF90E">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网络：以太网</w:t>
            </w:r>
            <w:r>
              <w:rPr>
                <w:rFonts w:ascii="宋体" w:hAnsi="宋体" w:cs="宋体"/>
                <w:color w:val="auto"/>
                <w:sz w:val="24"/>
                <w:szCs w:val="24"/>
              </w:rPr>
              <w:t>wifi；</w:t>
            </w:r>
          </w:p>
          <w:p w14:paraId="5A2519CC">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屏幕：</w:t>
            </w:r>
            <w:r>
              <w:rPr>
                <w:rFonts w:ascii="宋体" w:hAnsi="宋体" w:cs="宋体"/>
                <w:color w:val="auto"/>
                <w:sz w:val="24"/>
                <w:szCs w:val="24"/>
              </w:rPr>
              <w:t>14.1寸电容屏；1280*800；</w:t>
            </w:r>
          </w:p>
          <w:p w14:paraId="529F4111">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最大量程：</w:t>
            </w:r>
            <w:r>
              <w:rPr>
                <w:rFonts w:ascii="宋体" w:hAnsi="宋体" w:cs="宋体"/>
                <w:color w:val="auto"/>
                <w:sz w:val="24"/>
                <w:szCs w:val="24"/>
              </w:rPr>
              <w:t>150KG；</w:t>
            </w:r>
          </w:p>
          <w:p w14:paraId="175E557C">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分度数：</w:t>
            </w:r>
            <w:r>
              <w:rPr>
                <w:rFonts w:ascii="宋体" w:hAnsi="宋体" w:cs="宋体"/>
                <w:color w:val="auto"/>
                <w:sz w:val="24"/>
                <w:szCs w:val="24"/>
              </w:rPr>
              <w:t>3000；</w:t>
            </w:r>
          </w:p>
          <w:p w14:paraId="2A2AF591">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分度值：</w:t>
            </w:r>
            <w:r>
              <w:rPr>
                <w:rFonts w:ascii="宋体" w:hAnsi="宋体" w:cs="宋体"/>
                <w:color w:val="auto"/>
                <w:sz w:val="24"/>
                <w:szCs w:val="24"/>
              </w:rPr>
              <w:t>50g；</w:t>
            </w:r>
          </w:p>
          <w:p w14:paraId="45608528">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最小量程：</w:t>
            </w:r>
            <w:r>
              <w:rPr>
                <w:rFonts w:ascii="宋体" w:hAnsi="宋体" w:cs="宋体"/>
                <w:color w:val="auto"/>
                <w:sz w:val="24"/>
                <w:szCs w:val="24"/>
              </w:rPr>
              <w:t>1000g；</w:t>
            </w:r>
          </w:p>
          <w:p w14:paraId="2DB86282">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秤台尺寸：不低于</w:t>
            </w:r>
            <w:r>
              <w:rPr>
                <w:rFonts w:ascii="宋体" w:hAnsi="宋体" w:cs="宋体"/>
                <w:color w:val="auto"/>
                <w:sz w:val="24"/>
                <w:szCs w:val="24"/>
              </w:rPr>
              <w:t>400mm*500mm；</w:t>
            </w:r>
          </w:p>
          <w:p w14:paraId="74EBEC5F">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电源充电器</w:t>
            </w:r>
            <w:r>
              <w:rPr>
                <w:rFonts w:ascii="宋体" w:hAnsi="宋体" w:cs="宋体"/>
                <w:color w:val="auto"/>
                <w:sz w:val="24"/>
                <w:szCs w:val="24"/>
              </w:rPr>
              <w:tab/>
            </w:r>
            <w:r>
              <w:rPr>
                <w:rFonts w:hint="eastAsia" w:ascii="宋体" w:hAnsi="宋体" w:cs="宋体"/>
                <w:color w:val="auto"/>
                <w:sz w:val="24"/>
                <w:szCs w:val="24"/>
              </w:rPr>
              <w:t>输入</w:t>
            </w:r>
            <w:r>
              <w:rPr>
                <w:rFonts w:ascii="宋体" w:hAnsi="宋体" w:cs="宋体"/>
                <w:color w:val="auto"/>
                <w:sz w:val="24"/>
                <w:szCs w:val="24"/>
              </w:rPr>
              <w:t>AC220V,输出DC12.6V/5A；</w:t>
            </w:r>
          </w:p>
          <w:p w14:paraId="2F8EF01B">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环境湿度：</w:t>
            </w:r>
            <w:r>
              <w:rPr>
                <w:rFonts w:ascii="宋体" w:hAnsi="宋体" w:cs="宋体"/>
                <w:color w:val="auto"/>
                <w:sz w:val="24"/>
                <w:szCs w:val="24"/>
              </w:rPr>
              <w:t>0～90%空气湿度，无冷凝；</w:t>
            </w:r>
          </w:p>
          <w:p w14:paraId="346AC68C">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电池：</w:t>
            </w:r>
            <w:r>
              <w:rPr>
                <w:rFonts w:ascii="宋体" w:hAnsi="宋体" w:cs="宋体"/>
                <w:color w:val="auto"/>
                <w:sz w:val="24"/>
                <w:szCs w:val="24"/>
              </w:rPr>
              <w:t>12V10000mAh锂电池组，常温非打印状态下，</w:t>
            </w:r>
            <w:r>
              <w:rPr>
                <w:rFonts w:hint="eastAsia" w:ascii="宋体" w:hAnsi="宋体" w:cs="宋体"/>
                <w:color w:val="auto"/>
                <w:sz w:val="24"/>
                <w:szCs w:val="24"/>
              </w:rPr>
              <w:t>可正常工作约</w:t>
            </w:r>
            <w:r>
              <w:rPr>
                <w:rFonts w:ascii="宋体" w:hAnsi="宋体" w:cs="宋体"/>
                <w:color w:val="auto"/>
                <w:sz w:val="24"/>
                <w:szCs w:val="24"/>
              </w:rPr>
              <w:t>10—12小时；</w:t>
            </w:r>
          </w:p>
          <w:p w14:paraId="29EB0FB1">
            <w:pPr>
              <w:numPr>
                <w:ilvl w:val="0"/>
                <w:numId w:val="141"/>
              </w:numPr>
              <w:ind w:firstLine="0"/>
              <w:jc w:val="left"/>
              <w:rPr>
                <w:rFonts w:ascii="宋体" w:hAnsi="宋体" w:cs="宋体"/>
                <w:color w:val="auto"/>
                <w:sz w:val="24"/>
                <w:szCs w:val="24"/>
              </w:rPr>
            </w:pPr>
            <w:r>
              <w:rPr>
                <w:rFonts w:hint="eastAsia" w:ascii="宋体" w:hAnsi="宋体" w:cs="宋体"/>
                <w:color w:val="auto"/>
                <w:sz w:val="24"/>
                <w:szCs w:val="24"/>
              </w:rPr>
              <w:t>摄像头：</w:t>
            </w:r>
            <w:r>
              <w:rPr>
                <w:rFonts w:ascii="宋体" w:hAnsi="宋体" w:cs="宋体"/>
                <w:color w:val="auto"/>
                <w:sz w:val="24"/>
                <w:szCs w:val="24"/>
              </w:rPr>
              <w:t>800</w:t>
            </w:r>
            <w:r>
              <w:rPr>
                <w:rFonts w:hint="eastAsia" w:ascii="宋体" w:hAnsi="宋体" w:cs="宋体"/>
                <w:color w:val="auto"/>
                <w:sz w:val="24"/>
                <w:szCs w:val="24"/>
              </w:rPr>
              <w:t>万像素；</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0E9EC86">
            <w:pPr>
              <w:jc w:val="center"/>
              <w:rPr>
                <w:rFonts w:ascii="宋体" w:hAnsi="宋体" w:cs="宋体"/>
                <w:color w:val="auto"/>
                <w:sz w:val="24"/>
                <w:szCs w:val="24"/>
              </w:rPr>
            </w:pPr>
            <w:r>
              <w:rPr>
                <w:rFonts w:hint="eastAsia" w:ascii="宋体" w:hAnsi="宋体" w:cs="宋体"/>
                <w:color w:val="auto"/>
                <w:sz w:val="24"/>
                <w:szCs w:val="24"/>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4033151">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59C6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DA9D953">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11</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1F7706D4">
            <w:pPr>
              <w:jc w:val="center"/>
              <w:rPr>
                <w:rFonts w:ascii="宋体" w:hAnsi="宋体" w:cs="宋体"/>
                <w:color w:val="auto"/>
                <w:sz w:val="24"/>
                <w:szCs w:val="24"/>
              </w:rPr>
            </w:pPr>
            <w:r>
              <w:rPr>
                <w:rFonts w:hint="eastAsia" w:ascii="宋体" w:hAnsi="宋体" w:cs="宋体"/>
                <w:color w:val="auto"/>
                <w:sz w:val="24"/>
                <w:szCs w:val="24"/>
              </w:rPr>
              <w:t>餐饮具消毒监管</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75F02736">
            <w:pPr>
              <w:numPr>
                <w:ilvl w:val="0"/>
                <w:numId w:val="142"/>
              </w:numPr>
              <w:ind w:left="0" w:firstLine="0"/>
              <w:jc w:val="left"/>
              <w:rPr>
                <w:rFonts w:ascii="宋体" w:hAnsi="宋体" w:cs="宋体"/>
                <w:color w:val="auto"/>
                <w:sz w:val="24"/>
                <w:szCs w:val="24"/>
              </w:rPr>
            </w:pPr>
            <w:r>
              <w:rPr>
                <w:rFonts w:hint="eastAsia" w:ascii="宋体" w:hAnsi="宋体" w:cs="宋体"/>
                <w:color w:val="auto"/>
                <w:sz w:val="24"/>
                <w:szCs w:val="24"/>
              </w:rPr>
              <w:t>功能描述：</w:t>
            </w:r>
          </w:p>
          <w:p w14:paraId="09022504">
            <w:pPr>
              <w:pStyle w:val="22"/>
              <w:numPr>
                <w:ilvl w:val="0"/>
                <w:numId w:val="143"/>
              </w:numPr>
              <w:ind w:left="0" w:firstLine="0"/>
              <w:rPr>
                <w:rFonts w:ascii="宋体" w:hAnsi="宋体" w:eastAsia="宋体" w:cs="宋体"/>
                <w:color w:val="auto"/>
                <w:sz w:val="24"/>
                <w:szCs w:val="24"/>
              </w:rPr>
            </w:pPr>
            <w:r>
              <w:rPr>
                <w:rFonts w:hint="eastAsia" w:ascii="宋体" w:hAnsi="宋体" w:eastAsia="宋体" w:cs="宋体"/>
                <w:color w:val="auto"/>
                <w:sz w:val="24"/>
                <w:szCs w:val="24"/>
              </w:rPr>
              <w:t>支持</w:t>
            </w:r>
            <w:r>
              <w:rPr>
                <w:rFonts w:ascii="宋体" w:hAnsi="宋体" w:eastAsia="宋体" w:cs="宋体"/>
                <w:color w:val="auto"/>
                <w:sz w:val="24"/>
                <w:szCs w:val="24"/>
              </w:rPr>
              <w:t>现场实时监测</w:t>
            </w:r>
            <w:r>
              <w:rPr>
                <w:rFonts w:hint="eastAsia" w:ascii="宋体" w:hAnsi="宋体" w:eastAsia="宋体" w:cs="宋体"/>
                <w:color w:val="auto"/>
                <w:sz w:val="24"/>
                <w:szCs w:val="24"/>
              </w:rPr>
              <w:t>，</w:t>
            </w:r>
            <w:r>
              <w:rPr>
                <w:rFonts w:ascii="宋体" w:hAnsi="宋体" w:eastAsia="宋体" w:cs="宋体"/>
                <w:color w:val="auto"/>
                <w:sz w:val="24"/>
                <w:szCs w:val="24"/>
              </w:rPr>
              <w:t>数据实时统计</w:t>
            </w:r>
            <w:r>
              <w:rPr>
                <w:rFonts w:hint="eastAsia" w:ascii="宋体" w:hAnsi="宋体" w:eastAsia="宋体" w:cs="宋体"/>
                <w:color w:val="auto"/>
                <w:sz w:val="24"/>
                <w:szCs w:val="24"/>
              </w:rPr>
              <w:t>，</w:t>
            </w:r>
            <w:r>
              <w:rPr>
                <w:rFonts w:ascii="宋体" w:hAnsi="宋体" w:eastAsia="宋体" w:cs="宋体"/>
                <w:color w:val="auto"/>
                <w:sz w:val="24"/>
                <w:szCs w:val="24"/>
              </w:rPr>
              <w:t>系统远程预警</w:t>
            </w:r>
            <w:r>
              <w:rPr>
                <w:rFonts w:hint="eastAsia" w:ascii="宋体" w:hAnsi="宋体" w:eastAsia="宋体" w:cs="宋体"/>
                <w:color w:val="auto"/>
                <w:sz w:val="24"/>
                <w:szCs w:val="24"/>
              </w:rPr>
              <w:t>；</w:t>
            </w:r>
          </w:p>
          <w:p w14:paraId="2446FEC0">
            <w:pPr>
              <w:numPr>
                <w:ilvl w:val="0"/>
                <w:numId w:val="142"/>
              </w:numPr>
              <w:ind w:left="0" w:firstLine="0"/>
              <w:jc w:val="left"/>
              <w:rPr>
                <w:rFonts w:ascii="宋体" w:hAnsi="宋体" w:cs="宋体"/>
                <w:color w:val="auto"/>
                <w:sz w:val="24"/>
                <w:szCs w:val="24"/>
              </w:rPr>
            </w:pPr>
            <w:r>
              <w:rPr>
                <w:rFonts w:hint="eastAsia" w:ascii="宋体" w:hAnsi="宋体" w:cs="宋体"/>
                <w:color w:val="auto"/>
                <w:sz w:val="24"/>
                <w:szCs w:val="24"/>
              </w:rPr>
              <w:t>智能空开设备参数：</w:t>
            </w:r>
          </w:p>
          <w:p w14:paraId="3697402C">
            <w:pPr>
              <w:pStyle w:val="22"/>
              <w:numPr>
                <w:ilvl w:val="0"/>
                <w:numId w:val="144"/>
              </w:numPr>
              <w:ind w:left="0" w:firstLine="0"/>
              <w:rPr>
                <w:color w:val="auto"/>
              </w:rPr>
            </w:pPr>
            <w:r>
              <w:rPr>
                <w:rFonts w:hint="eastAsia" w:ascii="宋体" w:hAnsi="宋体" w:eastAsia="宋体" w:cs="宋体"/>
                <w:color w:val="auto"/>
                <w:sz w:val="24"/>
                <w:szCs w:val="24"/>
              </w:rPr>
              <w:t>主要参数：</w:t>
            </w:r>
          </w:p>
          <w:p w14:paraId="420A0E0C">
            <w:pPr>
              <w:numPr>
                <w:ilvl w:val="0"/>
                <w:numId w:val="145"/>
              </w:numPr>
              <w:ind w:firstLine="0"/>
              <w:jc w:val="left"/>
              <w:rPr>
                <w:rFonts w:ascii="宋体" w:hAnsi="宋体" w:cs="宋体"/>
                <w:color w:val="auto"/>
                <w:sz w:val="24"/>
                <w:szCs w:val="24"/>
              </w:rPr>
            </w:pPr>
            <w:r>
              <w:rPr>
                <w:rFonts w:hint="eastAsia" w:ascii="宋体" w:hAnsi="宋体" w:cs="宋体"/>
                <w:color w:val="auto"/>
                <w:sz w:val="24"/>
                <w:szCs w:val="24"/>
              </w:rPr>
              <w:t>环境温度：</w:t>
            </w:r>
            <w:r>
              <w:rPr>
                <w:rFonts w:ascii="宋体" w:hAnsi="宋体" w:cs="宋体"/>
                <w:color w:val="auto"/>
                <w:sz w:val="24"/>
                <w:szCs w:val="24"/>
              </w:rPr>
              <w:t>-15℃～40℃;空气相对湿度：≤95%（</w:t>
            </w:r>
            <w:r>
              <w:rPr>
                <w:rFonts w:hint="eastAsia" w:ascii="宋体" w:hAnsi="宋体" w:cs="宋体"/>
                <w:color w:val="auto"/>
                <w:sz w:val="24"/>
                <w:szCs w:val="24"/>
              </w:rPr>
              <w:t>不凝露）</w:t>
            </w:r>
          </w:p>
          <w:p w14:paraId="74C5EA6B">
            <w:pPr>
              <w:numPr>
                <w:ilvl w:val="0"/>
                <w:numId w:val="145"/>
              </w:numPr>
              <w:ind w:firstLine="0"/>
              <w:jc w:val="left"/>
              <w:rPr>
                <w:rFonts w:ascii="宋体" w:hAnsi="宋体" w:cs="宋体"/>
                <w:color w:val="auto"/>
                <w:sz w:val="24"/>
                <w:szCs w:val="24"/>
              </w:rPr>
            </w:pPr>
            <w:r>
              <w:rPr>
                <w:rFonts w:hint="eastAsia" w:ascii="宋体" w:hAnsi="宋体" w:cs="宋体"/>
                <w:color w:val="auto"/>
                <w:sz w:val="24"/>
                <w:szCs w:val="24"/>
              </w:rPr>
              <w:t>海拔≤</w:t>
            </w:r>
            <w:r>
              <w:rPr>
                <w:rFonts w:ascii="宋体" w:hAnsi="宋体" w:cs="宋体"/>
                <w:color w:val="auto"/>
                <w:sz w:val="24"/>
                <w:szCs w:val="24"/>
              </w:rPr>
              <w:t>2000m;污染等级：2级;无显著振动和冲击的地方</w:t>
            </w:r>
          </w:p>
          <w:p w14:paraId="4AEC3187">
            <w:pPr>
              <w:numPr>
                <w:ilvl w:val="0"/>
                <w:numId w:val="145"/>
              </w:numPr>
              <w:ind w:firstLine="0"/>
              <w:jc w:val="left"/>
              <w:rPr>
                <w:rFonts w:ascii="宋体" w:hAnsi="宋体" w:cs="宋体"/>
                <w:color w:val="auto"/>
                <w:sz w:val="24"/>
                <w:szCs w:val="24"/>
              </w:rPr>
            </w:pPr>
            <w:r>
              <w:rPr>
                <w:rFonts w:hint="eastAsia" w:ascii="宋体" w:hAnsi="宋体" w:cs="宋体"/>
                <w:color w:val="auto"/>
                <w:sz w:val="24"/>
                <w:szCs w:val="24"/>
              </w:rPr>
              <w:t>输入电压：</w:t>
            </w:r>
            <w:r>
              <w:rPr>
                <w:rFonts w:ascii="宋体" w:hAnsi="宋体" w:cs="宋体"/>
                <w:color w:val="auto"/>
                <w:sz w:val="24"/>
                <w:szCs w:val="24"/>
              </w:rPr>
              <w:t>AC100V～250V。额定输出电压：DC12V。额定输出电流MAXDC2A。</w:t>
            </w:r>
          </w:p>
          <w:p w14:paraId="2A7A792B">
            <w:pPr>
              <w:numPr>
                <w:ilvl w:val="0"/>
                <w:numId w:val="145"/>
              </w:numPr>
              <w:ind w:firstLine="0"/>
              <w:jc w:val="left"/>
              <w:rPr>
                <w:rFonts w:ascii="宋体" w:hAnsi="宋体" w:cs="宋体"/>
                <w:color w:val="auto"/>
                <w:sz w:val="24"/>
                <w:szCs w:val="24"/>
              </w:rPr>
            </w:pPr>
            <w:r>
              <w:rPr>
                <w:rFonts w:hint="eastAsia" w:ascii="宋体" w:hAnsi="宋体" w:cs="宋体"/>
                <w:color w:val="auto"/>
                <w:sz w:val="24"/>
                <w:szCs w:val="24"/>
              </w:rPr>
              <w:t>防雷击浪涌保护，最大泄放电流：</w:t>
            </w:r>
            <w:r>
              <w:rPr>
                <w:rFonts w:ascii="宋体" w:hAnsi="宋体" w:cs="宋体"/>
                <w:color w:val="auto"/>
                <w:sz w:val="24"/>
                <w:szCs w:val="24"/>
              </w:rPr>
              <w:t>20kA。安装方式：导轨卡口。</w:t>
            </w:r>
          </w:p>
          <w:p w14:paraId="34CDF809">
            <w:pPr>
              <w:numPr>
                <w:ilvl w:val="0"/>
                <w:numId w:val="142"/>
              </w:numPr>
              <w:ind w:left="0" w:firstLine="0"/>
              <w:jc w:val="left"/>
              <w:rPr>
                <w:rFonts w:ascii="宋体" w:hAnsi="宋体" w:cs="宋体"/>
                <w:color w:val="auto"/>
                <w:sz w:val="24"/>
                <w:szCs w:val="24"/>
              </w:rPr>
            </w:pPr>
            <w:r>
              <w:rPr>
                <w:rFonts w:hint="eastAsia" w:ascii="宋体" w:hAnsi="宋体" w:cs="宋体"/>
                <w:color w:val="auto"/>
                <w:sz w:val="24"/>
                <w:szCs w:val="24"/>
              </w:rPr>
              <w:t>电源模组设备参数：、</w:t>
            </w:r>
          </w:p>
          <w:p w14:paraId="22A78DAE">
            <w:pPr>
              <w:pStyle w:val="22"/>
              <w:numPr>
                <w:ilvl w:val="0"/>
                <w:numId w:val="146"/>
              </w:numPr>
              <w:ind w:left="0" w:firstLine="0"/>
              <w:rPr>
                <w:color w:val="auto"/>
              </w:rPr>
            </w:pPr>
            <w:r>
              <w:rPr>
                <w:rFonts w:hint="eastAsia" w:ascii="宋体" w:hAnsi="宋体" w:eastAsia="宋体" w:cs="宋体"/>
                <w:color w:val="auto"/>
                <w:sz w:val="24"/>
                <w:szCs w:val="24"/>
              </w:rPr>
              <w:t>主要参数：</w:t>
            </w:r>
          </w:p>
          <w:p w14:paraId="09C77198">
            <w:pPr>
              <w:numPr>
                <w:ilvl w:val="0"/>
                <w:numId w:val="147"/>
              </w:numPr>
              <w:ind w:firstLine="0"/>
              <w:jc w:val="left"/>
              <w:rPr>
                <w:rFonts w:ascii="宋体" w:hAnsi="宋体" w:cs="宋体"/>
                <w:color w:val="auto"/>
                <w:sz w:val="24"/>
                <w:szCs w:val="24"/>
              </w:rPr>
            </w:pPr>
            <w:r>
              <w:rPr>
                <w:rFonts w:hint="eastAsia" w:ascii="宋体" w:hAnsi="宋体" w:cs="宋体"/>
                <w:color w:val="auto"/>
                <w:sz w:val="24"/>
                <w:szCs w:val="24"/>
              </w:rPr>
              <w:t>外形尺寸不高于</w:t>
            </w:r>
            <w:r>
              <w:rPr>
                <w:rFonts w:ascii="宋体" w:hAnsi="宋体" w:cs="宋体"/>
                <w:color w:val="auto"/>
                <w:sz w:val="24"/>
                <w:szCs w:val="24"/>
              </w:rPr>
              <w:t>94*35*70mm（尺寸公差：±1mm）;</w:t>
            </w:r>
            <w:r>
              <w:rPr>
                <w:rFonts w:hint="eastAsia" w:ascii="宋体" w:hAnsi="宋体" w:cs="宋体"/>
                <w:color w:val="auto"/>
                <w:sz w:val="24"/>
                <w:szCs w:val="24"/>
              </w:rPr>
              <w:t>安装占位</w:t>
            </w:r>
            <w:r>
              <w:rPr>
                <w:rFonts w:ascii="宋体" w:hAnsi="宋体" w:cs="宋体"/>
                <w:color w:val="auto"/>
                <w:sz w:val="24"/>
                <w:szCs w:val="24"/>
              </w:rPr>
              <w:t>2P;安装方式导轨卡扣安装</w:t>
            </w:r>
          </w:p>
          <w:p w14:paraId="785F6D4D">
            <w:pPr>
              <w:numPr>
                <w:ilvl w:val="0"/>
                <w:numId w:val="147"/>
              </w:numPr>
              <w:ind w:firstLine="0"/>
              <w:jc w:val="left"/>
              <w:rPr>
                <w:rFonts w:ascii="宋体" w:hAnsi="宋体" w:cs="宋体"/>
                <w:color w:val="auto"/>
                <w:sz w:val="24"/>
                <w:szCs w:val="24"/>
              </w:rPr>
            </w:pPr>
            <w:r>
              <w:rPr>
                <w:rFonts w:hint="eastAsia" w:ascii="宋体" w:hAnsi="宋体" w:cs="宋体"/>
                <w:color w:val="auto"/>
                <w:sz w:val="24"/>
                <w:szCs w:val="24"/>
              </w:rPr>
              <w:t>重量≈</w:t>
            </w:r>
            <w:r>
              <w:rPr>
                <w:rFonts w:ascii="宋体" w:hAnsi="宋体" w:cs="宋体"/>
                <w:color w:val="auto"/>
                <w:sz w:val="24"/>
                <w:szCs w:val="24"/>
              </w:rPr>
              <w:t>220g;允许线径MAX25mm;AC输入2*25mm;2接地端子25mm</w:t>
            </w:r>
          </w:p>
          <w:p w14:paraId="6137BBE1">
            <w:pPr>
              <w:numPr>
                <w:ilvl w:val="0"/>
                <w:numId w:val="147"/>
              </w:numPr>
              <w:ind w:firstLine="0"/>
              <w:jc w:val="left"/>
              <w:rPr>
                <w:rFonts w:ascii="宋体" w:hAnsi="宋体" w:cs="宋体"/>
                <w:color w:val="auto"/>
                <w:sz w:val="24"/>
                <w:szCs w:val="24"/>
              </w:rPr>
            </w:pPr>
            <w:r>
              <w:rPr>
                <w:rFonts w:ascii="宋体" w:hAnsi="宋体" w:cs="宋体"/>
                <w:color w:val="auto"/>
                <w:sz w:val="24"/>
                <w:szCs w:val="24"/>
              </w:rPr>
              <w:t>2DC输出6PIN针端子;电源指示灯红色+绿色;工作电压AC100VtoAC250V，输出电压DC12V;输出电流MAX2000mA</w:t>
            </w:r>
          </w:p>
          <w:p w14:paraId="70AFA1E3">
            <w:pPr>
              <w:numPr>
                <w:ilvl w:val="0"/>
                <w:numId w:val="147"/>
              </w:numPr>
              <w:ind w:firstLine="0"/>
              <w:jc w:val="left"/>
              <w:rPr>
                <w:rFonts w:ascii="宋体" w:hAnsi="宋体" w:cs="宋体"/>
                <w:color w:val="auto"/>
                <w:sz w:val="24"/>
                <w:szCs w:val="24"/>
              </w:rPr>
            </w:pPr>
            <w:r>
              <w:rPr>
                <w:rFonts w:hint="eastAsia" w:ascii="宋体" w:hAnsi="宋体" w:cs="宋体"/>
                <w:color w:val="auto"/>
                <w:sz w:val="24"/>
                <w:szCs w:val="24"/>
              </w:rPr>
              <w:t>静态功耗</w:t>
            </w:r>
            <w:r>
              <w:rPr>
                <w:rFonts w:ascii="宋体" w:hAnsi="宋体" w:cs="宋体"/>
                <w:color w:val="auto"/>
                <w:sz w:val="24"/>
                <w:szCs w:val="24"/>
              </w:rPr>
              <w:t>0.5W;工作温度-5to+45℃;额定泄放电流10kA;最大泄放电流20KA</w:t>
            </w:r>
          </w:p>
          <w:p w14:paraId="38C19EFB">
            <w:pPr>
              <w:numPr>
                <w:ilvl w:val="0"/>
                <w:numId w:val="142"/>
              </w:numPr>
              <w:ind w:left="0" w:firstLine="0"/>
              <w:jc w:val="left"/>
              <w:rPr>
                <w:rFonts w:ascii="宋体" w:hAnsi="宋体" w:cs="宋体"/>
                <w:color w:val="auto"/>
                <w:sz w:val="24"/>
                <w:szCs w:val="24"/>
              </w:rPr>
            </w:pPr>
            <w:r>
              <w:rPr>
                <w:rFonts w:hint="eastAsia" w:ascii="宋体" w:hAnsi="宋体" w:cs="宋体"/>
                <w:color w:val="auto"/>
                <w:sz w:val="24"/>
                <w:szCs w:val="24"/>
              </w:rPr>
              <w:t>通讯模组设备参数：</w:t>
            </w:r>
          </w:p>
          <w:p w14:paraId="129695BA">
            <w:pPr>
              <w:pStyle w:val="22"/>
              <w:numPr>
                <w:ilvl w:val="0"/>
                <w:numId w:val="148"/>
              </w:numPr>
              <w:ind w:left="0" w:firstLine="0"/>
              <w:rPr>
                <w:rFonts w:ascii="宋体" w:hAnsi="宋体" w:eastAsia="宋体" w:cs="宋体"/>
                <w:color w:val="auto"/>
                <w:sz w:val="24"/>
                <w:szCs w:val="24"/>
              </w:rPr>
            </w:pPr>
            <w:r>
              <w:rPr>
                <w:rFonts w:hint="eastAsia" w:ascii="宋体" w:hAnsi="宋体" w:eastAsia="宋体" w:cs="宋体"/>
                <w:color w:val="auto"/>
                <w:sz w:val="24"/>
                <w:szCs w:val="24"/>
              </w:rPr>
              <w:t>主要参数：</w:t>
            </w:r>
          </w:p>
          <w:p w14:paraId="75E3AC60">
            <w:pPr>
              <w:numPr>
                <w:ilvl w:val="0"/>
                <w:numId w:val="149"/>
              </w:numPr>
              <w:ind w:firstLine="0"/>
              <w:jc w:val="left"/>
              <w:rPr>
                <w:rFonts w:ascii="宋体" w:hAnsi="宋体" w:cs="宋体"/>
                <w:color w:val="auto"/>
                <w:sz w:val="24"/>
                <w:szCs w:val="24"/>
              </w:rPr>
            </w:pPr>
            <w:r>
              <w:rPr>
                <w:rFonts w:hint="eastAsia" w:ascii="宋体" w:hAnsi="宋体" w:cs="宋体"/>
                <w:color w:val="auto"/>
                <w:sz w:val="24"/>
                <w:szCs w:val="24"/>
              </w:rPr>
              <w:t>工作电压</w:t>
            </w:r>
            <w:r>
              <w:rPr>
                <w:rFonts w:ascii="宋体" w:hAnsi="宋体" w:cs="宋体"/>
                <w:color w:val="auto"/>
                <w:sz w:val="24"/>
                <w:szCs w:val="24"/>
              </w:rPr>
              <w:t>DC12V;功率消耗&lt;2W;工作温度-20~70℃存储温度-40~75℃;相对湿度5%~95%（无冷凝）</w:t>
            </w:r>
          </w:p>
          <w:p w14:paraId="4D1D0374">
            <w:pPr>
              <w:numPr>
                <w:ilvl w:val="0"/>
                <w:numId w:val="149"/>
              </w:numPr>
              <w:ind w:firstLine="0"/>
              <w:jc w:val="left"/>
              <w:rPr>
                <w:rFonts w:ascii="宋体" w:hAnsi="宋体" w:cs="宋体"/>
                <w:color w:val="auto"/>
                <w:sz w:val="24"/>
                <w:szCs w:val="24"/>
              </w:rPr>
            </w:pPr>
            <w:r>
              <w:rPr>
                <w:rFonts w:hint="eastAsia" w:ascii="宋体" w:hAnsi="宋体" w:cs="宋体"/>
                <w:color w:val="auto"/>
                <w:sz w:val="24"/>
                <w:szCs w:val="24"/>
              </w:rPr>
              <w:t>外形尺寸不高于</w:t>
            </w:r>
            <w:r>
              <w:rPr>
                <w:rFonts w:ascii="宋体" w:hAnsi="宋体" w:cs="宋体"/>
                <w:color w:val="auto"/>
                <w:sz w:val="24"/>
                <w:szCs w:val="24"/>
              </w:rPr>
              <w:t>109*72*18mm;</w:t>
            </w:r>
            <w:r>
              <w:rPr>
                <w:rFonts w:hint="eastAsia" w:ascii="宋体" w:hAnsi="宋体" w:cs="宋体"/>
                <w:color w:val="auto"/>
                <w:sz w:val="24"/>
                <w:szCs w:val="24"/>
              </w:rPr>
              <w:t>安装占位</w:t>
            </w:r>
            <w:r>
              <w:rPr>
                <w:rFonts w:ascii="宋体" w:hAnsi="宋体" w:cs="宋体"/>
                <w:color w:val="auto"/>
                <w:sz w:val="24"/>
                <w:szCs w:val="24"/>
              </w:rPr>
              <w:t>1P;安装方式35mm导轨安装;重量≈85g</w:t>
            </w:r>
          </w:p>
          <w:p w14:paraId="023AB763">
            <w:pPr>
              <w:numPr>
                <w:ilvl w:val="0"/>
                <w:numId w:val="149"/>
              </w:numPr>
              <w:ind w:firstLine="0"/>
              <w:jc w:val="left"/>
              <w:rPr>
                <w:rFonts w:ascii="宋体" w:hAnsi="宋体" w:cs="宋体"/>
                <w:color w:val="auto"/>
                <w:sz w:val="24"/>
                <w:szCs w:val="24"/>
              </w:rPr>
            </w:pPr>
            <w:r>
              <w:rPr>
                <w:rFonts w:ascii="宋体" w:hAnsi="宋体" w:cs="宋体"/>
                <w:color w:val="auto"/>
                <w:sz w:val="24"/>
                <w:szCs w:val="24"/>
              </w:rPr>
              <w:t>6PIN</w:t>
            </w:r>
            <w:r>
              <w:rPr>
                <w:rFonts w:hint="eastAsia" w:ascii="宋体" w:hAnsi="宋体" w:cs="宋体"/>
                <w:color w:val="auto"/>
                <w:sz w:val="24"/>
                <w:szCs w:val="24"/>
              </w:rPr>
              <w:t>数据口模组互联通讯接口，采用</w:t>
            </w:r>
            <w:r>
              <w:rPr>
                <w:rFonts w:ascii="宋体" w:hAnsi="宋体" w:cs="宋体"/>
                <w:color w:val="auto"/>
                <w:sz w:val="24"/>
                <w:szCs w:val="24"/>
              </w:rPr>
              <w:t>6PIN针连接;天线接口SMA;BUS蓝色;NET蓝色;SYS红色</w:t>
            </w:r>
          </w:p>
          <w:p w14:paraId="7729F7DA">
            <w:pPr>
              <w:numPr>
                <w:ilvl w:val="0"/>
                <w:numId w:val="142"/>
              </w:numPr>
              <w:ind w:left="0" w:firstLine="0"/>
              <w:jc w:val="left"/>
              <w:rPr>
                <w:rFonts w:ascii="宋体" w:hAnsi="宋体" w:cs="宋体"/>
                <w:color w:val="auto"/>
                <w:sz w:val="24"/>
                <w:szCs w:val="24"/>
              </w:rPr>
            </w:pPr>
            <w:r>
              <w:rPr>
                <w:rFonts w:hint="eastAsia" w:ascii="宋体" w:hAnsi="宋体" w:cs="宋体"/>
                <w:color w:val="auto"/>
                <w:sz w:val="24"/>
                <w:szCs w:val="24"/>
              </w:rPr>
              <w:t>联动模块设备参数：</w:t>
            </w:r>
          </w:p>
          <w:p w14:paraId="352FC94B">
            <w:pPr>
              <w:pStyle w:val="22"/>
              <w:numPr>
                <w:ilvl w:val="0"/>
                <w:numId w:val="150"/>
              </w:numPr>
              <w:ind w:left="0" w:firstLine="0"/>
              <w:rPr>
                <w:color w:val="auto"/>
              </w:rPr>
            </w:pPr>
            <w:r>
              <w:rPr>
                <w:rFonts w:hint="eastAsia" w:ascii="宋体" w:hAnsi="宋体" w:eastAsia="宋体" w:cs="宋体"/>
                <w:color w:val="auto"/>
                <w:sz w:val="24"/>
                <w:szCs w:val="24"/>
              </w:rPr>
              <w:t>主要参数：</w:t>
            </w:r>
          </w:p>
          <w:p w14:paraId="3150FBBA">
            <w:pPr>
              <w:numPr>
                <w:ilvl w:val="0"/>
                <w:numId w:val="151"/>
              </w:numPr>
              <w:ind w:firstLine="0"/>
              <w:jc w:val="left"/>
              <w:rPr>
                <w:rFonts w:ascii="宋体" w:hAnsi="宋体" w:cs="宋体"/>
                <w:color w:val="auto"/>
                <w:sz w:val="24"/>
                <w:szCs w:val="24"/>
              </w:rPr>
            </w:pPr>
            <w:r>
              <w:rPr>
                <w:rFonts w:hint="eastAsia" w:ascii="宋体" w:hAnsi="宋体" w:cs="宋体"/>
                <w:color w:val="auto"/>
                <w:sz w:val="24"/>
                <w:szCs w:val="24"/>
              </w:rPr>
              <w:t>工作电压</w:t>
            </w:r>
            <w:r>
              <w:rPr>
                <w:rFonts w:ascii="宋体" w:hAnsi="宋体" w:cs="宋体"/>
                <w:color w:val="auto"/>
                <w:sz w:val="24"/>
                <w:szCs w:val="24"/>
              </w:rPr>
              <w:t>DC12V;功率消耗1.5W;输出数;4个开关量继电器输出端子;4个数字量OC输出端子（光</w:t>
            </w:r>
            <w:r>
              <w:rPr>
                <w:rFonts w:hint="eastAsia" w:ascii="宋体" w:hAnsi="宋体" w:cs="宋体"/>
                <w:color w:val="auto"/>
                <w:sz w:val="24"/>
                <w:szCs w:val="24"/>
              </w:rPr>
              <w:t>耦的输入输出只能</w:t>
            </w:r>
            <w:r>
              <w:rPr>
                <w:rFonts w:ascii="宋体" w:hAnsi="宋体" w:cs="宋体"/>
                <w:color w:val="auto"/>
                <w:sz w:val="24"/>
                <w:szCs w:val="24"/>
              </w:rPr>
              <w:t>2选1）</w:t>
            </w:r>
          </w:p>
          <w:p w14:paraId="5C3796CC">
            <w:pPr>
              <w:numPr>
                <w:ilvl w:val="0"/>
                <w:numId w:val="151"/>
              </w:numPr>
              <w:ind w:firstLine="0"/>
              <w:jc w:val="left"/>
              <w:rPr>
                <w:rFonts w:ascii="宋体" w:hAnsi="宋体" w:cs="宋体"/>
                <w:color w:val="auto"/>
                <w:sz w:val="24"/>
                <w:szCs w:val="24"/>
              </w:rPr>
            </w:pPr>
            <w:r>
              <w:rPr>
                <w:rFonts w:hint="eastAsia" w:ascii="宋体" w:hAnsi="宋体" w:cs="宋体"/>
                <w:color w:val="auto"/>
                <w:sz w:val="24"/>
                <w:szCs w:val="24"/>
              </w:rPr>
              <w:t>输出类型</w:t>
            </w:r>
            <w:r>
              <w:rPr>
                <w:rFonts w:ascii="宋体" w:hAnsi="宋体" w:cs="宋体"/>
                <w:color w:val="auto"/>
                <w:sz w:val="24"/>
                <w:szCs w:val="24"/>
              </w:rPr>
              <w:t>;开关量继电器输出：支持最大负载能力：125VAC/0.5A，</w:t>
            </w:r>
            <w:r>
              <w:rPr>
                <w:rFonts w:hint="eastAsia" w:ascii="宋体" w:hAnsi="宋体" w:cs="宋体"/>
                <w:color w:val="auto"/>
                <w:sz w:val="24"/>
                <w:szCs w:val="24"/>
              </w:rPr>
              <w:t>持最大承受电压</w:t>
            </w:r>
            <w:r>
              <w:rPr>
                <w:rFonts w:ascii="宋体" w:hAnsi="宋体" w:cs="宋体"/>
                <w:color w:val="auto"/>
                <w:sz w:val="24"/>
                <w:szCs w:val="24"/>
              </w:rPr>
              <w:t>250VAC。各自独立，默认常开状态</w:t>
            </w:r>
          </w:p>
          <w:p w14:paraId="5307C921">
            <w:pPr>
              <w:numPr>
                <w:ilvl w:val="0"/>
                <w:numId w:val="151"/>
              </w:numPr>
              <w:ind w:firstLine="0"/>
              <w:jc w:val="left"/>
              <w:rPr>
                <w:rFonts w:ascii="宋体" w:hAnsi="宋体" w:cs="宋体"/>
                <w:color w:val="auto"/>
                <w:sz w:val="24"/>
                <w:szCs w:val="24"/>
              </w:rPr>
            </w:pPr>
            <w:r>
              <w:rPr>
                <w:rFonts w:hint="eastAsia" w:ascii="宋体" w:hAnsi="宋体" w:cs="宋体"/>
                <w:color w:val="auto"/>
                <w:sz w:val="24"/>
                <w:szCs w:val="24"/>
              </w:rPr>
              <w:t>报警输出时闭合</w:t>
            </w:r>
            <w:r>
              <w:rPr>
                <w:rFonts w:ascii="宋体" w:hAnsi="宋体" w:cs="宋体"/>
                <w:color w:val="auto"/>
                <w:sz w:val="24"/>
                <w:szCs w:val="24"/>
              </w:rPr>
              <w:t>;数字量OC输出：支持最大24V电压接入;输入数4个开关量输入端子（光</w:t>
            </w:r>
            <w:r>
              <w:rPr>
                <w:rFonts w:hint="eastAsia" w:ascii="宋体" w:hAnsi="宋体" w:cs="宋体"/>
                <w:color w:val="auto"/>
                <w:sz w:val="24"/>
                <w:szCs w:val="24"/>
              </w:rPr>
              <w:t>耦的输入输出只能</w:t>
            </w:r>
            <w:r>
              <w:rPr>
                <w:rFonts w:ascii="宋体" w:hAnsi="宋体" w:cs="宋体"/>
                <w:color w:val="auto"/>
                <w:sz w:val="24"/>
                <w:szCs w:val="24"/>
              </w:rPr>
              <w:t>2选1）;输入类型开关量（内置电源，干接点输入）</w:t>
            </w:r>
          </w:p>
          <w:p w14:paraId="1CF405EE">
            <w:pPr>
              <w:numPr>
                <w:ilvl w:val="0"/>
                <w:numId w:val="151"/>
              </w:numPr>
              <w:ind w:firstLine="0"/>
              <w:jc w:val="left"/>
              <w:rPr>
                <w:rFonts w:ascii="宋体" w:hAnsi="宋体" w:cs="宋体"/>
                <w:color w:val="auto"/>
                <w:sz w:val="24"/>
                <w:szCs w:val="24"/>
              </w:rPr>
            </w:pPr>
            <w:r>
              <w:rPr>
                <w:rFonts w:hint="eastAsia" w:ascii="宋体" w:hAnsi="宋体" w:cs="宋体"/>
                <w:color w:val="auto"/>
                <w:sz w:val="24"/>
                <w:szCs w:val="24"/>
              </w:rPr>
              <w:t>尺寸不高于</w:t>
            </w:r>
            <w:r>
              <w:rPr>
                <w:rFonts w:ascii="宋体" w:hAnsi="宋体" w:cs="宋体"/>
                <w:color w:val="auto"/>
                <w:sz w:val="24"/>
                <w:szCs w:val="24"/>
              </w:rPr>
              <w:t>94*70*18mm（尺寸公差：±1mm）;</w:t>
            </w:r>
            <w:r>
              <w:rPr>
                <w:rFonts w:hint="eastAsia" w:ascii="宋体" w:hAnsi="宋体" w:cs="宋体"/>
                <w:color w:val="auto"/>
                <w:sz w:val="24"/>
                <w:szCs w:val="24"/>
              </w:rPr>
              <w:t>安装占位</w:t>
            </w:r>
            <w:r>
              <w:rPr>
                <w:rFonts w:ascii="宋体" w:hAnsi="宋体" w:cs="宋体"/>
                <w:color w:val="auto"/>
                <w:sz w:val="24"/>
                <w:szCs w:val="24"/>
              </w:rPr>
              <w:t>1P;安装方式导轨安装;工作温度-15to+60℃</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36DE7D72">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29BCD12C">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138B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48D4975F">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12</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22CB34D">
            <w:pPr>
              <w:jc w:val="center"/>
              <w:rPr>
                <w:rFonts w:ascii="宋体" w:hAnsi="宋体" w:cs="宋体"/>
                <w:color w:val="auto"/>
                <w:sz w:val="24"/>
                <w:szCs w:val="24"/>
              </w:rPr>
            </w:pPr>
            <w:r>
              <w:rPr>
                <w:rFonts w:hint="eastAsia" w:ascii="宋体" w:hAnsi="宋体" w:cs="宋体"/>
                <w:color w:val="auto"/>
                <w:sz w:val="24"/>
                <w:szCs w:val="24"/>
              </w:rPr>
              <w:t>智能人脸留样冰箱</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72BA8675">
            <w:pPr>
              <w:numPr>
                <w:ilvl w:val="0"/>
                <w:numId w:val="152"/>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43F42FF1">
            <w:pPr>
              <w:numPr>
                <w:ilvl w:val="0"/>
                <w:numId w:val="153"/>
              </w:numPr>
              <w:ind w:left="0" w:firstLine="0"/>
              <w:jc w:val="left"/>
              <w:rPr>
                <w:rFonts w:ascii="宋体" w:hAnsi="宋体" w:cs="宋体"/>
                <w:color w:val="auto"/>
                <w:sz w:val="24"/>
                <w:szCs w:val="24"/>
              </w:rPr>
            </w:pPr>
            <w:r>
              <w:rPr>
                <w:rFonts w:ascii="宋体" w:hAnsi="宋体" w:cs="宋体"/>
                <w:color w:val="auto"/>
                <w:sz w:val="24"/>
                <w:szCs w:val="24"/>
              </w:rPr>
              <w:t>专人专用（人脸识别开门）、自动除霜</w:t>
            </w:r>
            <w:r>
              <w:rPr>
                <w:rFonts w:hint="eastAsia" w:ascii="宋体" w:hAnsi="宋体" w:cs="宋体"/>
                <w:color w:val="auto"/>
                <w:sz w:val="24"/>
                <w:szCs w:val="24"/>
              </w:rPr>
              <w:t>；</w:t>
            </w:r>
          </w:p>
          <w:p w14:paraId="12ECD273">
            <w:pPr>
              <w:numPr>
                <w:ilvl w:val="0"/>
                <w:numId w:val="153"/>
              </w:numPr>
              <w:ind w:left="0" w:firstLine="0"/>
              <w:jc w:val="left"/>
              <w:rPr>
                <w:rFonts w:ascii="宋体" w:hAnsi="宋体" w:cs="宋体"/>
                <w:color w:val="auto"/>
                <w:sz w:val="24"/>
                <w:szCs w:val="24"/>
              </w:rPr>
            </w:pPr>
            <w:r>
              <w:rPr>
                <w:rFonts w:ascii="宋体" w:hAnsi="宋体" w:cs="宋体"/>
                <w:color w:val="auto"/>
                <w:sz w:val="24"/>
                <w:szCs w:val="24"/>
              </w:rPr>
              <w:t>自动存档，记录人员、时间，方便回</w:t>
            </w:r>
            <w:r>
              <w:rPr>
                <w:rFonts w:hint="eastAsia" w:ascii="宋体" w:hAnsi="宋体" w:cs="宋体"/>
                <w:color w:val="auto"/>
                <w:sz w:val="24"/>
                <w:szCs w:val="24"/>
              </w:rPr>
              <w:t>溯；</w:t>
            </w:r>
          </w:p>
          <w:p w14:paraId="67D7CA0C">
            <w:pPr>
              <w:numPr>
                <w:ilvl w:val="0"/>
                <w:numId w:val="152"/>
              </w:numPr>
              <w:ind w:left="0" w:firstLine="0"/>
              <w:jc w:val="left"/>
              <w:rPr>
                <w:rFonts w:ascii="宋体" w:hAnsi="宋体" w:cs="宋体"/>
                <w:color w:val="auto"/>
                <w:sz w:val="24"/>
                <w:szCs w:val="24"/>
              </w:rPr>
            </w:pPr>
            <w:r>
              <w:rPr>
                <w:rFonts w:hint="eastAsia" w:ascii="宋体" w:hAnsi="宋体" w:cs="宋体"/>
                <w:color w:val="auto"/>
                <w:sz w:val="24"/>
                <w:szCs w:val="24"/>
              </w:rPr>
              <w:t>设备参数：</w:t>
            </w:r>
          </w:p>
          <w:p w14:paraId="73904AE3">
            <w:pPr>
              <w:numPr>
                <w:ilvl w:val="0"/>
                <w:numId w:val="154"/>
              </w:numPr>
              <w:ind w:left="0" w:firstLine="0"/>
              <w:jc w:val="left"/>
              <w:rPr>
                <w:rFonts w:ascii="宋体" w:hAnsi="宋体" w:cs="宋体"/>
                <w:color w:val="auto"/>
                <w:sz w:val="24"/>
                <w:szCs w:val="24"/>
              </w:rPr>
            </w:pPr>
            <w:r>
              <w:rPr>
                <w:rFonts w:hint="eastAsia" w:ascii="宋体" w:hAnsi="宋体" w:cs="宋体"/>
                <w:color w:val="auto"/>
                <w:sz w:val="24"/>
                <w:szCs w:val="24"/>
              </w:rPr>
              <w:t>主要</w:t>
            </w:r>
            <w:r>
              <w:rPr>
                <w:rFonts w:ascii="宋体" w:hAnsi="宋体" w:cs="宋体"/>
                <w:color w:val="auto"/>
                <w:sz w:val="24"/>
                <w:szCs w:val="24"/>
              </w:rPr>
              <w:t>参数：</w:t>
            </w:r>
          </w:p>
          <w:p w14:paraId="5774BB26">
            <w:pPr>
              <w:numPr>
                <w:ilvl w:val="0"/>
                <w:numId w:val="155"/>
              </w:numPr>
              <w:ind w:firstLine="0"/>
              <w:jc w:val="left"/>
              <w:rPr>
                <w:rFonts w:ascii="宋体" w:hAnsi="宋体" w:cs="宋体"/>
                <w:color w:val="auto"/>
                <w:sz w:val="24"/>
                <w:szCs w:val="24"/>
              </w:rPr>
            </w:pPr>
            <w:r>
              <w:rPr>
                <w:rFonts w:ascii="宋体" w:hAnsi="宋体" w:cs="宋体"/>
                <w:color w:val="auto"/>
                <w:sz w:val="24"/>
                <w:szCs w:val="24"/>
              </w:rPr>
              <w:t>外观尺寸：</w:t>
            </w:r>
            <w:r>
              <w:rPr>
                <w:rFonts w:hint="eastAsia" w:ascii="宋体" w:hAnsi="宋体" w:cs="宋体"/>
                <w:color w:val="auto"/>
                <w:sz w:val="24"/>
                <w:szCs w:val="24"/>
              </w:rPr>
              <w:t>不低于</w:t>
            </w:r>
            <w:r>
              <w:rPr>
                <w:rFonts w:ascii="宋体" w:hAnsi="宋体" w:cs="宋体"/>
                <w:color w:val="auto"/>
                <w:sz w:val="24"/>
                <w:szCs w:val="24"/>
              </w:rPr>
              <w:t>高X宽X厚=1980X1100X630mm</w:t>
            </w:r>
            <w:r>
              <w:rPr>
                <w:rFonts w:hint="eastAsia" w:ascii="宋体" w:hAnsi="宋体" w:cs="宋体"/>
                <w:color w:val="auto"/>
                <w:sz w:val="24"/>
                <w:szCs w:val="24"/>
              </w:rPr>
              <w:t>；</w:t>
            </w:r>
          </w:p>
          <w:p w14:paraId="53392B7C">
            <w:pPr>
              <w:numPr>
                <w:ilvl w:val="0"/>
                <w:numId w:val="155"/>
              </w:numPr>
              <w:ind w:firstLine="0"/>
              <w:jc w:val="left"/>
              <w:rPr>
                <w:rFonts w:ascii="宋体" w:hAnsi="宋体" w:cs="宋体"/>
                <w:color w:val="auto"/>
                <w:sz w:val="24"/>
                <w:szCs w:val="24"/>
              </w:rPr>
            </w:pPr>
            <w:r>
              <w:rPr>
                <w:rFonts w:ascii="宋体" w:hAnsi="宋体" w:cs="宋体"/>
                <w:color w:val="auto"/>
                <w:sz w:val="24"/>
                <w:szCs w:val="24"/>
              </w:rPr>
              <w:t>制冷温度范围：0到18度</w:t>
            </w:r>
            <w:r>
              <w:rPr>
                <w:rFonts w:hint="eastAsia" w:ascii="宋体" w:hAnsi="宋体" w:cs="宋体"/>
                <w:color w:val="auto"/>
                <w:sz w:val="24"/>
                <w:szCs w:val="24"/>
              </w:rPr>
              <w:t>；</w:t>
            </w:r>
          </w:p>
          <w:p w14:paraId="4B93903F">
            <w:pPr>
              <w:numPr>
                <w:ilvl w:val="0"/>
                <w:numId w:val="155"/>
              </w:numPr>
              <w:ind w:firstLine="0"/>
              <w:jc w:val="left"/>
              <w:rPr>
                <w:rFonts w:ascii="宋体" w:hAnsi="宋体" w:cs="宋体"/>
                <w:color w:val="auto"/>
                <w:sz w:val="24"/>
                <w:szCs w:val="24"/>
              </w:rPr>
            </w:pPr>
            <w:r>
              <w:rPr>
                <w:rFonts w:ascii="宋体" w:hAnsi="宋体" w:cs="宋体"/>
                <w:color w:val="auto"/>
                <w:sz w:val="24"/>
                <w:szCs w:val="24"/>
              </w:rPr>
              <w:t>自动除霜：具有自动除霜功能，确保蒸发器不结冰</w:t>
            </w:r>
            <w:r>
              <w:rPr>
                <w:rFonts w:hint="eastAsia" w:ascii="宋体" w:hAnsi="宋体" w:cs="宋体"/>
                <w:color w:val="auto"/>
                <w:sz w:val="24"/>
                <w:szCs w:val="24"/>
              </w:rPr>
              <w:t>；</w:t>
            </w:r>
          </w:p>
          <w:p w14:paraId="284F9ED7">
            <w:pPr>
              <w:numPr>
                <w:ilvl w:val="0"/>
                <w:numId w:val="155"/>
              </w:numPr>
              <w:ind w:firstLine="0"/>
              <w:jc w:val="left"/>
              <w:rPr>
                <w:rFonts w:ascii="宋体" w:hAnsi="宋体" w:cs="宋体"/>
                <w:color w:val="auto"/>
                <w:sz w:val="24"/>
                <w:szCs w:val="24"/>
              </w:rPr>
            </w:pPr>
            <w:r>
              <w:rPr>
                <w:rFonts w:ascii="宋体" w:hAnsi="宋体" w:cs="宋体"/>
                <w:color w:val="auto"/>
                <w:sz w:val="24"/>
                <w:szCs w:val="24"/>
              </w:rPr>
              <w:t>灯光控制：内部两壁具有照明LED灯管。顶部广告牌有灯光照明</w:t>
            </w:r>
            <w:r>
              <w:rPr>
                <w:rFonts w:hint="eastAsia" w:ascii="宋体" w:hAnsi="宋体" w:cs="宋体"/>
                <w:color w:val="auto"/>
                <w:sz w:val="24"/>
                <w:szCs w:val="24"/>
              </w:rPr>
              <w:t>；</w:t>
            </w:r>
          </w:p>
          <w:p w14:paraId="7F0A1465">
            <w:pPr>
              <w:numPr>
                <w:ilvl w:val="0"/>
                <w:numId w:val="154"/>
              </w:numPr>
              <w:ind w:left="0" w:firstLine="0"/>
              <w:jc w:val="left"/>
              <w:rPr>
                <w:rFonts w:ascii="宋体" w:hAnsi="宋体" w:cs="宋体"/>
                <w:color w:val="auto"/>
                <w:sz w:val="24"/>
                <w:szCs w:val="24"/>
              </w:rPr>
            </w:pPr>
            <w:r>
              <w:rPr>
                <w:rFonts w:ascii="宋体" w:hAnsi="宋体" w:cs="宋体"/>
                <w:color w:val="auto"/>
                <w:sz w:val="24"/>
                <w:szCs w:val="24"/>
              </w:rPr>
              <w:t>门禁系统</w:t>
            </w:r>
            <w:r>
              <w:rPr>
                <w:rFonts w:hint="eastAsia" w:ascii="宋体" w:hAnsi="宋体" w:cs="宋体"/>
                <w:color w:val="auto"/>
                <w:sz w:val="24"/>
                <w:szCs w:val="24"/>
              </w:rPr>
              <w:t>：</w:t>
            </w:r>
          </w:p>
          <w:p w14:paraId="5E9CFD51">
            <w:pPr>
              <w:pStyle w:val="22"/>
              <w:numPr>
                <w:ilvl w:val="0"/>
                <w:numId w:val="156"/>
              </w:numPr>
              <w:ind w:firstLine="0"/>
              <w:rPr>
                <w:rFonts w:ascii="宋体" w:hAnsi="宋体" w:eastAsia="宋体" w:cs="宋体"/>
                <w:color w:val="auto"/>
                <w:sz w:val="24"/>
                <w:szCs w:val="24"/>
              </w:rPr>
            </w:pPr>
            <w:r>
              <w:rPr>
                <w:rFonts w:ascii="宋体" w:hAnsi="宋体" w:eastAsia="宋体" w:cs="宋体"/>
                <w:color w:val="auto"/>
                <w:sz w:val="24"/>
                <w:szCs w:val="24"/>
              </w:rPr>
              <w:t>摄像头安装高度</w:t>
            </w:r>
            <w:r>
              <w:rPr>
                <w:rFonts w:hint="eastAsia" w:ascii="宋体" w:hAnsi="宋体" w:eastAsia="宋体" w:cs="宋体"/>
                <w:color w:val="auto"/>
                <w:sz w:val="24"/>
                <w:szCs w:val="24"/>
              </w:rPr>
              <w:t>：</w:t>
            </w:r>
            <w:r>
              <w:rPr>
                <w:rFonts w:ascii="宋体" w:hAnsi="宋体" w:eastAsia="宋体" w:cs="宋体"/>
                <w:color w:val="auto"/>
                <w:sz w:val="24"/>
                <w:szCs w:val="24"/>
              </w:rPr>
              <w:t>摄像头安装位置离地面在140cm到150cm之间</w:t>
            </w:r>
            <w:r>
              <w:rPr>
                <w:rFonts w:hint="eastAsia" w:ascii="宋体" w:hAnsi="宋体" w:eastAsia="宋体" w:cs="宋体"/>
                <w:color w:val="auto"/>
                <w:sz w:val="24"/>
                <w:szCs w:val="24"/>
              </w:rPr>
              <w:t>；</w:t>
            </w:r>
          </w:p>
          <w:p w14:paraId="28BBC804">
            <w:pPr>
              <w:pStyle w:val="22"/>
              <w:numPr>
                <w:ilvl w:val="0"/>
                <w:numId w:val="156"/>
              </w:numPr>
              <w:ind w:firstLine="0"/>
              <w:rPr>
                <w:rFonts w:ascii="宋体" w:hAnsi="宋体" w:eastAsia="宋体" w:cs="宋体"/>
                <w:color w:val="auto"/>
                <w:sz w:val="24"/>
                <w:szCs w:val="24"/>
              </w:rPr>
            </w:pPr>
            <w:r>
              <w:rPr>
                <w:rFonts w:ascii="宋体" w:hAnsi="宋体" w:eastAsia="宋体" w:cs="宋体"/>
                <w:color w:val="auto"/>
                <w:sz w:val="24"/>
                <w:szCs w:val="24"/>
              </w:rPr>
              <w:t>人脸识别要求</w:t>
            </w:r>
            <w:r>
              <w:rPr>
                <w:rFonts w:hint="eastAsia" w:ascii="宋体" w:hAnsi="宋体" w:eastAsia="宋体" w:cs="宋体"/>
                <w:color w:val="auto"/>
                <w:sz w:val="24"/>
                <w:szCs w:val="24"/>
              </w:rPr>
              <w:t>：</w:t>
            </w:r>
            <w:r>
              <w:rPr>
                <w:rFonts w:ascii="宋体" w:hAnsi="宋体" w:eastAsia="宋体" w:cs="宋体"/>
                <w:color w:val="auto"/>
                <w:sz w:val="24"/>
                <w:szCs w:val="24"/>
              </w:rPr>
              <w:t>具有双目立体人脸识别功能，具有较强的安全性</w:t>
            </w:r>
            <w:r>
              <w:rPr>
                <w:rFonts w:hint="eastAsia" w:ascii="宋体" w:hAnsi="宋体" w:eastAsia="宋体" w:cs="宋体"/>
                <w:color w:val="auto"/>
                <w:sz w:val="24"/>
                <w:szCs w:val="24"/>
              </w:rPr>
              <w:t>；</w:t>
            </w:r>
          </w:p>
          <w:p w14:paraId="3ACB74F8">
            <w:pPr>
              <w:pStyle w:val="22"/>
              <w:numPr>
                <w:ilvl w:val="0"/>
                <w:numId w:val="156"/>
              </w:numPr>
              <w:ind w:firstLine="0"/>
              <w:rPr>
                <w:rFonts w:ascii="宋体" w:hAnsi="宋体" w:eastAsia="宋体" w:cs="宋体"/>
                <w:color w:val="auto"/>
                <w:sz w:val="24"/>
                <w:szCs w:val="24"/>
              </w:rPr>
            </w:pPr>
            <w:r>
              <w:rPr>
                <w:rFonts w:ascii="宋体" w:hAnsi="宋体" w:eastAsia="宋体" w:cs="宋体"/>
                <w:color w:val="auto"/>
                <w:sz w:val="24"/>
                <w:szCs w:val="24"/>
              </w:rPr>
              <w:t>人脸数据设定</w:t>
            </w:r>
            <w:r>
              <w:rPr>
                <w:rFonts w:hint="eastAsia" w:ascii="宋体" w:hAnsi="宋体" w:eastAsia="宋体" w:cs="宋体"/>
                <w:color w:val="auto"/>
                <w:sz w:val="24"/>
                <w:szCs w:val="24"/>
              </w:rPr>
              <w:t>：</w:t>
            </w:r>
            <w:r>
              <w:rPr>
                <w:rFonts w:ascii="宋体" w:hAnsi="宋体" w:eastAsia="宋体" w:cs="宋体"/>
                <w:color w:val="auto"/>
                <w:sz w:val="24"/>
                <w:szCs w:val="24"/>
              </w:rPr>
              <w:t>可以设定不少于100张预置人脸</w:t>
            </w:r>
            <w:r>
              <w:rPr>
                <w:rFonts w:hint="eastAsia" w:ascii="宋体" w:hAnsi="宋体" w:eastAsia="宋体" w:cs="宋体"/>
                <w:color w:val="auto"/>
                <w:sz w:val="24"/>
                <w:szCs w:val="24"/>
              </w:rPr>
              <w:t>；</w:t>
            </w:r>
          </w:p>
          <w:p w14:paraId="4B3FF7D7">
            <w:pPr>
              <w:pStyle w:val="22"/>
              <w:numPr>
                <w:ilvl w:val="0"/>
                <w:numId w:val="156"/>
              </w:numPr>
              <w:ind w:firstLine="0"/>
              <w:rPr>
                <w:rFonts w:ascii="宋体" w:hAnsi="宋体" w:eastAsia="宋体" w:cs="宋体"/>
                <w:color w:val="auto"/>
                <w:sz w:val="24"/>
                <w:szCs w:val="24"/>
              </w:rPr>
            </w:pPr>
            <w:r>
              <w:rPr>
                <w:rFonts w:ascii="宋体" w:hAnsi="宋体" w:eastAsia="宋体" w:cs="宋体"/>
                <w:color w:val="auto"/>
                <w:sz w:val="24"/>
                <w:szCs w:val="24"/>
              </w:rPr>
              <w:t>玻璃门锁</w:t>
            </w:r>
            <w:r>
              <w:rPr>
                <w:rFonts w:hint="eastAsia" w:ascii="宋体" w:hAnsi="宋体" w:eastAsia="宋体" w:cs="宋体"/>
                <w:color w:val="auto"/>
                <w:sz w:val="24"/>
                <w:szCs w:val="24"/>
              </w:rPr>
              <w:t>：</w:t>
            </w:r>
            <w:r>
              <w:rPr>
                <w:rFonts w:ascii="宋体" w:hAnsi="宋体" w:eastAsia="宋体" w:cs="宋体"/>
                <w:color w:val="auto"/>
                <w:sz w:val="24"/>
                <w:szCs w:val="24"/>
              </w:rPr>
              <w:t>每个柜门都有独立门锁，并可通过门禁系统控制，刷脸开门。6秒落锁</w:t>
            </w:r>
            <w:r>
              <w:rPr>
                <w:rFonts w:hint="eastAsia" w:ascii="宋体" w:hAnsi="宋体" w:eastAsia="宋体" w:cs="宋体"/>
                <w:color w:val="auto"/>
                <w:sz w:val="24"/>
                <w:szCs w:val="24"/>
              </w:rPr>
              <w:t>；</w:t>
            </w:r>
          </w:p>
          <w:p w14:paraId="028609C7">
            <w:pPr>
              <w:pStyle w:val="22"/>
              <w:numPr>
                <w:ilvl w:val="0"/>
                <w:numId w:val="156"/>
              </w:numPr>
              <w:ind w:firstLine="0"/>
              <w:rPr>
                <w:rFonts w:ascii="宋体" w:hAnsi="宋体" w:eastAsia="宋体" w:cs="宋体"/>
                <w:color w:val="auto"/>
                <w:sz w:val="24"/>
                <w:szCs w:val="24"/>
              </w:rPr>
            </w:pPr>
            <w:r>
              <w:rPr>
                <w:rFonts w:ascii="宋体" w:hAnsi="宋体" w:eastAsia="宋体" w:cs="宋体"/>
                <w:color w:val="auto"/>
                <w:sz w:val="24"/>
                <w:szCs w:val="24"/>
              </w:rPr>
              <w:t>开门数据</w:t>
            </w:r>
            <w:r>
              <w:rPr>
                <w:rFonts w:hint="eastAsia" w:ascii="宋体" w:hAnsi="宋体" w:eastAsia="宋体" w:cs="宋体"/>
                <w:color w:val="auto"/>
                <w:sz w:val="24"/>
                <w:szCs w:val="24"/>
              </w:rPr>
              <w:t>：</w:t>
            </w:r>
            <w:r>
              <w:rPr>
                <w:rFonts w:ascii="宋体" w:hAnsi="宋体" w:eastAsia="宋体" w:cs="宋体"/>
                <w:color w:val="auto"/>
                <w:sz w:val="24"/>
                <w:szCs w:val="24"/>
              </w:rPr>
              <w:t>门禁系统具有数据接口，可以把人员数据和开关门记录数据上传到远程服务器</w:t>
            </w:r>
            <w:r>
              <w:rPr>
                <w:rFonts w:hint="eastAsia" w:ascii="宋体" w:hAnsi="宋体" w:eastAsia="宋体" w:cs="宋体"/>
                <w:color w:val="auto"/>
                <w:sz w:val="24"/>
                <w:szCs w:val="24"/>
              </w:rPr>
              <w:t>；</w:t>
            </w:r>
          </w:p>
          <w:p w14:paraId="5C365981">
            <w:pPr>
              <w:numPr>
                <w:ilvl w:val="0"/>
                <w:numId w:val="154"/>
              </w:numPr>
              <w:ind w:left="0" w:firstLine="0"/>
              <w:jc w:val="left"/>
              <w:rPr>
                <w:rFonts w:ascii="宋体" w:hAnsi="宋体" w:cs="宋体"/>
                <w:color w:val="auto"/>
                <w:sz w:val="24"/>
                <w:szCs w:val="24"/>
              </w:rPr>
            </w:pPr>
            <w:r>
              <w:rPr>
                <w:rFonts w:ascii="宋体" w:hAnsi="宋体" w:cs="宋体"/>
                <w:color w:val="auto"/>
                <w:sz w:val="24"/>
                <w:szCs w:val="24"/>
              </w:rPr>
              <w:t>性能指标</w:t>
            </w:r>
            <w:r>
              <w:rPr>
                <w:rFonts w:hint="eastAsia" w:ascii="宋体" w:hAnsi="宋体" w:cs="宋体"/>
                <w:color w:val="auto"/>
                <w:sz w:val="24"/>
                <w:szCs w:val="24"/>
              </w:rPr>
              <w:t>：</w:t>
            </w:r>
          </w:p>
          <w:p w14:paraId="5D7F4EA9">
            <w:pPr>
              <w:numPr>
                <w:ilvl w:val="0"/>
                <w:numId w:val="157"/>
              </w:numPr>
              <w:ind w:firstLine="0"/>
              <w:rPr>
                <w:rFonts w:ascii="宋体" w:hAnsi="宋体" w:cs="宋体"/>
                <w:color w:val="auto"/>
                <w:sz w:val="24"/>
                <w:szCs w:val="24"/>
              </w:rPr>
            </w:pPr>
            <w:r>
              <w:rPr>
                <w:rFonts w:ascii="宋体" w:hAnsi="宋体" w:cs="宋体"/>
                <w:color w:val="auto"/>
                <w:sz w:val="24"/>
                <w:szCs w:val="24"/>
              </w:rPr>
              <w:t>降温速度</w:t>
            </w:r>
            <w:r>
              <w:rPr>
                <w:rFonts w:hint="eastAsia" w:ascii="宋体" w:hAnsi="宋体" w:cs="宋体"/>
                <w:color w:val="auto"/>
                <w:sz w:val="24"/>
                <w:szCs w:val="24"/>
              </w:rPr>
              <w:t>：</w:t>
            </w:r>
            <w:r>
              <w:rPr>
                <w:rFonts w:ascii="宋体" w:hAnsi="宋体" w:cs="宋体"/>
                <w:color w:val="auto"/>
                <w:sz w:val="24"/>
                <w:szCs w:val="24"/>
              </w:rPr>
              <w:t>环境温度30度时，制冷启动后，内部从环境温度降温到5度，不多于20分钟</w:t>
            </w:r>
            <w:r>
              <w:rPr>
                <w:rFonts w:hint="eastAsia" w:ascii="宋体" w:hAnsi="宋体" w:cs="宋体"/>
                <w:color w:val="auto"/>
                <w:sz w:val="24"/>
                <w:szCs w:val="24"/>
              </w:rPr>
              <w:t>；</w:t>
            </w:r>
          </w:p>
          <w:p w14:paraId="01148009">
            <w:pPr>
              <w:numPr>
                <w:ilvl w:val="0"/>
                <w:numId w:val="157"/>
              </w:numPr>
              <w:ind w:firstLine="0"/>
              <w:rPr>
                <w:rFonts w:ascii="宋体" w:hAnsi="宋体" w:cs="宋体"/>
                <w:color w:val="auto"/>
                <w:sz w:val="24"/>
                <w:szCs w:val="24"/>
              </w:rPr>
            </w:pPr>
            <w:r>
              <w:rPr>
                <w:rFonts w:ascii="宋体" w:hAnsi="宋体" w:cs="宋体"/>
                <w:color w:val="auto"/>
                <w:sz w:val="24"/>
                <w:szCs w:val="24"/>
              </w:rPr>
              <w:t>人脸识别准确率</w:t>
            </w:r>
            <w:r>
              <w:rPr>
                <w:rFonts w:hint="eastAsia" w:ascii="宋体" w:hAnsi="宋体" w:cs="宋体"/>
                <w:color w:val="auto"/>
                <w:sz w:val="24"/>
                <w:szCs w:val="24"/>
              </w:rPr>
              <w:t>：</w:t>
            </w:r>
            <w:r>
              <w:rPr>
                <w:rFonts w:ascii="宋体" w:hAnsi="宋体" w:cs="宋体"/>
                <w:color w:val="auto"/>
                <w:sz w:val="24"/>
                <w:szCs w:val="24"/>
              </w:rPr>
              <w:t>识别率高于95%，误识别率低于万分之一</w:t>
            </w:r>
            <w:r>
              <w:rPr>
                <w:rFonts w:hint="eastAsia" w:ascii="宋体" w:hAnsi="宋体" w:cs="宋体"/>
                <w:color w:val="auto"/>
                <w:sz w:val="24"/>
                <w:szCs w:val="24"/>
              </w:rPr>
              <w:t>；</w:t>
            </w:r>
          </w:p>
          <w:p w14:paraId="4E4B70EB">
            <w:pPr>
              <w:numPr>
                <w:ilvl w:val="0"/>
                <w:numId w:val="157"/>
              </w:numPr>
              <w:ind w:firstLine="0"/>
              <w:rPr>
                <w:rFonts w:ascii="宋体" w:hAnsi="宋体" w:cs="宋体"/>
                <w:color w:val="auto"/>
                <w:sz w:val="24"/>
                <w:szCs w:val="24"/>
              </w:rPr>
            </w:pPr>
            <w:r>
              <w:rPr>
                <w:rFonts w:ascii="宋体" w:hAnsi="宋体" w:cs="宋体"/>
                <w:color w:val="auto"/>
                <w:sz w:val="24"/>
                <w:szCs w:val="24"/>
              </w:rPr>
              <w:t>落锁要求</w:t>
            </w:r>
            <w:r>
              <w:rPr>
                <w:rFonts w:hint="eastAsia" w:ascii="宋体" w:hAnsi="宋体" w:cs="宋体"/>
                <w:color w:val="auto"/>
                <w:sz w:val="24"/>
                <w:szCs w:val="24"/>
              </w:rPr>
              <w:t>：</w:t>
            </w:r>
            <w:r>
              <w:rPr>
                <w:rFonts w:ascii="宋体" w:hAnsi="宋体" w:cs="宋体"/>
                <w:color w:val="auto"/>
                <w:sz w:val="24"/>
                <w:szCs w:val="24"/>
              </w:rPr>
              <w:t>人脸识别成功，开锁。开锁后6秒内柜门没有打开即重新上锁</w:t>
            </w:r>
            <w:r>
              <w:rPr>
                <w:rFonts w:hint="eastAsia" w:ascii="宋体" w:hAnsi="宋体" w:cs="宋体"/>
                <w:color w:val="auto"/>
                <w:sz w:val="24"/>
                <w:szCs w:val="24"/>
              </w:rPr>
              <w:t>；</w:t>
            </w:r>
          </w:p>
          <w:p w14:paraId="580D0295">
            <w:pPr>
              <w:numPr>
                <w:ilvl w:val="0"/>
                <w:numId w:val="157"/>
              </w:numPr>
              <w:ind w:firstLine="0"/>
              <w:rPr>
                <w:rFonts w:ascii="宋体" w:hAnsi="宋体" w:cs="宋体"/>
                <w:color w:val="auto"/>
                <w:sz w:val="24"/>
                <w:szCs w:val="24"/>
              </w:rPr>
            </w:pPr>
            <w:r>
              <w:rPr>
                <w:rFonts w:ascii="宋体" w:hAnsi="宋体" w:cs="宋体"/>
                <w:color w:val="auto"/>
                <w:sz w:val="24"/>
                <w:szCs w:val="24"/>
              </w:rPr>
              <w:t>门禁抗干扰能力</w:t>
            </w:r>
            <w:r>
              <w:rPr>
                <w:rFonts w:hint="eastAsia" w:ascii="宋体" w:hAnsi="宋体" w:cs="宋体"/>
                <w:color w:val="auto"/>
                <w:sz w:val="24"/>
                <w:szCs w:val="24"/>
              </w:rPr>
              <w:t>：</w:t>
            </w:r>
            <w:r>
              <w:rPr>
                <w:rFonts w:ascii="宋体" w:hAnsi="宋体" w:cs="宋体"/>
                <w:color w:val="auto"/>
                <w:sz w:val="24"/>
                <w:szCs w:val="24"/>
              </w:rPr>
              <w:t>门禁在接地良好情况下，不出现触控不灵情况</w:t>
            </w:r>
            <w:r>
              <w:rPr>
                <w:rFonts w:hint="eastAsia" w:ascii="宋体" w:hAnsi="宋体" w:cs="宋体"/>
                <w:color w:val="auto"/>
                <w:sz w:val="24"/>
                <w:szCs w:val="24"/>
              </w:rPr>
              <w:t>；</w:t>
            </w:r>
          </w:p>
          <w:p w14:paraId="7454DA3A">
            <w:pPr>
              <w:numPr>
                <w:ilvl w:val="0"/>
                <w:numId w:val="157"/>
              </w:numPr>
              <w:ind w:firstLine="0"/>
              <w:rPr>
                <w:rFonts w:ascii="宋体" w:hAnsi="宋体" w:cs="宋体"/>
                <w:color w:val="auto"/>
                <w:sz w:val="24"/>
                <w:szCs w:val="24"/>
              </w:rPr>
            </w:pPr>
            <w:r>
              <w:rPr>
                <w:rFonts w:ascii="宋体" w:hAnsi="宋体" w:cs="宋体"/>
                <w:color w:val="auto"/>
                <w:sz w:val="24"/>
                <w:szCs w:val="24"/>
              </w:rPr>
              <w:t>耗电量</w:t>
            </w:r>
            <w:r>
              <w:rPr>
                <w:rFonts w:hint="eastAsia" w:ascii="宋体" w:hAnsi="宋体" w:cs="宋体"/>
                <w:color w:val="auto"/>
                <w:sz w:val="24"/>
                <w:szCs w:val="24"/>
              </w:rPr>
              <w:t>：</w:t>
            </w:r>
            <w:r>
              <w:rPr>
                <w:rFonts w:ascii="宋体" w:hAnsi="宋体" w:cs="宋体"/>
                <w:color w:val="auto"/>
                <w:sz w:val="24"/>
                <w:szCs w:val="24"/>
              </w:rPr>
              <w:t>环境温度30度时，设定温度为5度，24小时耗电量小于4.5KWH</w:t>
            </w:r>
            <w:r>
              <w:rPr>
                <w:rFonts w:hint="eastAsia" w:ascii="宋体" w:hAnsi="宋体" w:cs="宋体"/>
                <w:color w:val="auto"/>
                <w:sz w:val="24"/>
                <w:szCs w:val="24"/>
              </w:rPr>
              <w:t>；</w:t>
            </w:r>
          </w:p>
          <w:p w14:paraId="2A1DFEE2">
            <w:pPr>
              <w:numPr>
                <w:ilvl w:val="0"/>
                <w:numId w:val="154"/>
              </w:numPr>
              <w:ind w:left="0" w:firstLine="0"/>
              <w:jc w:val="left"/>
              <w:rPr>
                <w:color w:val="auto"/>
              </w:rPr>
            </w:pPr>
            <w:r>
              <w:rPr>
                <w:rFonts w:hint="eastAsia" w:ascii="宋体" w:hAnsi="宋体" w:cs="宋体"/>
                <w:color w:val="auto"/>
                <w:sz w:val="24"/>
                <w:szCs w:val="24"/>
              </w:rPr>
              <w:t>运行环境</w:t>
            </w:r>
          </w:p>
          <w:p w14:paraId="10F25116">
            <w:pPr>
              <w:numPr>
                <w:ilvl w:val="0"/>
                <w:numId w:val="158"/>
              </w:numPr>
              <w:ind w:firstLine="0"/>
              <w:jc w:val="left"/>
              <w:rPr>
                <w:rFonts w:ascii="宋体" w:hAnsi="宋体" w:cs="宋体"/>
                <w:color w:val="auto"/>
                <w:sz w:val="24"/>
                <w:szCs w:val="24"/>
              </w:rPr>
            </w:pPr>
            <w:r>
              <w:rPr>
                <w:rFonts w:ascii="宋体" w:hAnsi="宋体" w:cs="宋体"/>
                <w:color w:val="auto"/>
                <w:sz w:val="24"/>
                <w:szCs w:val="24"/>
              </w:rPr>
              <w:t>环境温度：0到40度</w:t>
            </w:r>
            <w:r>
              <w:rPr>
                <w:rFonts w:hint="eastAsia" w:ascii="宋体" w:hAnsi="宋体" w:cs="宋体"/>
                <w:color w:val="auto"/>
                <w:sz w:val="24"/>
                <w:szCs w:val="24"/>
              </w:rPr>
              <w:t>；</w:t>
            </w:r>
          </w:p>
          <w:p w14:paraId="73E9831A">
            <w:pPr>
              <w:numPr>
                <w:ilvl w:val="0"/>
                <w:numId w:val="158"/>
              </w:numPr>
              <w:ind w:firstLine="0"/>
              <w:jc w:val="left"/>
              <w:rPr>
                <w:rFonts w:ascii="宋体" w:hAnsi="宋体" w:cs="宋体"/>
                <w:color w:val="auto"/>
                <w:sz w:val="24"/>
                <w:szCs w:val="24"/>
              </w:rPr>
            </w:pPr>
            <w:r>
              <w:rPr>
                <w:rFonts w:ascii="宋体" w:hAnsi="宋体" w:cs="宋体"/>
                <w:color w:val="auto"/>
                <w:sz w:val="24"/>
                <w:szCs w:val="24"/>
              </w:rPr>
              <w:t>环境湿度：20%到95%</w:t>
            </w:r>
            <w:r>
              <w:rPr>
                <w:rFonts w:hint="eastAsia" w:ascii="宋体" w:hAnsi="宋体" w:cs="宋体"/>
                <w:color w:val="auto"/>
                <w:sz w:val="24"/>
                <w:szCs w:val="24"/>
              </w:rPr>
              <w:t>；</w:t>
            </w:r>
          </w:p>
          <w:p w14:paraId="6D2BDE4C">
            <w:pPr>
              <w:numPr>
                <w:ilvl w:val="0"/>
                <w:numId w:val="158"/>
              </w:numPr>
              <w:ind w:firstLine="0"/>
              <w:jc w:val="left"/>
              <w:rPr>
                <w:rFonts w:ascii="宋体" w:hAnsi="宋体" w:cs="宋体"/>
                <w:color w:val="auto"/>
                <w:sz w:val="24"/>
                <w:szCs w:val="24"/>
              </w:rPr>
            </w:pPr>
            <w:r>
              <w:rPr>
                <w:rFonts w:ascii="宋体" w:hAnsi="宋体" w:cs="宋体"/>
                <w:color w:val="auto"/>
                <w:sz w:val="24"/>
                <w:szCs w:val="24"/>
              </w:rPr>
              <w:t>海拔高度：&lt;2000米</w:t>
            </w:r>
            <w:r>
              <w:rPr>
                <w:rFonts w:hint="eastAsia" w:ascii="宋体" w:hAnsi="宋体" w:cs="宋体"/>
                <w:color w:val="auto"/>
                <w:sz w:val="24"/>
                <w:szCs w:val="24"/>
              </w:rPr>
              <w:t>；</w:t>
            </w:r>
          </w:p>
          <w:p w14:paraId="05FDD202">
            <w:pPr>
              <w:numPr>
                <w:ilvl w:val="0"/>
                <w:numId w:val="158"/>
              </w:numPr>
              <w:ind w:firstLine="0"/>
              <w:jc w:val="left"/>
              <w:rPr>
                <w:rFonts w:ascii="宋体" w:hAnsi="宋体" w:cs="宋体"/>
                <w:color w:val="auto"/>
                <w:sz w:val="24"/>
                <w:szCs w:val="24"/>
              </w:rPr>
            </w:pPr>
            <w:r>
              <w:rPr>
                <w:rFonts w:ascii="宋体" w:hAnsi="宋体" w:cs="宋体"/>
                <w:color w:val="auto"/>
                <w:sz w:val="24"/>
                <w:szCs w:val="24"/>
              </w:rPr>
              <w:t>供电系统：电压220V，频率50Hz</w:t>
            </w:r>
            <w:r>
              <w:rPr>
                <w:rFonts w:hint="eastAsia" w:ascii="宋体" w:hAnsi="宋体" w:cs="宋体"/>
                <w:color w:val="auto"/>
                <w:sz w:val="24"/>
                <w:szCs w:val="24"/>
              </w:rPr>
              <w:t>；</w:t>
            </w:r>
          </w:p>
          <w:p w14:paraId="5CB82B7B">
            <w:pPr>
              <w:pStyle w:val="22"/>
              <w:numPr>
                <w:ilvl w:val="0"/>
                <w:numId w:val="158"/>
              </w:numPr>
              <w:ind w:firstLine="0"/>
              <w:rPr>
                <w:rFonts w:ascii="宋体" w:hAnsi="宋体" w:eastAsia="宋体" w:cs="宋体"/>
                <w:color w:val="auto"/>
                <w:sz w:val="24"/>
                <w:szCs w:val="24"/>
              </w:rPr>
            </w:pPr>
            <w:r>
              <w:rPr>
                <w:rFonts w:ascii="宋体" w:hAnsi="宋体" w:eastAsia="宋体" w:cs="宋体"/>
                <w:color w:val="auto"/>
                <w:sz w:val="24"/>
                <w:szCs w:val="24"/>
              </w:rPr>
              <w:t>支持查询开门留样事件，留样事件支持自动生成，且保持5年以上</w:t>
            </w:r>
            <w:r>
              <w:rPr>
                <w:rFonts w:hint="eastAsia" w:ascii="宋体" w:hAnsi="宋体" w:eastAsia="宋体" w:cs="宋体"/>
                <w:color w:val="auto"/>
                <w:sz w:val="24"/>
                <w:szCs w:val="24"/>
              </w:rPr>
              <w:t>；</w:t>
            </w:r>
          </w:p>
          <w:p w14:paraId="4D53A9ED">
            <w:pPr>
              <w:pStyle w:val="22"/>
              <w:numPr>
                <w:ilvl w:val="0"/>
                <w:numId w:val="158"/>
              </w:numPr>
              <w:ind w:firstLine="0"/>
              <w:rPr>
                <w:color w:val="auto"/>
              </w:rPr>
            </w:pPr>
            <w:r>
              <w:rPr>
                <w:rFonts w:ascii="宋体" w:hAnsi="宋体" w:eastAsia="宋体" w:cs="宋体"/>
                <w:color w:val="auto"/>
                <w:sz w:val="24"/>
                <w:szCs w:val="24"/>
              </w:rPr>
              <w:t>支持留样区域及权限设定，可限定留样冰箱用于档口留样还是大餐留样</w:t>
            </w:r>
            <w:r>
              <w:rPr>
                <w:rFonts w:hint="eastAsia" w:ascii="宋体" w:hAnsi="宋体" w:eastAsia="宋体" w:cs="宋体"/>
                <w:color w:val="auto"/>
                <w:sz w:val="24"/>
                <w:szCs w:val="24"/>
              </w:rPr>
              <w:t>；</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5DD31F9">
            <w:pPr>
              <w:jc w:val="center"/>
              <w:rPr>
                <w:rFonts w:ascii="宋体" w:hAnsi="宋体" w:cs="宋体"/>
                <w:color w:val="auto"/>
                <w:sz w:val="24"/>
                <w:szCs w:val="24"/>
              </w:rPr>
            </w:pPr>
            <w:r>
              <w:rPr>
                <w:rFonts w:hint="eastAsia" w:ascii="宋体" w:hAnsi="宋体" w:cs="宋体"/>
                <w:color w:val="auto"/>
                <w:sz w:val="24"/>
                <w:szCs w:val="24"/>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758A3681">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7549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43810FE6">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13</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56231F93">
            <w:pPr>
              <w:jc w:val="center"/>
              <w:rPr>
                <w:rFonts w:ascii="宋体" w:hAnsi="宋体" w:cs="宋体"/>
                <w:color w:val="auto"/>
                <w:sz w:val="24"/>
                <w:szCs w:val="24"/>
              </w:rPr>
            </w:pPr>
            <w:r>
              <w:rPr>
                <w:rFonts w:hint="eastAsia" w:ascii="宋体" w:hAnsi="宋体" w:cs="宋体"/>
                <w:color w:val="auto"/>
                <w:sz w:val="24"/>
                <w:szCs w:val="24"/>
              </w:rPr>
              <w:t>多功能食品安全检测仪</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527AB115">
            <w:pPr>
              <w:numPr>
                <w:ilvl w:val="0"/>
                <w:numId w:val="159"/>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55D92AD5">
            <w:pPr>
              <w:numPr>
                <w:ilvl w:val="0"/>
                <w:numId w:val="160"/>
              </w:numPr>
              <w:ind w:left="0" w:firstLine="0"/>
              <w:jc w:val="left"/>
              <w:rPr>
                <w:rFonts w:ascii="宋体" w:hAnsi="宋体" w:cs="宋体"/>
                <w:color w:val="auto"/>
                <w:sz w:val="24"/>
                <w:szCs w:val="24"/>
              </w:rPr>
            </w:pPr>
            <w:r>
              <w:rPr>
                <w:rFonts w:ascii="宋体" w:hAnsi="宋体" w:cs="宋体"/>
                <w:color w:val="auto"/>
                <w:sz w:val="24"/>
                <w:szCs w:val="24"/>
              </w:rPr>
              <w:t>对多种食材进行定性定量检测，输出检测报告</w:t>
            </w:r>
            <w:r>
              <w:rPr>
                <w:rFonts w:hint="eastAsia" w:ascii="宋体" w:hAnsi="宋体" w:cs="宋体"/>
                <w:color w:val="auto"/>
                <w:sz w:val="24"/>
                <w:szCs w:val="24"/>
              </w:rPr>
              <w:t>；</w:t>
            </w:r>
          </w:p>
          <w:p w14:paraId="73B8A1C1">
            <w:pPr>
              <w:numPr>
                <w:ilvl w:val="0"/>
                <w:numId w:val="159"/>
              </w:numPr>
              <w:ind w:left="0" w:firstLine="0"/>
              <w:jc w:val="left"/>
              <w:rPr>
                <w:rFonts w:ascii="宋体" w:hAnsi="宋体" w:cs="宋体"/>
                <w:color w:val="auto"/>
                <w:sz w:val="24"/>
                <w:szCs w:val="24"/>
              </w:rPr>
            </w:pPr>
            <w:r>
              <w:rPr>
                <w:rFonts w:hint="eastAsia" w:ascii="宋体" w:hAnsi="宋体" w:cs="宋体"/>
                <w:color w:val="auto"/>
                <w:sz w:val="24"/>
                <w:szCs w:val="24"/>
              </w:rPr>
              <w:t>设备参数：</w:t>
            </w:r>
          </w:p>
          <w:p w14:paraId="2A3F7A09">
            <w:pPr>
              <w:numPr>
                <w:ilvl w:val="0"/>
                <w:numId w:val="161"/>
              </w:numPr>
              <w:ind w:left="0" w:firstLine="0"/>
              <w:jc w:val="left"/>
              <w:rPr>
                <w:rFonts w:ascii="宋体" w:hAnsi="宋体" w:cs="宋体"/>
                <w:color w:val="auto"/>
                <w:sz w:val="24"/>
                <w:szCs w:val="24"/>
              </w:rPr>
            </w:pPr>
            <w:r>
              <w:rPr>
                <w:rFonts w:hint="eastAsia" w:ascii="宋体" w:hAnsi="宋体" w:cs="宋体"/>
                <w:color w:val="auto"/>
                <w:sz w:val="24"/>
                <w:szCs w:val="24"/>
              </w:rPr>
              <w:t>主要参数</w:t>
            </w:r>
            <w:r>
              <w:rPr>
                <w:rFonts w:ascii="宋体" w:hAnsi="宋体" w:cs="宋体"/>
                <w:color w:val="auto"/>
                <w:sz w:val="24"/>
                <w:szCs w:val="24"/>
              </w:rPr>
              <w:t>:</w:t>
            </w:r>
          </w:p>
          <w:p w14:paraId="74D1934B">
            <w:pPr>
              <w:numPr>
                <w:ilvl w:val="0"/>
                <w:numId w:val="162"/>
              </w:numPr>
              <w:ind w:firstLine="0"/>
              <w:jc w:val="left"/>
              <w:rPr>
                <w:rFonts w:ascii="宋体" w:hAnsi="宋体" w:cs="宋体"/>
                <w:color w:val="auto"/>
                <w:sz w:val="24"/>
                <w:szCs w:val="24"/>
              </w:rPr>
            </w:pPr>
            <w:r>
              <w:rPr>
                <w:rFonts w:ascii="宋体" w:hAnsi="宋体" w:cs="宋体"/>
                <w:color w:val="auto"/>
                <w:sz w:val="24"/>
                <w:szCs w:val="24"/>
              </w:rPr>
              <w:t>显示方式：支持不低于7英寸液晶触摸屏显示</w:t>
            </w:r>
            <w:r>
              <w:rPr>
                <w:rFonts w:hint="eastAsia" w:ascii="宋体" w:hAnsi="宋体" w:cs="宋体"/>
                <w:color w:val="auto"/>
                <w:sz w:val="24"/>
                <w:szCs w:val="24"/>
              </w:rPr>
              <w:t>；</w:t>
            </w:r>
          </w:p>
          <w:p w14:paraId="3B933861">
            <w:pPr>
              <w:numPr>
                <w:ilvl w:val="0"/>
                <w:numId w:val="162"/>
              </w:numPr>
              <w:ind w:firstLine="0"/>
              <w:jc w:val="left"/>
              <w:rPr>
                <w:rFonts w:ascii="宋体" w:hAnsi="宋体" w:cs="宋体"/>
                <w:color w:val="auto"/>
                <w:sz w:val="24"/>
                <w:szCs w:val="24"/>
              </w:rPr>
            </w:pPr>
            <w:r>
              <w:rPr>
                <w:rFonts w:ascii="宋体" w:hAnsi="宋体" w:cs="宋体"/>
                <w:color w:val="auto"/>
                <w:sz w:val="24"/>
                <w:szCs w:val="24"/>
              </w:rPr>
              <w:t>供电方式：交直流两用，直流12V供电</w:t>
            </w:r>
            <w:r>
              <w:rPr>
                <w:rFonts w:hint="eastAsia" w:ascii="宋体" w:hAnsi="宋体" w:cs="宋体"/>
                <w:color w:val="auto"/>
                <w:sz w:val="24"/>
                <w:szCs w:val="24"/>
              </w:rPr>
              <w:t>；</w:t>
            </w:r>
          </w:p>
          <w:p w14:paraId="26F79AFD">
            <w:pPr>
              <w:numPr>
                <w:ilvl w:val="0"/>
                <w:numId w:val="162"/>
              </w:numPr>
              <w:ind w:firstLine="0"/>
              <w:jc w:val="left"/>
              <w:rPr>
                <w:rFonts w:ascii="宋体" w:hAnsi="宋体" w:cs="宋体"/>
                <w:color w:val="auto"/>
                <w:sz w:val="24"/>
                <w:szCs w:val="24"/>
              </w:rPr>
            </w:pPr>
            <w:r>
              <w:rPr>
                <w:rFonts w:ascii="宋体" w:hAnsi="宋体" w:cs="宋体"/>
                <w:color w:val="auto"/>
                <w:sz w:val="24"/>
                <w:szCs w:val="24"/>
              </w:rPr>
              <w:t>采样方式：不间断进样，连续检测</w:t>
            </w:r>
            <w:r>
              <w:rPr>
                <w:rFonts w:hint="eastAsia" w:ascii="宋体" w:hAnsi="宋体" w:cs="宋体"/>
                <w:color w:val="auto"/>
                <w:sz w:val="24"/>
                <w:szCs w:val="24"/>
              </w:rPr>
              <w:t>；</w:t>
            </w:r>
          </w:p>
          <w:p w14:paraId="7B4232CB">
            <w:pPr>
              <w:numPr>
                <w:ilvl w:val="0"/>
                <w:numId w:val="162"/>
              </w:numPr>
              <w:ind w:firstLine="0"/>
              <w:jc w:val="left"/>
              <w:rPr>
                <w:rFonts w:ascii="宋体" w:hAnsi="宋体" w:cs="宋体"/>
                <w:color w:val="auto"/>
                <w:sz w:val="24"/>
                <w:szCs w:val="24"/>
              </w:rPr>
            </w:pPr>
            <w:r>
              <w:rPr>
                <w:rFonts w:ascii="宋体" w:hAnsi="宋体" w:cs="宋体"/>
                <w:color w:val="auto"/>
                <w:sz w:val="24"/>
                <w:szCs w:val="24"/>
              </w:rPr>
              <w:t>检测内容：非食用化学物质、滥用食品添加剂、农药残留、兽药残留、重金属、病害肉、营养强化剂、抗生素类残留、激素类残留、真菌毒素类残留、化学类残留</w:t>
            </w:r>
            <w:r>
              <w:rPr>
                <w:rFonts w:hint="eastAsia" w:ascii="宋体" w:hAnsi="宋体" w:cs="宋体"/>
                <w:color w:val="auto"/>
                <w:sz w:val="24"/>
                <w:szCs w:val="24"/>
              </w:rPr>
              <w:t>；</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09394A7">
            <w:pPr>
              <w:jc w:val="center"/>
              <w:rPr>
                <w:rFonts w:ascii="宋体" w:hAnsi="宋体" w:cs="宋体"/>
                <w:color w:val="auto"/>
                <w:sz w:val="24"/>
                <w:szCs w:val="24"/>
              </w:rPr>
            </w:pPr>
            <w:r>
              <w:rPr>
                <w:rFonts w:hint="eastAsia" w:ascii="宋体" w:hAnsi="宋体" w:cs="宋体"/>
                <w:color w:val="auto"/>
                <w:sz w:val="24"/>
                <w:szCs w:val="24"/>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6A041692">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218B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8E69717">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14</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21536019">
            <w:pPr>
              <w:jc w:val="center"/>
              <w:rPr>
                <w:rFonts w:ascii="宋体" w:hAnsi="宋体" w:cs="宋体"/>
                <w:color w:val="auto"/>
                <w:sz w:val="24"/>
                <w:szCs w:val="24"/>
              </w:rPr>
            </w:pPr>
            <w:r>
              <w:rPr>
                <w:rFonts w:hint="eastAsia" w:ascii="宋体" w:hAnsi="宋体" w:cs="宋体"/>
                <w:color w:val="auto"/>
                <w:sz w:val="24"/>
                <w:szCs w:val="24"/>
              </w:rPr>
              <w:t>客流量智能人员统计摄像头</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26E067CA">
            <w:pPr>
              <w:numPr>
                <w:ilvl w:val="0"/>
                <w:numId w:val="163"/>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1A32F36F">
            <w:pPr>
              <w:numPr>
                <w:ilvl w:val="0"/>
                <w:numId w:val="164"/>
              </w:numPr>
              <w:ind w:left="0" w:firstLine="0"/>
              <w:jc w:val="left"/>
              <w:rPr>
                <w:rFonts w:ascii="宋体" w:hAnsi="宋体" w:cs="宋体"/>
                <w:color w:val="auto"/>
                <w:sz w:val="24"/>
                <w:szCs w:val="24"/>
              </w:rPr>
            </w:pPr>
            <w:r>
              <w:rPr>
                <w:rFonts w:hint="eastAsia" w:ascii="宋体" w:hAnsi="宋体" w:cs="宋体"/>
                <w:color w:val="auto"/>
                <w:sz w:val="24"/>
                <w:szCs w:val="24"/>
              </w:rPr>
              <w:t>支持进行每日食堂客流统计：人员留存、今日客流量、昨日客流、新增、近七天客流量趋势、日客流时间对比、档口热度；</w:t>
            </w:r>
          </w:p>
          <w:p w14:paraId="10E92D75">
            <w:pPr>
              <w:numPr>
                <w:ilvl w:val="0"/>
                <w:numId w:val="164"/>
              </w:numPr>
              <w:ind w:left="0" w:firstLine="0"/>
              <w:jc w:val="left"/>
              <w:rPr>
                <w:rFonts w:ascii="宋体" w:hAnsi="宋体" w:cs="宋体"/>
                <w:color w:val="auto"/>
                <w:sz w:val="24"/>
                <w:szCs w:val="24"/>
              </w:rPr>
            </w:pPr>
            <w:r>
              <w:rPr>
                <w:rFonts w:hint="eastAsia" w:ascii="宋体" w:hAnsi="宋体" w:cs="宋体"/>
                <w:color w:val="auto"/>
                <w:sz w:val="24"/>
                <w:szCs w:val="24"/>
              </w:rPr>
              <w:t>支持食堂档口候餐热度监管：档口候餐人员统计、日候餐人数趋势、档口抓拍、热门档口排行；</w:t>
            </w:r>
          </w:p>
          <w:p w14:paraId="278E8A38">
            <w:pPr>
              <w:numPr>
                <w:ilvl w:val="0"/>
                <w:numId w:val="163"/>
              </w:numPr>
              <w:ind w:left="0" w:firstLine="0"/>
              <w:jc w:val="left"/>
              <w:rPr>
                <w:color w:val="auto"/>
              </w:rPr>
            </w:pPr>
            <w:r>
              <w:rPr>
                <w:rFonts w:hint="eastAsia" w:ascii="宋体" w:hAnsi="宋体" w:cs="宋体"/>
                <w:color w:val="auto"/>
                <w:sz w:val="24"/>
                <w:szCs w:val="24"/>
              </w:rPr>
              <w:t>设备参数：</w:t>
            </w:r>
          </w:p>
          <w:p w14:paraId="0723CBA1">
            <w:pPr>
              <w:pStyle w:val="22"/>
              <w:numPr>
                <w:ilvl w:val="0"/>
                <w:numId w:val="165"/>
              </w:numPr>
              <w:ind w:left="0" w:firstLine="0"/>
              <w:rPr>
                <w:color w:val="auto"/>
              </w:rPr>
            </w:pPr>
            <w:r>
              <w:rPr>
                <w:rFonts w:hint="eastAsia" w:ascii="宋体" w:hAnsi="宋体" w:eastAsia="宋体" w:cs="宋体"/>
                <w:color w:val="auto"/>
                <w:sz w:val="24"/>
                <w:szCs w:val="24"/>
              </w:rPr>
              <w:t>主要参数：</w:t>
            </w:r>
          </w:p>
          <w:p w14:paraId="71C13551">
            <w:pPr>
              <w:numPr>
                <w:ilvl w:val="0"/>
                <w:numId w:val="166"/>
              </w:numPr>
              <w:ind w:firstLine="0"/>
              <w:jc w:val="left"/>
              <w:rPr>
                <w:rFonts w:ascii="宋体" w:hAnsi="宋体" w:cs="宋体"/>
                <w:color w:val="auto"/>
                <w:sz w:val="24"/>
                <w:szCs w:val="24"/>
              </w:rPr>
            </w:pPr>
            <w:r>
              <w:rPr>
                <w:rFonts w:ascii="宋体" w:hAnsi="宋体" w:cs="宋体"/>
                <w:color w:val="auto"/>
                <w:sz w:val="24"/>
                <w:szCs w:val="24"/>
              </w:rPr>
              <w:t>同时预览路数</w:t>
            </w:r>
            <w:r>
              <w:rPr>
                <w:rFonts w:hint="eastAsia" w:ascii="宋体" w:hAnsi="宋体" w:cs="宋体"/>
                <w:color w:val="auto"/>
                <w:sz w:val="24"/>
                <w:szCs w:val="24"/>
              </w:rPr>
              <w:t>：</w:t>
            </w:r>
            <w:r>
              <w:rPr>
                <w:rFonts w:ascii="宋体" w:hAnsi="宋体" w:cs="宋体"/>
                <w:color w:val="auto"/>
                <w:sz w:val="24"/>
                <w:szCs w:val="24"/>
              </w:rPr>
              <w:t>最多20路</w:t>
            </w:r>
            <w:r>
              <w:rPr>
                <w:rFonts w:hint="eastAsia" w:ascii="宋体" w:hAnsi="宋体" w:cs="宋体"/>
                <w:color w:val="auto"/>
                <w:sz w:val="24"/>
                <w:szCs w:val="24"/>
              </w:rPr>
              <w:t>；</w:t>
            </w:r>
          </w:p>
          <w:p w14:paraId="4535FD30">
            <w:pPr>
              <w:numPr>
                <w:ilvl w:val="0"/>
                <w:numId w:val="166"/>
              </w:numPr>
              <w:ind w:firstLine="0"/>
              <w:jc w:val="left"/>
              <w:rPr>
                <w:rFonts w:ascii="宋体" w:hAnsi="宋体" w:cs="宋体"/>
                <w:color w:val="auto"/>
                <w:sz w:val="24"/>
                <w:szCs w:val="24"/>
              </w:rPr>
            </w:pPr>
            <w:r>
              <w:rPr>
                <w:rFonts w:ascii="宋体" w:hAnsi="宋体" w:cs="宋体"/>
                <w:color w:val="auto"/>
                <w:sz w:val="24"/>
                <w:szCs w:val="24"/>
              </w:rPr>
              <w:t>网络存储</w:t>
            </w:r>
            <w:r>
              <w:rPr>
                <w:rFonts w:hint="eastAsia" w:ascii="宋体" w:hAnsi="宋体" w:cs="宋体"/>
                <w:color w:val="auto"/>
                <w:sz w:val="24"/>
                <w:szCs w:val="24"/>
              </w:rPr>
              <w:t>：</w:t>
            </w:r>
            <w:r>
              <w:rPr>
                <w:rFonts w:ascii="宋体" w:hAnsi="宋体" w:cs="宋体"/>
                <w:color w:val="auto"/>
                <w:sz w:val="24"/>
                <w:szCs w:val="24"/>
              </w:rPr>
              <w:t>支持MicrQSR/MicrQSRHC/MicrQSDXC卡</w:t>
            </w:r>
            <w:r>
              <w:rPr>
                <w:rFonts w:hint="eastAsia" w:ascii="宋体" w:hAnsi="宋体" w:cs="宋体"/>
                <w:color w:val="auto"/>
                <w:sz w:val="24"/>
                <w:szCs w:val="24"/>
              </w:rPr>
              <w:t>（</w:t>
            </w:r>
            <w:r>
              <w:rPr>
                <w:rFonts w:ascii="宋体" w:hAnsi="宋体" w:cs="宋体"/>
                <w:color w:val="auto"/>
                <w:sz w:val="24"/>
                <w:szCs w:val="24"/>
              </w:rPr>
              <w:t>最大256GB</w:t>
            </w:r>
            <w:r>
              <w:rPr>
                <w:rFonts w:hint="eastAsia" w:ascii="宋体" w:hAnsi="宋体" w:cs="宋体"/>
                <w:color w:val="auto"/>
                <w:sz w:val="24"/>
                <w:szCs w:val="24"/>
              </w:rPr>
              <w:t>）</w:t>
            </w:r>
            <w:r>
              <w:rPr>
                <w:rFonts w:ascii="宋体" w:hAnsi="宋体" w:cs="宋体"/>
                <w:color w:val="auto"/>
                <w:sz w:val="24"/>
                <w:szCs w:val="24"/>
              </w:rPr>
              <w:t>断网本地存储及断网续传，NAS(NFS,SMB/CIFS均支持</w:t>
            </w:r>
            <w:r>
              <w:rPr>
                <w:rFonts w:hint="eastAsia" w:ascii="宋体" w:hAnsi="宋体" w:cs="宋体"/>
                <w:color w:val="auto"/>
                <w:sz w:val="24"/>
                <w:szCs w:val="24"/>
              </w:rPr>
              <w:t>）</w:t>
            </w:r>
            <w:r>
              <w:rPr>
                <w:rFonts w:ascii="宋体" w:hAnsi="宋体" w:cs="宋体"/>
                <w:color w:val="auto"/>
                <w:sz w:val="24"/>
                <w:szCs w:val="24"/>
              </w:rPr>
              <w:t>，配合海康黑卡支持SD卡加密及SD卡状态检测</w:t>
            </w:r>
            <w:r>
              <w:rPr>
                <w:rFonts w:hint="eastAsia" w:ascii="宋体" w:hAnsi="宋体" w:cs="宋体"/>
                <w:color w:val="auto"/>
                <w:sz w:val="24"/>
                <w:szCs w:val="24"/>
              </w:rPr>
              <w:t>；</w:t>
            </w:r>
          </w:p>
          <w:p w14:paraId="4098F50C">
            <w:pPr>
              <w:numPr>
                <w:ilvl w:val="0"/>
                <w:numId w:val="166"/>
              </w:numPr>
              <w:ind w:firstLine="0"/>
              <w:jc w:val="left"/>
              <w:rPr>
                <w:rFonts w:ascii="宋体" w:hAnsi="宋体" w:cs="宋体"/>
                <w:color w:val="auto"/>
                <w:sz w:val="24"/>
                <w:szCs w:val="24"/>
              </w:rPr>
            </w:pPr>
            <w:r>
              <w:rPr>
                <w:rFonts w:ascii="宋体" w:hAnsi="宋体" w:cs="宋体"/>
                <w:color w:val="auto"/>
                <w:sz w:val="24"/>
                <w:szCs w:val="24"/>
              </w:rPr>
              <w:t>用户管理</w:t>
            </w:r>
            <w:r>
              <w:rPr>
                <w:rFonts w:hint="eastAsia" w:ascii="宋体" w:hAnsi="宋体" w:cs="宋体"/>
                <w:color w:val="auto"/>
                <w:sz w:val="24"/>
                <w:szCs w:val="24"/>
              </w:rPr>
              <w:t>：</w:t>
            </w:r>
            <w:r>
              <w:rPr>
                <w:rFonts w:ascii="宋体" w:hAnsi="宋体" w:cs="宋体"/>
                <w:color w:val="auto"/>
                <w:sz w:val="24"/>
                <w:szCs w:val="24"/>
              </w:rPr>
              <w:t>最多32个用户，可分3级用户权限管理：管理员，操作员，普通用户</w:t>
            </w:r>
            <w:r>
              <w:rPr>
                <w:rFonts w:hint="eastAsia" w:ascii="宋体" w:hAnsi="宋体" w:cs="宋体"/>
                <w:color w:val="auto"/>
                <w:sz w:val="24"/>
                <w:szCs w:val="24"/>
              </w:rPr>
              <w:t>；</w:t>
            </w:r>
          </w:p>
          <w:p w14:paraId="19CC4B6A">
            <w:pPr>
              <w:numPr>
                <w:ilvl w:val="0"/>
                <w:numId w:val="166"/>
              </w:numPr>
              <w:ind w:firstLine="0"/>
              <w:jc w:val="left"/>
              <w:rPr>
                <w:rFonts w:ascii="宋体" w:hAnsi="宋体" w:cs="宋体"/>
                <w:color w:val="auto"/>
                <w:sz w:val="24"/>
                <w:szCs w:val="24"/>
              </w:rPr>
            </w:pPr>
            <w:r>
              <w:rPr>
                <w:rFonts w:ascii="宋体" w:hAnsi="宋体" w:cs="宋体"/>
                <w:color w:val="auto"/>
                <w:sz w:val="24"/>
                <w:szCs w:val="24"/>
              </w:rPr>
              <w:t>网络协议</w:t>
            </w:r>
            <w:r>
              <w:rPr>
                <w:rFonts w:hint="eastAsia" w:ascii="宋体" w:hAnsi="宋体" w:cs="宋体"/>
                <w:color w:val="auto"/>
                <w:sz w:val="24"/>
                <w:szCs w:val="24"/>
              </w:rPr>
              <w:t>：</w:t>
            </w:r>
            <w:r>
              <w:rPr>
                <w:rFonts w:ascii="宋体" w:hAnsi="宋体" w:cs="宋体"/>
                <w:color w:val="auto"/>
                <w:sz w:val="24"/>
                <w:szCs w:val="24"/>
              </w:rPr>
              <w:t>TCP/IP，ICMP，HTTP，HTTPS，FTP，DHCP，DNS，DDNS，RTP，RTSP，RTCP，PPPoE，NTP，UPnP，SMTP，SNMP，IGMP，802.1X，QoS，IPv6，UDP，Bonjour，WebSocket，WebSockets</w:t>
            </w:r>
            <w:r>
              <w:rPr>
                <w:rFonts w:hint="eastAsia" w:ascii="宋体" w:hAnsi="宋体" w:cs="宋体"/>
                <w:color w:val="auto"/>
                <w:sz w:val="24"/>
                <w:szCs w:val="24"/>
              </w:rPr>
              <w:t>；</w:t>
            </w:r>
          </w:p>
          <w:p w14:paraId="08D6380E">
            <w:pPr>
              <w:numPr>
                <w:ilvl w:val="0"/>
                <w:numId w:val="166"/>
              </w:numPr>
              <w:ind w:firstLine="0"/>
              <w:jc w:val="left"/>
              <w:rPr>
                <w:rFonts w:ascii="宋体" w:hAnsi="宋体" w:cs="宋体"/>
                <w:color w:val="auto"/>
                <w:sz w:val="24"/>
                <w:szCs w:val="24"/>
              </w:rPr>
            </w:pPr>
            <w:r>
              <w:rPr>
                <w:rFonts w:ascii="宋体" w:hAnsi="宋体" w:cs="宋体"/>
                <w:color w:val="auto"/>
                <w:sz w:val="24"/>
                <w:szCs w:val="24"/>
              </w:rPr>
              <w:t>接口协议</w:t>
            </w:r>
            <w:r>
              <w:rPr>
                <w:rFonts w:hint="eastAsia" w:ascii="宋体" w:hAnsi="宋体" w:cs="宋体"/>
                <w:color w:val="auto"/>
                <w:sz w:val="24"/>
                <w:szCs w:val="24"/>
              </w:rPr>
              <w:t>（</w:t>
            </w:r>
            <w:r>
              <w:rPr>
                <w:rFonts w:ascii="宋体" w:hAnsi="宋体" w:cs="宋体"/>
                <w:color w:val="auto"/>
                <w:sz w:val="24"/>
                <w:szCs w:val="24"/>
              </w:rPr>
              <w:t>API</w:t>
            </w:r>
            <w:r>
              <w:rPr>
                <w:rFonts w:hint="eastAsia" w:ascii="宋体" w:hAnsi="宋体" w:cs="宋体"/>
                <w:color w:val="auto"/>
                <w:sz w:val="24"/>
                <w:szCs w:val="24"/>
              </w:rPr>
              <w:t>）：</w:t>
            </w:r>
            <w:r>
              <w:rPr>
                <w:rFonts w:ascii="宋体" w:hAnsi="宋体" w:cs="宋体"/>
                <w:color w:val="auto"/>
                <w:sz w:val="24"/>
                <w:szCs w:val="24"/>
              </w:rPr>
              <w:t>开放型网络视频接口，ISAPI，GB28181，SDK，ISUP5.0</w:t>
            </w:r>
            <w:r>
              <w:rPr>
                <w:rFonts w:hint="eastAsia" w:ascii="宋体" w:hAnsi="宋体" w:cs="宋体"/>
                <w:color w:val="auto"/>
                <w:sz w:val="24"/>
                <w:szCs w:val="24"/>
              </w:rPr>
              <w:t>；</w:t>
            </w:r>
          </w:p>
          <w:p w14:paraId="2111123C">
            <w:pPr>
              <w:numPr>
                <w:ilvl w:val="0"/>
                <w:numId w:val="166"/>
              </w:numPr>
              <w:ind w:firstLine="0"/>
              <w:jc w:val="left"/>
              <w:rPr>
                <w:rFonts w:ascii="宋体" w:hAnsi="宋体" w:cs="宋体"/>
                <w:color w:val="auto"/>
                <w:sz w:val="24"/>
                <w:szCs w:val="24"/>
              </w:rPr>
            </w:pPr>
            <w:r>
              <w:rPr>
                <w:rFonts w:ascii="宋体" w:hAnsi="宋体" w:cs="宋体"/>
                <w:color w:val="auto"/>
                <w:sz w:val="24"/>
                <w:szCs w:val="24"/>
              </w:rPr>
              <w:t>浏览器</w:t>
            </w:r>
            <w:r>
              <w:rPr>
                <w:rFonts w:hint="eastAsia" w:ascii="宋体" w:hAnsi="宋体" w:cs="宋体"/>
                <w:color w:val="auto"/>
                <w:sz w:val="24"/>
                <w:szCs w:val="24"/>
              </w:rPr>
              <w:t>：</w:t>
            </w:r>
            <w:r>
              <w:rPr>
                <w:rFonts w:ascii="宋体" w:hAnsi="宋体" w:cs="宋体"/>
                <w:color w:val="auto"/>
                <w:sz w:val="24"/>
                <w:szCs w:val="24"/>
              </w:rPr>
              <w:t>使用插件预览：IE11</w:t>
            </w:r>
            <w:r>
              <w:rPr>
                <w:rFonts w:hint="eastAsia" w:ascii="宋体" w:hAnsi="宋体" w:cs="宋体"/>
                <w:color w:val="auto"/>
                <w:sz w:val="24"/>
                <w:szCs w:val="24"/>
              </w:rPr>
              <w:t>；</w:t>
            </w:r>
          </w:p>
          <w:p w14:paraId="139AF144">
            <w:pPr>
              <w:numPr>
                <w:ilvl w:val="0"/>
                <w:numId w:val="166"/>
              </w:numPr>
              <w:ind w:firstLine="0"/>
              <w:jc w:val="left"/>
              <w:rPr>
                <w:rFonts w:ascii="宋体" w:hAnsi="宋体" w:cs="宋体"/>
                <w:color w:val="auto"/>
                <w:sz w:val="24"/>
                <w:szCs w:val="24"/>
              </w:rPr>
            </w:pPr>
            <w:r>
              <w:rPr>
                <w:rFonts w:ascii="宋体" w:hAnsi="宋体" w:cs="宋体"/>
                <w:color w:val="auto"/>
                <w:sz w:val="24"/>
                <w:szCs w:val="24"/>
              </w:rPr>
              <w:t>无插件预览：Safari12+</w:t>
            </w:r>
            <w:r>
              <w:rPr>
                <w:rFonts w:hint="eastAsia" w:ascii="宋体" w:hAnsi="宋体" w:cs="宋体"/>
                <w:color w:val="auto"/>
                <w:sz w:val="24"/>
                <w:szCs w:val="24"/>
              </w:rPr>
              <w:t>；</w:t>
            </w:r>
          </w:p>
          <w:p w14:paraId="5AF9444D">
            <w:pPr>
              <w:numPr>
                <w:ilvl w:val="0"/>
                <w:numId w:val="166"/>
              </w:numPr>
              <w:ind w:firstLine="0"/>
              <w:jc w:val="left"/>
              <w:rPr>
                <w:rFonts w:ascii="宋体" w:hAnsi="宋体" w:cs="宋体"/>
                <w:color w:val="auto"/>
                <w:sz w:val="24"/>
                <w:szCs w:val="24"/>
              </w:rPr>
            </w:pPr>
            <w:r>
              <w:rPr>
                <w:rFonts w:ascii="宋体" w:hAnsi="宋体" w:cs="宋体"/>
                <w:color w:val="auto"/>
                <w:sz w:val="24"/>
                <w:szCs w:val="24"/>
              </w:rPr>
              <w:t>使用本地服务预览：Chrome57.0+，Firefox52.0+</w:t>
            </w:r>
            <w:r>
              <w:rPr>
                <w:rFonts w:hint="eastAsia" w:ascii="宋体" w:hAnsi="宋体" w:cs="宋体"/>
                <w:color w:val="auto"/>
                <w:sz w:val="24"/>
                <w:szCs w:val="24"/>
              </w:rPr>
              <w:t>；</w:t>
            </w:r>
          </w:p>
          <w:p w14:paraId="14EAE997">
            <w:pPr>
              <w:numPr>
                <w:ilvl w:val="0"/>
                <w:numId w:val="166"/>
              </w:numPr>
              <w:ind w:firstLine="0"/>
              <w:jc w:val="left"/>
              <w:rPr>
                <w:rFonts w:ascii="宋体" w:hAnsi="宋体" w:cs="宋体"/>
                <w:color w:val="auto"/>
                <w:sz w:val="24"/>
                <w:szCs w:val="24"/>
              </w:rPr>
            </w:pPr>
            <w:r>
              <w:rPr>
                <w:rFonts w:ascii="宋体" w:hAnsi="宋体" w:cs="宋体"/>
                <w:color w:val="auto"/>
                <w:sz w:val="24"/>
                <w:szCs w:val="24"/>
              </w:rPr>
              <w:t>不建议使用：Safari11+，edge</w:t>
            </w:r>
            <w:r>
              <w:rPr>
                <w:rFonts w:hint="eastAsia" w:ascii="宋体" w:hAnsi="宋体" w:cs="宋体"/>
                <w:color w:val="auto"/>
                <w:sz w:val="24"/>
                <w:szCs w:val="24"/>
              </w:rPr>
              <w:t>；</w:t>
            </w:r>
          </w:p>
          <w:p w14:paraId="31D7454B">
            <w:pPr>
              <w:numPr>
                <w:ilvl w:val="0"/>
                <w:numId w:val="166"/>
              </w:numPr>
              <w:ind w:firstLine="0"/>
              <w:jc w:val="left"/>
              <w:rPr>
                <w:rFonts w:ascii="宋体" w:hAnsi="宋体" w:cs="宋体"/>
                <w:color w:val="auto"/>
                <w:sz w:val="24"/>
                <w:szCs w:val="24"/>
              </w:rPr>
            </w:pPr>
            <w:r>
              <w:rPr>
                <w:rFonts w:ascii="宋体" w:hAnsi="宋体" w:cs="宋体"/>
                <w:color w:val="auto"/>
                <w:sz w:val="24"/>
                <w:szCs w:val="24"/>
              </w:rPr>
              <w:t>网络</w:t>
            </w:r>
            <w:r>
              <w:rPr>
                <w:rFonts w:hint="eastAsia" w:ascii="宋体" w:hAnsi="宋体" w:cs="宋体"/>
                <w:color w:val="auto"/>
                <w:sz w:val="24"/>
                <w:szCs w:val="24"/>
              </w:rPr>
              <w:t>：</w:t>
            </w:r>
            <w:r>
              <w:rPr>
                <w:rFonts w:ascii="宋体" w:hAnsi="宋体" w:cs="宋体"/>
                <w:color w:val="auto"/>
                <w:sz w:val="24"/>
                <w:szCs w:val="24"/>
              </w:rPr>
              <w:t>1个RJ4510M/100M自适应以太网口</w:t>
            </w:r>
            <w:r>
              <w:rPr>
                <w:rFonts w:hint="eastAsia" w:ascii="宋体" w:hAnsi="宋体" w:cs="宋体"/>
                <w:color w:val="auto"/>
                <w:sz w:val="24"/>
                <w:szCs w:val="24"/>
              </w:rPr>
              <w:t>；</w:t>
            </w:r>
          </w:p>
          <w:p w14:paraId="5A3EB30B">
            <w:pPr>
              <w:numPr>
                <w:ilvl w:val="0"/>
                <w:numId w:val="166"/>
              </w:numPr>
              <w:ind w:firstLine="0"/>
              <w:jc w:val="left"/>
              <w:rPr>
                <w:rFonts w:ascii="宋体" w:hAnsi="宋体" w:cs="宋体"/>
                <w:color w:val="auto"/>
                <w:sz w:val="24"/>
                <w:szCs w:val="24"/>
              </w:rPr>
            </w:pPr>
            <w:r>
              <w:rPr>
                <w:rFonts w:ascii="宋体" w:hAnsi="宋体" w:cs="宋体"/>
                <w:color w:val="auto"/>
                <w:sz w:val="24"/>
                <w:szCs w:val="24"/>
              </w:rPr>
              <w:t>SD卡扩展</w:t>
            </w:r>
            <w:r>
              <w:rPr>
                <w:rFonts w:hint="eastAsia" w:ascii="宋体" w:hAnsi="宋体" w:cs="宋体"/>
                <w:color w:val="auto"/>
                <w:sz w:val="24"/>
                <w:szCs w:val="24"/>
              </w:rPr>
              <w:t>：</w:t>
            </w:r>
            <w:r>
              <w:rPr>
                <w:rFonts w:ascii="宋体" w:hAnsi="宋体" w:cs="宋体"/>
                <w:color w:val="auto"/>
                <w:sz w:val="24"/>
                <w:szCs w:val="24"/>
              </w:rPr>
              <w:t>内置</w:t>
            </w:r>
            <w:r>
              <w:rPr>
                <w:rFonts w:hint="eastAsia" w:ascii="宋体" w:hAnsi="宋体" w:cs="宋体"/>
                <w:color w:val="auto"/>
                <w:sz w:val="24"/>
                <w:szCs w:val="24"/>
              </w:rPr>
              <w:t>；</w:t>
            </w:r>
            <w:r>
              <w:rPr>
                <w:rFonts w:ascii="宋体" w:hAnsi="宋体" w:cs="宋体"/>
                <w:color w:val="auto"/>
                <w:sz w:val="24"/>
                <w:szCs w:val="24"/>
              </w:rPr>
              <w:t>MicroSD/MicroSDHC/MicroSDXC插槽，最大支持256GB</w:t>
            </w:r>
            <w:r>
              <w:rPr>
                <w:rFonts w:hint="eastAsia" w:ascii="宋体" w:hAnsi="宋体" w:cs="宋体"/>
                <w:color w:val="auto"/>
                <w:sz w:val="24"/>
                <w:szCs w:val="24"/>
              </w:rPr>
              <w:t>；</w:t>
            </w:r>
          </w:p>
          <w:p w14:paraId="10953D75">
            <w:pPr>
              <w:numPr>
                <w:ilvl w:val="0"/>
                <w:numId w:val="166"/>
              </w:numPr>
              <w:ind w:firstLine="0"/>
              <w:jc w:val="left"/>
              <w:rPr>
                <w:rFonts w:ascii="宋体" w:hAnsi="宋体" w:cs="宋体"/>
                <w:color w:val="auto"/>
                <w:sz w:val="24"/>
                <w:szCs w:val="24"/>
              </w:rPr>
            </w:pPr>
            <w:r>
              <w:rPr>
                <w:rFonts w:ascii="宋体" w:hAnsi="宋体" w:cs="宋体"/>
                <w:color w:val="auto"/>
                <w:sz w:val="24"/>
                <w:szCs w:val="24"/>
              </w:rPr>
              <w:t>音频</w:t>
            </w:r>
            <w:r>
              <w:rPr>
                <w:rFonts w:hint="eastAsia" w:ascii="宋体" w:hAnsi="宋体" w:cs="宋体"/>
                <w:color w:val="auto"/>
                <w:sz w:val="24"/>
                <w:szCs w:val="24"/>
              </w:rPr>
              <w:t>：</w:t>
            </w:r>
            <w:r>
              <w:rPr>
                <w:rFonts w:ascii="宋体" w:hAnsi="宋体" w:cs="宋体"/>
                <w:color w:val="auto"/>
                <w:sz w:val="24"/>
                <w:szCs w:val="24"/>
              </w:rPr>
              <w:t>1路输入（Linein），1路输出（Lineout），接口类型open裸线，2个内置麦克风，1个内置喇叭</w:t>
            </w:r>
            <w:r>
              <w:rPr>
                <w:rFonts w:hint="eastAsia" w:ascii="宋体" w:hAnsi="宋体" w:cs="宋体"/>
                <w:color w:val="auto"/>
                <w:sz w:val="24"/>
                <w:szCs w:val="24"/>
              </w:rPr>
              <w:t>；</w:t>
            </w:r>
          </w:p>
          <w:p w14:paraId="364CC177">
            <w:pPr>
              <w:numPr>
                <w:ilvl w:val="0"/>
                <w:numId w:val="166"/>
              </w:numPr>
              <w:ind w:firstLine="0"/>
              <w:jc w:val="left"/>
              <w:rPr>
                <w:rFonts w:ascii="宋体" w:hAnsi="宋体" w:cs="宋体"/>
                <w:color w:val="auto"/>
                <w:sz w:val="24"/>
                <w:szCs w:val="24"/>
              </w:rPr>
            </w:pPr>
            <w:r>
              <w:rPr>
                <w:rFonts w:ascii="宋体" w:hAnsi="宋体" w:cs="宋体"/>
                <w:color w:val="auto"/>
                <w:sz w:val="24"/>
                <w:szCs w:val="24"/>
              </w:rPr>
              <w:t>报警</w:t>
            </w:r>
            <w:r>
              <w:rPr>
                <w:rFonts w:hint="eastAsia" w:ascii="宋体" w:hAnsi="宋体" w:cs="宋体"/>
                <w:color w:val="auto"/>
                <w:sz w:val="24"/>
                <w:szCs w:val="24"/>
              </w:rPr>
              <w:t>：</w:t>
            </w:r>
            <w:r>
              <w:rPr>
                <w:rFonts w:ascii="宋体" w:hAnsi="宋体" w:cs="宋体"/>
                <w:color w:val="auto"/>
                <w:sz w:val="24"/>
                <w:szCs w:val="24"/>
              </w:rPr>
              <w:t>1路输入，1路输出（报警输入支持开关量，报警输出最大支持DC12V，30mA），接口类型open裸线</w:t>
            </w:r>
            <w:r>
              <w:rPr>
                <w:rFonts w:hint="eastAsia" w:ascii="宋体" w:hAnsi="宋体" w:cs="宋体"/>
                <w:color w:val="auto"/>
                <w:sz w:val="24"/>
                <w:szCs w:val="24"/>
              </w:rPr>
              <w:t>；</w:t>
            </w:r>
          </w:p>
          <w:p w14:paraId="57C08012">
            <w:pPr>
              <w:numPr>
                <w:ilvl w:val="0"/>
                <w:numId w:val="166"/>
              </w:numPr>
              <w:ind w:firstLine="0"/>
              <w:jc w:val="left"/>
              <w:rPr>
                <w:rFonts w:ascii="宋体" w:hAnsi="宋体" w:cs="宋体"/>
                <w:color w:val="auto"/>
                <w:sz w:val="24"/>
                <w:szCs w:val="24"/>
              </w:rPr>
            </w:pPr>
            <w:r>
              <w:rPr>
                <w:rFonts w:ascii="宋体" w:hAnsi="宋体" w:cs="宋体"/>
                <w:color w:val="auto"/>
                <w:sz w:val="24"/>
                <w:szCs w:val="24"/>
              </w:rPr>
              <w:t>RS-485:1个RS-485接口，半双工模式，支持自适应HIKVISION，PELCO-P和PELCO-D协议，接口类型open裸线</w:t>
            </w:r>
            <w:r>
              <w:rPr>
                <w:rFonts w:hint="eastAsia" w:ascii="宋体" w:hAnsi="宋体" w:cs="宋体"/>
                <w:color w:val="auto"/>
                <w:sz w:val="24"/>
                <w:szCs w:val="24"/>
              </w:rPr>
              <w:t>；</w:t>
            </w:r>
          </w:p>
          <w:p w14:paraId="2561A89A">
            <w:pPr>
              <w:numPr>
                <w:ilvl w:val="0"/>
                <w:numId w:val="166"/>
              </w:numPr>
              <w:ind w:firstLine="0"/>
              <w:jc w:val="left"/>
              <w:rPr>
                <w:rFonts w:ascii="宋体" w:hAnsi="宋体" w:cs="宋体"/>
                <w:color w:val="auto"/>
                <w:sz w:val="24"/>
                <w:szCs w:val="24"/>
              </w:rPr>
            </w:pPr>
            <w:r>
              <w:rPr>
                <w:rFonts w:ascii="宋体" w:hAnsi="宋体" w:cs="宋体"/>
                <w:color w:val="auto"/>
                <w:sz w:val="24"/>
                <w:szCs w:val="24"/>
              </w:rPr>
              <w:t>复位</w:t>
            </w:r>
            <w:r>
              <w:rPr>
                <w:rFonts w:hint="eastAsia" w:ascii="宋体" w:hAnsi="宋体" w:cs="宋体"/>
                <w:color w:val="auto"/>
                <w:sz w:val="24"/>
                <w:szCs w:val="24"/>
              </w:rPr>
              <w:t>：</w:t>
            </w:r>
            <w:r>
              <w:rPr>
                <w:rFonts w:ascii="宋体" w:hAnsi="宋体" w:cs="宋体"/>
                <w:color w:val="auto"/>
                <w:sz w:val="24"/>
                <w:szCs w:val="24"/>
              </w:rPr>
              <w:t>支持</w:t>
            </w:r>
            <w:r>
              <w:rPr>
                <w:rFonts w:hint="eastAsia" w:ascii="宋体" w:hAnsi="宋体" w:cs="宋体"/>
                <w:color w:val="auto"/>
                <w:sz w:val="24"/>
                <w:szCs w:val="24"/>
              </w:rPr>
              <w:t>；</w:t>
            </w:r>
          </w:p>
          <w:p w14:paraId="71DEE966">
            <w:pPr>
              <w:numPr>
                <w:ilvl w:val="0"/>
                <w:numId w:val="166"/>
              </w:numPr>
              <w:ind w:firstLine="0"/>
              <w:jc w:val="left"/>
              <w:rPr>
                <w:rFonts w:ascii="宋体" w:hAnsi="宋体" w:cs="宋体"/>
                <w:color w:val="auto"/>
                <w:sz w:val="24"/>
                <w:szCs w:val="24"/>
              </w:rPr>
            </w:pPr>
            <w:r>
              <w:rPr>
                <w:rFonts w:ascii="宋体" w:hAnsi="宋体" w:cs="宋体"/>
                <w:color w:val="auto"/>
                <w:sz w:val="24"/>
                <w:szCs w:val="24"/>
              </w:rPr>
              <w:t>电源输出</w:t>
            </w:r>
            <w:r>
              <w:rPr>
                <w:rFonts w:hint="eastAsia" w:ascii="宋体" w:hAnsi="宋体" w:cs="宋体"/>
                <w:color w:val="auto"/>
                <w:sz w:val="24"/>
                <w:szCs w:val="24"/>
              </w:rPr>
              <w:t>：</w:t>
            </w:r>
            <w:r>
              <w:rPr>
                <w:rFonts w:ascii="宋体" w:hAnsi="宋体" w:cs="宋体"/>
                <w:color w:val="auto"/>
                <w:sz w:val="24"/>
                <w:szCs w:val="24"/>
              </w:rPr>
              <w:t>DC12V，100mA，接口类型端子座</w:t>
            </w:r>
            <w:r>
              <w:rPr>
                <w:rFonts w:hint="eastAsia" w:ascii="宋体" w:hAnsi="宋体" w:cs="宋体"/>
                <w:color w:val="auto"/>
                <w:sz w:val="24"/>
                <w:szCs w:val="24"/>
              </w:rPr>
              <w:t>；</w:t>
            </w:r>
          </w:p>
          <w:p w14:paraId="342F8F9B">
            <w:pPr>
              <w:numPr>
                <w:ilvl w:val="0"/>
                <w:numId w:val="166"/>
              </w:numPr>
              <w:ind w:firstLine="0"/>
              <w:jc w:val="left"/>
              <w:rPr>
                <w:rFonts w:ascii="宋体" w:hAnsi="宋体" w:cs="宋体"/>
                <w:color w:val="auto"/>
                <w:sz w:val="24"/>
                <w:szCs w:val="24"/>
              </w:rPr>
            </w:pPr>
            <w:r>
              <w:rPr>
                <w:rFonts w:ascii="宋体" w:hAnsi="宋体" w:cs="宋体"/>
                <w:color w:val="auto"/>
                <w:sz w:val="24"/>
                <w:szCs w:val="24"/>
              </w:rPr>
              <w:t>接口类型</w:t>
            </w:r>
            <w:r>
              <w:rPr>
                <w:rFonts w:hint="eastAsia" w:ascii="宋体" w:hAnsi="宋体" w:cs="宋体"/>
                <w:color w:val="auto"/>
                <w:sz w:val="24"/>
                <w:szCs w:val="24"/>
              </w:rPr>
              <w:t>：</w:t>
            </w:r>
            <w:r>
              <w:rPr>
                <w:rFonts w:ascii="宋体" w:hAnsi="宋体" w:cs="宋体"/>
                <w:color w:val="auto"/>
                <w:sz w:val="24"/>
                <w:szCs w:val="24"/>
              </w:rPr>
              <w:t>外甩线</w:t>
            </w:r>
            <w:r>
              <w:rPr>
                <w:rFonts w:hint="eastAsia" w:ascii="宋体" w:hAnsi="宋体" w:cs="宋体"/>
                <w:color w:val="auto"/>
                <w:sz w:val="24"/>
                <w:szCs w:val="24"/>
              </w:rPr>
              <w:t>；</w:t>
            </w:r>
          </w:p>
          <w:p w14:paraId="3D706134">
            <w:pPr>
              <w:numPr>
                <w:ilvl w:val="0"/>
                <w:numId w:val="166"/>
              </w:numPr>
              <w:ind w:firstLine="0"/>
              <w:jc w:val="left"/>
              <w:rPr>
                <w:rFonts w:ascii="宋体" w:hAnsi="宋体" w:cs="宋体"/>
                <w:color w:val="auto"/>
                <w:sz w:val="24"/>
                <w:szCs w:val="24"/>
              </w:rPr>
            </w:pPr>
            <w:r>
              <w:rPr>
                <w:rFonts w:ascii="宋体" w:hAnsi="宋体" w:cs="宋体"/>
                <w:color w:val="auto"/>
                <w:sz w:val="24"/>
                <w:szCs w:val="24"/>
              </w:rPr>
              <w:t>存储温湿度</w:t>
            </w:r>
            <w:r>
              <w:rPr>
                <w:rFonts w:ascii="宋体" w:hAnsi="宋体" w:cs="宋体"/>
                <w:color w:val="auto"/>
                <w:sz w:val="24"/>
                <w:szCs w:val="24"/>
              </w:rPr>
              <w:tab/>
            </w:r>
            <w:r>
              <w:rPr>
                <w:rFonts w:ascii="宋体" w:hAnsi="宋体" w:cs="宋体"/>
                <w:color w:val="auto"/>
                <w:sz w:val="24"/>
                <w:szCs w:val="24"/>
              </w:rPr>
              <w:t>-30℃~60℃，湿度小于95%（无凝结）</w:t>
            </w:r>
            <w:r>
              <w:rPr>
                <w:rFonts w:hint="eastAsia" w:ascii="宋体" w:hAnsi="宋体" w:cs="宋体"/>
                <w:color w:val="auto"/>
                <w:sz w:val="24"/>
                <w:szCs w:val="24"/>
              </w:rPr>
              <w:t>；</w:t>
            </w:r>
          </w:p>
          <w:p w14:paraId="7D451C9A">
            <w:pPr>
              <w:numPr>
                <w:ilvl w:val="0"/>
                <w:numId w:val="166"/>
              </w:numPr>
              <w:ind w:firstLine="0"/>
              <w:jc w:val="left"/>
              <w:rPr>
                <w:rFonts w:ascii="宋体" w:hAnsi="宋体" w:cs="宋体"/>
                <w:color w:val="auto"/>
                <w:sz w:val="24"/>
                <w:szCs w:val="24"/>
              </w:rPr>
            </w:pPr>
            <w:r>
              <w:rPr>
                <w:rFonts w:ascii="宋体" w:hAnsi="宋体" w:cs="宋体"/>
                <w:color w:val="auto"/>
                <w:sz w:val="24"/>
                <w:szCs w:val="24"/>
              </w:rPr>
              <w:t>启动和工作温湿度</w:t>
            </w:r>
            <w:r>
              <w:rPr>
                <w:rFonts w:hint="eastAsia" w:ascii="宋体" w:hAnsi="宋体" w:cs="宋体"/>
                <w:color w:val="auto"/>
                <w:sz w:val="24"/>
                <w:szCs w:val="24"/>
              </w:rPr>
              <w:t>：</w:t>
            </w:r>
            <w:r>
              <w:rPr>
                <w:rFonts w:ascii="宋体" w:hAnsi="宋体" w:cs="宋体"/>
                <w:color w:val="auto"/>
                <w:sz w:val="24"/>
                <w:szCs w:val="24"/>
              </w:rPr>
              <w:t>-30℃~60℃，湿度小于95%（无凝结）</w:t>
            </w:r>
            <w:r>
              <w:rPr>
                <w:rFonts w:hint="eastAsia" w:ascii="宋体" w:hAnsi="宋体" w:cs="宋体"/>
                <w:color w:val="auto"/>
                <w:sz w:val="24"/>
                <w:szCs w:val="24"/>
              </w:rPr>
              <w:t>；</w:t>
            </w:r>
          </w:p>
          <w:p w14:paraId="61E126F6">
            <w:pPr>
              <w:numPr>
                <w:ilvl w:val="0"/>
                <w:numId w:val="166"/>
              </w:numPr>
              <w:ind w:firstLine="0"/>
              <w:jc w:val="left"/>
              <w:rPr>
                <w:rFonts w:ascii="宋体" w:hAnsi="宋体" w:cs="宋体"/>
                <w:color w:val="auto"/>
                <w:sz w:val="24"/>
                <w:szCs w:val="24"/>
              </w:rPr>
            </w:pPr>
            <w:r>
              <w:rPr>
                <w:rFonts w:ascii="宋体" w:hAnsi="宋体" w:cs="宋体"/>
                <w:color w:val="auto"/>
                <w:sz w:val="24"/>
                <w:szCs w:val="24"/>
              </w:rPr>
              <w:t>电流及功耗</w:t>
            </w:r>
            <w:r>
              <w:rPr>
                <w:rFonts w:hint="eastAsia" w:ascii="宋体" w:hAnsi="宋体" w:cs="宋体"/>
                <w:color w:val="auto"/>
                <w:sz w:val="24"/>
                <w:szCs w:val="24"/>
              </w:rPr>
              <w:t>：</w:t>
            </w:r>
            <w:r>
              <w:rPr>
                <w:rFonts w:ascii="宋体" w:hAnsi="宋体" w:cs="宋体"/>
                <w:color w:val="auto"/>
                <w:sz w:val="24"/>
                <w:szCs w:val="24"/>
              </w:rPr>
              <w:t>DC：12V，0.9A，最大功耗：10.8W</w:t>
            </w:r>
            <w:r>
              <w:rPr>
                <w:rFonts w:hint="eastAsia" w:ascii="宋体" w:hAnsi="宋体" w:cs="宋体"/>
                <w:color w:val="auto"/>
                <w:sz w:val="24"/>
                <w:szCs w:val="24"/>
              </w:rPr>
              <w:t>；</w:t>
            </w:r>
          </w:p>
          <w:p w14:paraId="15BA99A4">
            <w:pPr>
              <w:numPr>
                <w:ilvl w:val="0"/>
                <w:numId w:val="166"/>
              </w:numPr>
              <w:ind w:firstLine="0"/>
              <w:jc w:val="left"/>
              <w:rPr>
                <w:rFonts w:ascii="宋体" w:hAnsi="宋体" w:cs="宋体"/>
                <w:color w:val="auto"/>
                <w:sz w:val="24"/>
                <w:szCs w:val="24"/>
              </w:rPr>
            </w:pPr>
            <w:r>
              <w:rPr>
                <w:rFonts w:ascii="宋体" w:hAnsi="宋体" w:cs="宋体"/>
                <w:color w:val="auto"/>
                <w:sz w:val="24"/>
                <w:szCs w:val="24"/>
              </w:rPr>
              <w:t>PoE：802.3at，42.5V</w:t>
            </w:r>
            <w:r>
              <w:rPr>
                <w:rFonts w:hint="eastAsia" w:ascii="宋体" w:hAnsi="宋体" w:cs="宋体"/>
                <w:color w:val="auto"/>
                <w:sz w:val="24"/>
                <w:szCs w:val="24"/>
              </w:rPr>
              <w:t>～</w:t>
            </w:r>
            <w:r>
              <w:rPr>
                <w:rFonts w:ascii="宋体" w:hAnsi="宋体" w:cs="宋体"/>
                <w:color w:val="auto"/>
                <w:sz w:val="24"/>
                <w:szCs w:val="24"/>
              </w:rPr>
              <w:t>57V，0.32A</w:t>
            </w:r>
            <w:r>
              <w:rPr>
                <w:rFonts w:hint="eastAsia" w:ascii="宋体" w:hAnsi="宋体" w:cs="宋体"/>
                <w:color w:val="auto"/>
                <w:sz w:val="24"/>
                <w:szCs w:val="24"/>
              </w:rPr>
              <w:t>～</w:t>
            </w:r>
            <w:r>
              <w:rPr>
                <w:rFonts w:ascii="宋体" w:hAnsi="宋体" w:cs="宋体"/>
                <w:color w:val="auto"/>
                <w:sz w:val="24"/>
                <w:szCs w:val="24"/>
              </w:rPr>
              <w:t>0.24A，最大功耗：13.5W</w:t>
            </w:r>
            <w:r>
              <w:rPr>
                <w:rFonts w:hint="eastAsia" w:ascii="宋体" w:hAnsi="宋体" w:cs="宋体"/>
                <w:color w:val="auto"/>
                <w:sz w:val="24"/>
                <w:szCs w:val="24"/>
              </w:rPr>
              <w:t>；</w:t>
            </w:r>
          </w:p>
          <w:p w14:paraId="4E57E430">
            <w:pPr>
              <w:numPr>
                <w:ilvl w:val="0"/>
                <w:numId w:val="166"/>
              </w:numPr>
              <w:ind w:firstLine="0"/>
              <w:jc w:val="left"/>
              <w:rPr>
                <w:rFonts w:ascii="宋体" w:hAnsi="宋体" w:cs="宋体"/>
                <w:color w:val="auto"/>
                <w:sz w:val="24"/>
                <w:szCs w:val="24"/>
              </w:rPr>
            </w:pPr>
            <w:r>
              <w:rPr>
                <w:rFonts w:ascii="宋体" w:hAnsi="宋体" w:cs="宋体"/>
                <w:color w:val="auto"/>
                <w:sz w:val="24"/>
                <w:szCs w:val="24"/>
              </w:rPr>
              <w:t>供电方式</w:t>
            </w:r>
            <w:r>
              <w:rPr>
                <w:rFonts w:hint="eastAsia" w:ascii="宋体" w:hAnsi="宋体" w:cs="宋体"/>
                <w:color w:val="auto"/>
                <w:sz w:val="24"/>
                <w:szCs w:val="24"/>
              </w:rPr>
              <w:t>：</w:t>
            </w:r>
            <w:r>
              <w:rPr>
                <w:rFonts w:ascii="宋体" w:hAnsi="宋体" w:cs="宋体"/>
                <w:color w:val="auto"/>
                <w:sz w:val="24"/>
                <w:szCs w:val="24"/>
              </w:rPr>
              <w:t>DC：12V±20%，支持防反接保护</w:t>
            </w:r>
            <w:r>
              <w:rPr>
                <w:rFonts w:hint="eastAsia" w:ascii="宋体" w:hAnsi="宋体" w:cs="宋体"/>
                <w:color w:val="auto"/>
                <w:sz w:val="24"/>
                <w:szCs w:val="24"/>
              </w:rPr>
              <w:t>；</w:t>
            </w:r>
          </w:p>
          <w:p w14:paraId="55C0CDBF">
            <w:pPr>
              <w:numPr>
                <w:ilvl w:val="0"/>
                <w:numId w:val="166"/>
              </w:numPr>
              <w:ind w:firstLine="0"/>
              <w:jc w:val="left"/>
              <w:rPr>
                <w:rFonts w:ascii="宋体" w:hAnsi="宋体" w:cs="宋体"/>
                <w:color w:val="auto"/>
                <w:sz w:val="24"/>
                <w:szCs w:val="24"/>
              </w:rPr>
            </w:pPr>
            <w:r>
              <w:rPr>
                <w:rFonts w:ascii="宋体" w:hAnsi="宋体" w:cs="宋体"/>
                <w:color w:val="auto"/>
                <w:sz w:val="24"/>
                <w:szCs w:val="24"/>
              </w:rPr>
              <w:t>PoE:802.3at，Type2，Class4</w:t>
            </w:r>
            <w:r>
              <w:rPr>
                <w:rFonts w:hint="eastAsia" w:ascii="宋体" w:hAnsi="宋体" w:cs="宋体"/>
                <w:color w:val="auto"/>
                <w:sz w:val="24"/>
                <w:szCs w:val="24"/>
              </w:rPr>
              <w:t>；</w:t>
            </w:r>
          </w:p>
          <w:p w14:paraId="384AB752">
            <w:pPr>
              <w:numPr>
                <w:ilvl w:val="0"/>
                <w:numId w:val="166"/>
              </w:numPr>
              <w:ind w:firstLine="0"/>
              <w:jc w:val="left"/>
              <w:rPr>
                <w:rFonts w:ascii="宋体" w:hAnsi="宋体" w:cs="宋体"/>
                <w:color w:val="auto"/>
                <w:sz w:val="24"/>
                <w:szCs w:val="24"/>
              </w:rPr>
            </w:pPr>
            <w:r>
              <w:rPr>
                <w:rFonts w:ascii="宋体" w:hAnsi="宋体" w:cs="宋体"/>
                <w:color w:val="auto"/>
                <w:sz w:val="24"/>
                <w:szCs w:val="24"/>
              </w:rPr>
              <w:t>电源接口类型</w:t>
            </w:r>
            <w:r>
              <w:rPr>
                <w:rFonts w:hint="eastAsia" w:ascii="宋体" w:hAnsi="宋体" w:cs="宋体"/>
                <w:color w:val="auto"/>
                <w:sz w:val="24"/>
                <w:szCs w:val="24"/>
              </w:rPr>
              <w:t>：</w:t>
            </w:r>
            <w:r>
              <w:rPr>
                <w:rFonts w:ascii="宋体" w:hAnsi="宋体" w:cs="宋体"/>
                <w:color w:val="auto"/>
                <w:sz w:val="24"/>
                <w:szCs w:val="24"/>
              </w:rPr>
              <w:t>3芯接口</w:t>
            </w:r>
            <w:r>
              <w:rPr>
                <w:rFonts w:hint="eastAsia" w:ascii="宋体" w:hAnsi="宋体" w:cs="宋体"/>
                <w:color w:val="auto"/>
                <w:sz w:val="24"/>
                <w:szCs w:val="24"/>
              </w:rPr>
              <w:t>；</w:t>
            </w:r>
          </w:p>
          <w:p w14:paraId="18C6C092">
            <w:pPr>
              <w:numPr>
                <w:ilvl w:val="0"/>
                <w:numId w:val="166"/>
              </w:numPr>
              <w:ind w:firstLine="0"/>
              <w:jc w:val="left"/>
              <w:rPr>
                <w:rFonts w:ascii="宋体" w:hAnsi="宋体" w:cs="宋体"/>
                <w:color w:val="auto"/>
                <w:sz w:val="24"/>
                <w:szCs w:val="24"/>
              </w:rPr>
            </w:pPr>
            <w:r>
              <w:rPr>
                <w:rFonts w:ascii="宋体" w:hAnsi="宋体" w:cs="宋体"/>
                <w:color w:val="auto"/>
                <w:sz w:val="24"/>
                <w:szCs w:val="24"/>
              </w:rPr>
              <w:t>线缆长度</w:t>
            </w:r>
            <w:r>
              <w:rPr>
                <w:rFonts w:hint="eastAsia" w:ascii="宋体" w:hAnsi="宋体" w:cs="宋体"/>
                <w:color w:val="auto"/>
                <w:sz w:val="24"/>
                <w:szCs w:val="24"/>
              </w:rPr>
              <w:t>：</w:t>
            </w:r>
            <w:r>
              <w:rPr>
                <w:rFonts w:ascii="宋体" w:hAnsi="宋体" w:cs="宋体"/>
                <w:color w:val="auto"/>
                <w:sz w:val="24"/>
                <w:szCs w:val="24"/>
              </w:rPr>
              <w:t>35cm</w:t>
            </w:r>
            <w:r>
              <w:rPr>
                <w:rFonts w:hint="eastAsia" w:ascii="宋体" w:hAnsi="宋体" w:cs="宋体"/>
                <w:color w:val="auto"/>
                <w:sz w:val="24"/>
                <w:szCs w:val="24"/>
              </w:rPr>
              <w:t>；</w:t>
            </w:r>
          </w:p>
          <w:p w14:paraId="7F43CC90">
            <w:pPr>
              <w:numPr>
                <w:ilvl w:val="0"/>
                <w:numId w:val="166"/>
              </w:numPr>
              <w:ind w:firstLine="0"/>
              <w:jc w:val="left"/>
              <w:rPr>
                <w:rFonts w:ascii="宋体" w:hAnsi="宋体" w:cs="宋体"/>
                <w:color w:val="auto"/>
                <w:sz w:val="24"/>
                <w:szCs w:val="24"/>
              </w:rPr>
            </w:pPr>
            <w:r>
              <w:rPr>
                <w:rFonts w:ascii="宋体" w:hAnsi="宋体" w:cs="宋体"/>
                <w:color w:val="auto"/>
                <w:sz w:val="24"/>
                <w:szCs w:val="24"/>
              </w:rPr>
              <w:t>通用功能</w:t>
            </w:r>
            <w:r>
              <w:rPr>
                <w:rFonts w:hint="eastAsia" w:ascii="宋体" w:hAnsi="宋体" w:cs="宋体"/>
                <w:color w:val="auto"/>
                <w:sz w:val="24"/>
                <w:szCs w:val="24"/>
              </w:rPr>
              <w:t>：</w:t>
            </w:r>
            <w:r>
              <w:rPr>
                <w:rFonts w:ascii="宋体" w:hAnsi="宋体" w:cs="宋体"/>
                <w:color w:val="auto"/>
                <w:sz w:val="24"/>
                <w:szCs w:val="24"/>
              </w:rPr>
              <w:t>一键恢复，心跳，镜像，密码保护，视频遮盖，水印技术，IP地址过滤</w:t>
            </w:r>
            <w:r>
              <w:rPr>
                <w:rFonts w:hint="eastAsia" w:ascii="宋体" w:hAnsi="宋体" w:cs="宋体"/>
                <w:color w:val="auto"/>
                <w:sz w:val="24"/>
                <w:szCs w:val="24"/>
              </w:rPr>
              <w:t>；</w:t>
            </w:r>
          </w:p>
          <w:p w14:paraId="6B25EB88">
            <w:pPr>
              <w:numPr>
                <w:ilvl w:val="0"/>
                <w:numId w:val="166"/>
              </w:numPr>
              <w:ind w:firstLine="0"/>
              <w:jc w:val="left"/>
              <w:rPr>
                <w:rFonts w:ascii="宋体" w:hAnsi="宋体" w:cs="宋体"/>
                <w:color w:val="auto"/>
                <w:sz w:val="24"/>
                <w:szCs w:val="24"/>
              </w:rPr>
            </w:pPr>
            <w:r>
              <w:rPr>
                <w:rFonts w:ascii="宋体" w:hAnsi="宋体" w:cs="宋体"/>
                <w:color w:val="auto"/>
                <w:sz w:val="24"/>
                <w:szCs w:val="24"/>
              </w:rPr>
              <w:t>恢复出厂设置</w:t>
            </w:r>
            <w:r>
              <w:rPr>
                <w:rFonts w:hint="eastAsia" w:ascii="宋体" w:hAnsi="宋体" w:cs="宋体"/>
                <w:color w:val="auto"/>
                <w:sz w:val="24"/>
                <w:szCs w:val="24"/>
              </w:rPr>
              <w:t>：</w:t>
            </w:r>
            <w:r>
              <w:rPr>
                <w:rFonts w:ascii="宋体" w:hAnsi="宋体" w:cs="宋体"/>
                <w:color w:val="auto"/>
                <w:sz w:val="24"/>
                <w:szCs w:val="24"/>
              </w:rPr>
              <w:t>支持RESET按键，客户端或浏览器恢复</w:t>
            </w:r>
            <w:r>
              <w:rPr>
                <w:rFonts w:hint="eastAsia" w:ascii="宋体" w:hAnsi="宋体" w:cs="宋体"/>
                <w:color w:val="auto"/>
                <w:sz w:val="24"/>
                <w:szCs w:val="24"/>
              </w:rPr>
              <w:t>；</w:t>
            </w:r>
          </w:p>
          <w:p w14:paraId="3640D05A">
            <w:pPr>
              <w:numPr>
                <w:ilvl w:val="0"/>
                <w:numId w:val="166"/>
              </w:numPr>
              <w:ind w:firstLine="0"/>
              <w:jc w:val="left"/>
              <w:rPr>
                <w:rFonts w:ascii="宋体" w:hAnsi="宋体" w:cs="宋体"/>
                <w:color w:val="auto"/>
                <w:sz w:val="24"/>
                <w:szCs w:val="24"/>
              </w:rPr>
            </w:pPr>
            <w:r>
              <w:rPr>
                <w:rFonts w:ascii="宋体" w:hAnsi="宋体" w:cs="宋体"/>
                <w:color w:val="auto"/>
                <w:sz w:val="24"/>
                <w:szCs w:val="24"/>
              </w:rPr>
              <w:t>在线升级</w:t>
            </w:r>
            <w:r>
              <w:rPr>
                <w:rFonts w:hint="eastAsia" w:ascii="宋体" w:hAnsi="宋体" w:cs="宋体"/>
                <w:color w:val="auto"/>
                <w:sz w:val="24"/>
                <w:szCs w:val="24"/>
              </w:rPr>
              <w:t>：</w:t>
            </w:r>
            <w:r>
              <w:rPr>
                <w:rFonts w:ascii="宋体" w:hAnsi="宋体" w:cs="宋体"/>
                <w:color w:val="auto"/>
                <w:sz w:val="24"/>
                <w:szCs w:val="24"/>
              </w:rPr>
              <w:t>支持</w:t>
            </w:r>
            <w:r>
              <w:rPr>
                <w:rFonts w:hint="eastAsia" w:ascii="宋体" w:hAnsi="宋体" w:cs="宋体"/>
                <w:color w:val="auto"/>
                <w:sz w:val="24"/>
                <w:szCs w:val="24"/>
              </w:rPr>
              <w:t>；</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2A17B7BE">
            <w:pPr>
              <w:jc w:val="center"/>
              <w:rPr>
                <w:rFonts w:ascii="宋体" w:hAnsi="宋体" w:cs="宋体"/>
                <w:color w:val="auto"/>
                <w:sz w:val="24"/>
                <w:szCs w:val="24"/>
              </w:rPr>
            </w:pPr>
            <w:r>
              <w:rPr>
                <w:rFonts w:hint="eastAsia" w:ascii="宋体" w:hAnsi="宋体" w:cs="宋体"/>
                <w:color w:val="auto"/>
                <w:sz w:val="24"/>
                <w:szCs w:val="24"/>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4C5FF47F">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5741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2AD80228">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15</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D3A973D">
            <w:pPr>
              <w:jc w:val="center"/>
              <w:rPr>
                <w:rFonts w:ascii="宋体" w:hAnsi="宋体" w:cs="宋体"/>
                <w:color w:val="auto"/>
                <w:sz w:val="24"/>
                <w:szCs w:val="24"/>
              </w:rPr>
            </w:pPr>
            <w:r>
              <w:rPr>
                <w:rFonts w:hint="eastAsia" w:ascii="宋体" w:hAnsi="宋体" w:cs="宋体"/>
                <w:color w:val="auto"/>
                <w:sz w:val="24"/>
                <w:szCs w:val="24"/>
              </w:rPr>
              <w:t>陌生人识别摄像机</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5EB8D680">
            <w:pPr>
              <w:numPr>
                <w:ilvl w:val="0"/>
                <w:numId w:val="167"/>
              </w:numPr>
              <w:wordWrap w:val="0"/>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2213CDB6">
            <w:pPr>
              <w:numPr>
                <w:ilvl w:val="0"/>
                <w:numId w:val="168"/>
              </w:numPr>
              <w:wordWrap w:val="0"/>
              <w:ind w:left="0" w:firstLine="0"/>
              <w:jc w:val="left"/>
              <w:rPr>
                <w:rFonts w:ascii="宋体" w:hAnsi="宋体" w:cs="宋体"/>
                <w:color w:val="auto"/>
                <w:sz w:val="24"/>
                <w:szCs w:val="24"/>
              </w:rPr>
            </w:pPr>
            <w:r>
              <w:rPr>
                <w:rFonts w:hint="eastAsia" w:ascii="宋体" w:hAnsi="宋体" w:cs="宋体"/>
                <w:color w:val="auto"/>
                <w:sz w:val="24"/>
                <w:szCs w:val="24"/>
              </w:rPr>
              <w:t>支持识别非食堂人员，进行风险上报，本地提醒；</w:t>
            </w:r>
          </w:p>
          <w:p w14:paraId="79B8248A">
            <w:pPr>
              <w:numPr>
                <w:ilvl w:val="0"/>
                <w:numId w:val="167"/>
              </w:numPr>
              <w:wordWrap w:val="0"/>
              <w:ind w:left="0" w:firstLine="0"/>
              <w:jc w:val="left"/>
              <w:rPr>
                <w:rFonts w:ascii="宋体" w:hAnsi="宋体" w:cs="宋体"/>
                <w:color w:val="auto"/>
                <w:sz w:val="24"/>
                <w:szCs w:val="24"/>
              </w:rPr>
            </w:pPr>
            <w:r>
              <w:rPr>
                <w:rFonts w:hint="eastAsia" w:ascii="宋体" w:hAnsi="宋体" w:cs="宋体"/>
                <w:color w:val="auto"/>
                <w:sz w:val="24"/>
                <w:szCs w:val="24"/>
              </w:rPr>
              <w:t>陌生人识别摄像机设备参数</w:t>
            </w:r>
            <w:r>
              <w:rPr>
                <w:rFonts w:ascii="宋体" w:hAnsi="宋体" w:cs="宋体"/>
                <w:color w:val="auto"/>
                <w:sz w:val="24"/>
                <w:szCs w:val="24"/>
              </w:rPr>
              <w:t>:</w:t>
            </w:r>
          </w:p>
          <w:p w14:paraId="466818F8">
            <w:pPr>
              <w:pStyle w:val="22"/>
              <w:numPr>
                <w:ilvl w:val="0"/>
                <w:numId w:val="169"/>
              </w:numPr>
              <w:wordWrap w:val="0"/>
              <w:ind w:left="0" w:firstLine="0"/>
              <w:rPr>
                <w:rFonts w:ascii="宋体" w:hAnsi="宋体" w:eastAsia="宋体" w:cs="宋体"/>
                <w:color w:val="auto"/>
                <w:sz w:val="24"/>
                <w:szCs w:val="24"/>
              </w:rPr>
            </w:pPr>
            <w:r>
              <w:rPr>
                <w:rFonts w:hint="eastAsia" w:ascii="宋体" w:hAnsi="宋体" w:eastAsia="宋体" w:cs="宋体"/>
                <w:color w:val="auto"/>
                <w:sz w:val="24"/>
                <w:szCs w:val="24"/>
              </w:rPr>
              <w:t>主要参数：</w:t>
            </w:r>
          </w:p>
          <w:p w14:paraId="3525F875">
            <w:pPr>
              <w:numPr>
                <w:ilvl w:val="0"/>
                <w:numId w:val="170"/>
              </w:numPr>
              <w:wordWrap w:val="0"/>
              <w:ind w:firstLine="0"/>
              <w:jc w:val="left"/>
              <w:rPr>
                <w:rFonts w:ascii="宋体" w:hAnsi="宋体" w:cs="宋体"/>
                <w:color w:val="auto"/>
                <w:sz w:val="24"/>
                <w:szCs w:val="24"/>
              </w:rPr>
            </w:pPr>
            <w:r>
              <w:rPr>
                <w:rFonts w:hint="eastAsia" w:ascii="宋体" w:hAnsi="宋体" w:cs="宋体"/>
                <w:color w:val="auto"/>
                <w:sz w:val="24"/>
                <w:szCs w:val="24"/>
              </w:rPr>
              <w:t>主板性能：不低于算力</w:t>
            </w:r>
            <w:r>
              <w:rPr>
                <w:rFonts w:ascii="宋体" w:hAnsi="宋体" w:cs="宋体"/>
                <w:color w:val="auto"/>
                <w:sz w:val="24"/>
                <w:szCs w:val="24"/>
              </w:rPr>
              <w:t xml:space="preserve"> 1.0Tops、内存:8Gbit、闪存8GBEMMC的性能；</w:t>
            </w:r>
          </w:p>
          <w:p w14:paraId="1CCD77D6">
            <w:pPr>
              <w:numPr>
                <w:ilvl w:val="0"/>
                <w:numId w:val="170"/>
              </w:numPr>
              <w:wordWrap w:val="0"/>
              <w:ind w:firstLine="0"/>
              <w:jc w:val="left"/>
              <w:rPr>
                <w:rFonts w:ascii="宋体" w:hAnsi="宋体" w:cs="宋体"/>
                <w:color w:val="auto"/>
                <w:sz w:val="24"/>
                <w:szCs w:val="24"/>
              </w:rPr>
            </w:pPr>
            <w:r>
              <w:rPr>
                <w:rFonts w:hint="eastAsia" w:ascii="宋体" w:hAnsi="宋体" w:cs="宋体"/>
                <w:color w:val="auto"/>
                <w:sz w:val="24"/>
                <w:szCs w:val="24"/>
              </w:rPr>
              <w:t>传感器类型：</w:t>
            </w:r>
            <w:r>
              <w:rPr>
                <w:rFonts w:ascii="宋体" w:hAnsi="宋体" w:cs="宋体"/>
                <w:color w:val="auto"/>
                <w:sz w:val="24"/>
                <w:szCs w:val="24"/>
              </w:rPr>
              <w:t>1/3"CMOS；</w:t>
            </w:r>
          </w:p>
          <w:p w14:paraId="1FF31947">
            <w:pPr>
              <w:numPr>
                <w:ilvl w:val="0"/>
                <w:numId w:val="170"/>
              </w:numPr>
              <w:wordWrap w:val="0"/>
              <w:ind w:firstLine="0"/>
              <w:jc w:val="left"/>
              <w:rPr>
                <w:rFonts w:ascii="宋体" w:hAnsi="宋体" w:cs="宋体"/>
                <w:color w:val="auto"/>
                <w:sz w:val="24"/>
                <w:szCs w:val="24"/>
              </w:rPr>
            </w:pPr>
            <w:r>
              <w:rPr>
                <w:rFonts w:hint="eastAsia" w:ascii="宋体" w:hAnsi="宋体" w:cs="宋体"/>
                <w:color w:val="auto"/>
                <w:sz w:val="24"/>
                <w:szCs w:val="24"/>
              </w:rPr>
              <w:t>镜头类型：电动变焦；</w:t>
            </w:r>
          </w:p>
          <w:p w14:paraId="336D3B3E">
            <w:pPr>
              <w:numPr>
                <w:ilvl w:val="0"/>
                <w:numId w:val="170"/>
              </w:numPr>
              <w:wordWrap w:val="0"/>
              <w:ind w:firstLine="0"/>
              <w:jc w:val="left"/>
              <w:rPr>
                <w:rFonts w:ascii="宋体" w:hAnsi="宋体" w:cs="宋体"/>
                <w:color w:val="auto"/>
                <w:sz w:val="24"/>
                <w:szCs w:val="24"/>
              </w:rPr>
            </w:pPr>
            <w:r>
              <w:rPr>
                <w:rFonts w:hint="eastAsia" w:ascii="宋体" w:hAnsi="宋体" w:cs="宋体"/>
                <w:color w:val="auto"/>
                <w:sz w:val="24"/>
                <w:szCs w:val="24"/>
              </w:rPr>
              <w:t>视场角：</w:t>
            </w:r>
            <w:r>
              <w:rPr>
                <w:rFonts w:ascii="宋体" w:hAnsi="宋体" w:cs="宋体"/>
                <w:color w:val="auto"/>
                <w:sz w:val="24"/>
                <w:szCs w:val="24"/>
              </w:rPr>
              <w:t>(H)103.4°- 29.3°；(V)54.3°- 16.5°；(D)124.2°- 33.6°；</w:t>
            </w:r>
          </w:p>
          <w:p w14:paraId="514465A2">
            <w:pPr>
              <w:numPr>
                <w:ilvl w:val="0"/>
                <w:numId w:val="170"/>
              </w:numPr>
              <w:wordWrap w:val="0"/>
              <w:ind w:firstLine="0"/>
              <w:jc w:val="left"/>
              <w:rPr>
                <w:rFonts w:ascii="宋体" w:hAnsi="宋体" w:cs="宋体"/>
                <w:color w:val="auto"/>
                <w:sz w:val="24"/>
                <w:szCs w:val="24"/>
              </w:rPr>
            </w:pPr>
            <w:r>
              <w:rPr>
                <w:rFonts w:hint="eastAsia" w:ascii="宋体" w:hAnsi="宋体" w:cs="宋体"/>
                <w:color w:val="auto"/>
                <w:sz w:val="24"/>
                <w:szCs w:val="24"/>
              </w:rPr>
              <w:t>光圈：</w:t>
            </w:r>
            <w:r>
              <w:rPr>
                <w:rFonts w:ascii="宋体" w:hAnsi="宋体" w:cs="宋体"/>
                <w:color w:val="auto"/>
                <w:sz w:val="24"/>
                <w:szCs w:val="24"/>
              </w:rPr>
              <w:t>1.6-3.3士10%；</w:t>
            </w:r>
          </w:p>
          <w:p w14:paraId="7F237558">
            <w:pPr>
              <w:numPr>
                <w:ilvl w:val="0"/>
                <w:numId w:val="170"/>
              </w:numPr>
              <w:wordWrap w:val="0"/>
              <w:ind w:firstLine="0"/>
              <w:jc w:val="left"/>
              <w:rPr>
                <w:rFonts w:ascii="宋体" w:hAnsi="宋体" w:cs="宋体"/>
                <w:color w:val="auto"/>
                <w:sz w:val="24"/>
                <w:szCs w:val="24"/>
              </w:rPr>
            </w:pPr>
            <w:r>
              <w:rPr>
                <w:rFonts w:hint="eastAsia" w:ascii="宋体" w:hAnsi="宋体" w:cs="宋体"/>
                <w:color w:val="auto"/>
                <w:sz w:val="24"/>
                <w:szCs w:val="24"/>
              </w:rPr>
              <w:t>焦距：</w:t>
            </w:r>
            <w:r>
              <w:rPr>
                <w:rFonts w:ascii="宋体" w:hAnsi="宋体" w:cs="宋体"/>
                <w:color w:val="auto"/>
                <w:sz w:val="24"/>
                <w:szCs w:val="24"/>
              </w:rPr>
              <w:t>2.8-12mm；</w:t>
            </w:r>
          </w:p>
          <w:p w14:paraId="368320D7">
            <w:pPr>
              <w:numPr>
                <w:ilvl w:val="0"/>
                <w:numId w:val="170"/>
              </w:numPr>
              <w:wordWrap w:val="0"/>
              <w:ind w:firstLine="0"/>
              <w:jc w:val="left"/>
              <w:rPr>
                <w:rFonts w:ascii="宋体" w:hAnsi="宋体" w:cs="宋体"/>
                <w:color w:val="auto"/>
                <w:sz w:val="24"/>
                <w:szCs w:val="24"/>
              </w:rPr>
            </w:pPr>
            <w:r>
              <w:rPr>
                <w:rFonts w:hint="eastAsia" w:ascii="宋体" w:hAnsi="宋体" w:cs="宋体"/>
                <w:color w:val="auto"/>
                <w:sz w:val="24"/>
                <w:szCs w:val="24"/>
              </w:rPr>
              <w:t>自动聚焦：支持；</w:t>
            </w:r>
          </w:p>
          <w:p w14:paraId="24E59CB7">
            <w:pPr>
              <w:pStyle w:val="22"/>
              <w:numPr>
                <w:ilvl w:val="0"/>
                <w:numId w:val="169"/>
              </w:numPr>
              <w:wordWrap w:val="0"/>
              <w:ind w:left="0" w:firstLine="0"/>
              <w:rPr>
                <w:rFonts w:ascii="宋体" w:hAnsi="宋体" w:eastAsia="宋体" w:cs="宋体"/>
                <w:color w:val="auto"/>
                <w:sz w:val="24"/>
                <w:szCs w:val="24"/>
              </w:rPr>
            </w:pPr>
            <w:r>
              <w:rPr>
                <w:rFonts w:hint="eastAsia" w:ascii="宋体" w:hAnsi="宋体" w:eastAsia="宋体" w:cs="宋体"/>
                <w:color w:val="auto"/>
                <w:sz w:val="24"/>
                <w:szCs w:val="24"/>
              </w:rPr>
              <w:t>网络特性：</w:t>
            </w:r>
          </w:p>
          <w:p w14:paraId="37F872EE">
            <w:pPr>
              <w:numPr>
                <w:ilvl w:val="0"/>
                <w:numId w:val="171"/>
              </w:numPr>
              <w:wordWrap w:val="0"/>
              <w:ind w:firstLine="0"/>
              <w:jc w:val="left"/>
              <w:rPr>
                <w:rFonts w:ascii="宋体" w:hAnsi="宋体" w:cs="宋体"/>
                <w:color w:val="auto"/>
                <w:sz w:val="24"/>
                <w:szCs w:val="24"/>
              </w:rPr>
            </w:pPr>
            <w:r>
              <w:rPr>
                <w:rFonts w:hint="eastAsia" w:ascii="宋体" w:hAnsi="宋体" w:cs="宋体"/>
                <w:color w:val="auto"/>
                <w:sz w:val="24"/>
                <w:szCs w:val="24"/>
              </w:rPr>
              <w:t>网络协议：</w:t>
            </w:r>
            <w:r>
              <w:rPr>
                <w:rFonts w:ascii="宋体" w:hAnsi="宋体" w:cs="宋体"/>
                <w:color w:val="auto"/>
                <w:sz w:val="24"/>
                <w:szCs w:val="24"/>
              </w:rPr>
              <w:t>HTTP, TCP, RTSP, RTP, UDP, RTCP, SMTP, FTP, DHCP, DNS, DDNSPPPoE, IPv4/v6, UPnP, NTP；</w:t>
            </w:r>
          </w:p>
          <w:p w14:paraId="303D1A5B">
            <w:pPr>
              <w:numPr>
                <w:ilvl w:val="0"/>
                <w:numId w:val="171"/>
              </w:numPr>
              <w:wordWrap w:val="0"/>
              <w:ind w:firstLine="0"/>
              <w:jc w:val="left"/>
              <w:rPr>
                <w:rFonts w:ascii="宋体" w:hAnsi="宋体" w:cs="宋体"/>
                <w:color w:val="auto"/>
                <w:sz w:val="24"/>
                <w:szCs w:val="24"/>
              </w:rPr>
            </w:pPr>
            <w:r>
              <w:rPr>
                <w:rFonts w:hint="eastAsia" w:ascii="宋体" w:hAnsi="宋体" w:cs="宋体"/>
                <w:color w:val="auto"/>
                <w:sz w:val="24"/>
                <w:szCs w:val="24"/>
              </w:rPr>
              <w:t>协议：</w:t>
            </w:r>
            <w:r>
              <w:rPr>
                <w:rFonts w:ascii="宋体" w:hAnsi="宋体" w:cs="宋体"/>
                <w:color w:val="auto"/>
                <w:sz w:val="24"/>
                <w:szCs w:val="24"/>
              </w:rPr>
              <w:t>Onvif,GB28181,GA/T1400,MQTT, HTTP；</w:t>
            </w:r>
          </w:p>
          <w:p w14:paraId="319637C8">
            <w:pPr>
              <w:pStyle w:val="22"/>
              <w:numPr>
                <w:ilvl w:val="0"/>
                <w:numId w:val="169"/>
              </w:numPr>
              <w:wordWrap w:val="0"/>
              <w:ind w:left="0" w:firstLine="0"/>
              <w:rPr>
                <w:rFonts w:ascii="宋体" w:hAnsi="宋体" w:eastAsia="宋体" w:cs="宋体"/>
                <w:color w:val="auto"/>
                <w:sz w:val="24"/>
                <w:szCs w:val="24"/>
              </w:rPr>
            </w:pPr>
            <w:r>
              <w:rPr>
                <w:rFonts w:hint="eastAsia" w:ascii="宋体" w:hAnsi="宋体" w:eastAsia="宋体" w:cs="宋体"/>
                <w:color w:val="auto"/>
                <w:sz w:val="24"/>
                <w:szCs w:val="24"/>
              </w:rPr>
              <w:t>功能参数：</w:t>
            </w:r>
          </w:p>
          <w:p w14:paraId="712F9DD0">
            <w:pPr>
              <w:numPr>
                <w:ilvl w:val="0"/>
                <w:numId w:val="172"/>
              </w:numPr>
              <w:wordWrap w:val="0"/>
              <w:ind w:firstLine="0"/>
              <w:jc w:val="left"/>
              <w:rPr>
                <w:rFonts w:ascii="宋体" w:hAnsi="宋体" w:cs="宋体"/>
                <w:color w:val="auto"/>
                <w:sz w:val="24"/>
                <w:szCs w:val="24"/>
              </w:rPr>
            </w:pPr>
            <w:r>
              <w:rPr>
                <w:rFonts w:hint="eastAsia" w:ascii="宋体" w:hAnsi="宋体" w:cs="宋体"/>
                <w:color w:val="auto"/>
                <w:sz w:val="24"/>
                <w:szCs w:val="24"/>
              </w:rPr>
              <w:t>通用行为分析：区域入侵</w:t>
            </w:r>
            <w:r>
              <w:rPr>
                <w:rFonts w:ascii="宋体" w:hAnsi="宋体" w:cs="宋体"/>
                <w:color w:val="auto"/>
                <w:sz w:val="24"/>
                <w:szCs w:val="24"/>
              </w:rPr>
              <w:t>,绊线入侵，人数统计；</w:t>
            </w:r>
          </w:p>
          <w:p w14:paraId="1043B547">
            <w:pPr>
              <w:numPr>
                <w:ilvl w:val="0"/>
                <w:numId w:val="172"/>
              </w:numPr>
              <w:wordWrap w:val="0"/>
              <w:ind w:firstLine="0"/>
              <w:jc w:val="left"/>
              <w:rPr>
                <w:rFonts w:ascii="宋体" w:hAnsi="宋体" w:cs="宋体"/>
                <w:color w:val="auto"/>
                <w:sz w:val="24"/>
                <w:szCs w:val="24"/>
              </w:rPr>
            </w:pPr>
            <w:r>
              <w:rPr>
                <w:rFonts w:hint="eastAsia" w:ascii="宋体" w:hAnsi="宋体" w:cs="宋体"/>
                <w:color w:val="auto"/>
                <w:sz w:val="24"/>
                <w:szCs w:val="24"/>
              </w:rPr>
              <w:t>报警功能：声光报警</w:t>
            </w:r>
            <w:r>
              <w:rPr>
                <w:rFonts w:ascii="宋体" w:hAnsi="宋体" w:cs="宋体"/>
                <w:color w:val="auto"/>
                <w:sz w:val="24"/>
                <w:szCs w:val="24"/>
              </w:rPr>
              <w:t>,隐私遮挡报警,移动侦测报警,网络故障报警,语音播报；</w:t>
            </w:r>
          </w:p>
          <w:p w14:paraId="7C9BB8CD">
            <w:pPr>
              <w:numPr>
                <w:ilvl w:val="0"/>
                <w:numId w:val="172"/>
              </w:numPr>
              <w:wordWrap w:val="0"/>
              <w:ind w:firstLine="0"/>
              <w:jc w:val="left"/>
              <w:rPr>
                <w:rFonts w:ascii="宋体" w:hAnsi="宋体" w:cs="宋体"/>
                <w:color w:val="auto"/>
                <w:sz w:val="24"/>
                <w:szCs w:val="24"/>
              </w:rPr>
            </w:pPr>
            <w:r>
              <w:rPr>
                <w:rFonts w:hint="eastAsia" w:ascii="宋体" w:hAnsi="宋体" w:cs="宋体"/>
                <w:color w:val="auto"/>
                <w:sz w:val="24"/>
                <w:szCs w:val="24"/>
              </w:rPr>
              <w:t>录像模式：手动录像</w:t>
            </w:r>
            <w:r>
              <w:rPr>
                <w:rFonts w:ascii="宋体" w:hAnsi="宋体" w:cs="宋体"/>
                <w:color w:val="auto"/>
                <w:sz w:val="24"/>
                <w:szCs w:val="24"/>
              </w:rPr>
              <w:t>,视频事件检测录像，定时录像,报警录像；</w:t>
            </w:r>
          </w:p>
          <w:p w14:paraId="73F6FD82">
            <w:pPr>
              <w:numPr>
                <w:ilvl w:val="0"/>
                <w:numId w:val="172"/>
              </w:numPr>
              <w:wordWrap w:val="0"/>
              <w:ind w:firstLine="0"/>
              <w:jc w:val="left"/>
              <w:rPr>
                <w:rFonts w:ascii="宋体" w:hAnsi="宋体" w:cs="宋体"/>
                <w:color w:val="auto"/>
                <w:sz w:val="24"/>
                <w:szCs w:val="24"/>
              </w:rPr>
            </w:pPr>
            <w:r>
              <w:rPr>
                <w:rFonts w:ascii="宋体" w:hAnsi="宋体" w:cs="宋体"/>
                <w:color w:val="auto"/>
                <w:sz w:val="24"/>
                <w:szCs w:val="24"/>
              </w:rPr>
              <w:t>OSD信息叠加：时间,通道标题，设备名称，支持自定义；</w:t>
            </w:r>
          </w:p>
          <w:p w14:paraId="0BA6C57C">
            <w:pPr>
              <w:numPr>
                <w:ilvl w:val="0"/>
                <w:numId w:val="172"/>
              </w:numPr>
              <w:wordWrap w:val="0"/>
              <w:ind w:firstLine="0"/>
              <w:jc w:val="left"/>
              <w:rPr>
                <w:rFonts w:ascii="宋体" w:hAnsi="宋体" w:cs="宋体"/>
                <w:color w:val="auto"/>
                <w:sz w:val="24"/>
                <w:szCs w:val="24"/>
              </w:rPr>
            </w:pPr>
            <w:r>
              <w:rPr>
                <w:rFonts w:hint="eastAsia" w:ascii="宋体" w:hAnsi="宋体" w:cs="宋体"/>
                <w:color w:val="auto"/>
                <w:sz w:val="24"/>
                <w:szCs w:val="24"/>
              </w:rPr>
              <w:t>日夜模式：白天、夜晚</w:t>
            </w:r>
            <w:r>
              <w:rPr>
                <w:rFonts w:ascii="宋体" w:hAnsi="宋体" w:cs="宋体"/>
                <w:color w:val="auto"/>
                <w:sz w:val="24"/>
                <w:szCs w:val="24"/>
              </w:rPr>
              <w:t>,支持定时转换,手动转换，自动转换；</w:t>
            </w:r>
          </w:p>
          <w:p w14:paraId="1078FDD6">
            <w:pPr>
              <w:numPr>
                <w:ilvl w:val="0"/>
                <w:numId w:val="172"/>
              </w:numPr>
              <w:wordWrap w:val="0"/>
              <w:ind w:firstLine="0"/>
              <w:jc w:val="left"/>
              <w:rPr>
                <w:rFonts w:ascii="宋体" w:hAnsi="宋体" w:cs="宋体"/>
                <w:color w:val="auto"/>
                <w:sz w:val="24"/>
                <w:szCs w:val="24"/>
              </w:rPr>
            </w:pPr>
            <w:r>
              <w:rPr>
                <w:rFonts w:hint="eastAsia" w:ascii="宋体" w:hAnsi="宋体" w:cs="宋体"/>
                <w:color w:val="auto"/>
                <w:sz w:val="24"/>
                <w:szCs w:val="24"/>
              </w:rPr>
              <w:t>隐</w:t>
            </w:r>
            <w:r>
              <w:rPr>
                <w:rFonts w:ascii="宋体" w:hAnsi="宋体" w:cs="宋体"/>
                <w:color w:val="auto"/>
                <w:sz w:val="24"/>
                <w:szCs w:val="24"/>
              </w:rPr>
              <w:t xml:space="preserve"> </w:t>
            </w:r>
            <w:r>
              <w:rPr>
                <w:rFonts w:hint="eastAsia" w:ascii="宋体" w:hAnsi="宋体" w:cs="宋体"/>
                <w:color w:val="auto"/>
                <w:sz w:val="24"/>
                <w:szCs w:val="24"/>
              </w:rPr>
              <w:t>私</w:t>
            </w:r>
            <w:r>
              <w:rPr>
                <w:rFonts w:ascii="宋体" w:hAnsi="宋体" w:cs="宋体"/>
                <w:color w:val="auto"/>
                <w:sz w:val="24"/>
                <w:szCs w:val="24"/>
              </w:rPr>
              <w:t xml:space="preserve"> </w:t>
            </w:r>
            <w:r>
              <w:rPr>
                <w:rFonts w:hint="eastAsia" w:ascii="宋体" w:hAnsi="宋体" w:cs="宋体"/>
                <w:color w:val="auto"/>
                <w:sz w:val="24"/>
                <w:szCs w:val="24"/>
              </w:rPr>
              <w:t>遮</w:t>
            </w:r>
            <w:r>
              <w:rPr>
                <w:rFonts w:ascii="宋体" w:hAnsi="宋体" w:cs="宋体"/>
                <w:color w:val="auto"/>
                <w:sz w:val="24"/>
                <w:szCs w:val="24"/>
              </w:rPr>
              <w:t xml:space="preserve"> </w:t>
            </w:r>
            <w:r>
              <w:rPr>
                <w:rFonts w:hint="eastAsia" w:ascii="宋体" w:hAnsi="宋体" w:cs="宋体"/>
                <w:color w:val="auto"/>
                <w:sz w:val="24"/>
                <w:szCs w:val="24"/>
              </w:rPr>
              <w:t>蔽：支持</w:t>
            </w:r>
            <w:r>
              <w:rPr>
                <w:rFonts w:ascii="宋体" w:hAnsi="宋体" w:cs="宋体"/>
                <w:color w:val="auto"/>
                <w:sz w:val="24"/>
                <w:szCs w:val="24"/>
              </w:rPr>
              <w:t>4个区域设置；</w:t>
            </w:r>
          </w:p>
          <w:p w14:paraId="2A2E22E2">
            <w:pPr>
              <w:numPr>
                <w:ilvl w:val="0"/>
                <w:numId w:val="172"/>
              </w:numPr>
              <w:wordWrap w:val="0"/>
              <w:ind w:firstLine="0"/>
              <w:jc w:val="left"/>
              <w:rPr>
                <w:rFonts w:ascii="宋体" w:hAnsi="宋体" w:cs="宋体"/>
                <w:color w:val="auto"/>
                <w:sz w:val="24"/>
                <w:szCs w:val="24"/>
              </w:rPr>
            </w:pPr>
            <w:r>
              <w:rPr>
                <w:rFonts w:hint="eastAsia" w:ascii="宋体" w:hAnsi="宋体" w:cs="宋体"/>
                <w:color w:val="auto"/>
                <w:sz w:val="24"/>
                <w:szCs w:val="24"/>
              </w:rPr>
              <w:t>镜像：支持</w:t>
            </w:r>
            <w:r>
              <w:rPr>
                <w:rFonts w:ascii="宋体" w:hAnsi="宋体" w:cs="宋体"/>
                <w:color w:val="auto"/>
                <w:sz w:val="24"/>
                <w:szCs w:val="24"/>
              </w:rPr>
              <w:t xml:space="preserve"> 90°/180°图像翻转；</w:t>
            </w:r>
          </w:p>
          <w:p w14:paraId="57F4C542">
            <w:pPr>
              <w:numPr>
                <w:ilvl w:val="0"/>
                <w:numId w:val="172"/>
              </w:numPr>
              <w:wordWrap w:val="0"/>
              <w:ind w:firstLine="0"/>
              <w:jc w:val="left"/>
              <w:rPr>
                <w:rFonts w:ascii="宋体" w:hAnsi="宋体" w:cs="宋体"/>
                <w:color w:val="auto"/>
                <w:sz w:val="24"/>
                <w:szCs w:val="24"/>
              </w:rPr>
            </w:pPr>
            <w:r>
              <w:rPr>
                <w:rFonts w:ascii="宋体" w:hAnsi="宋体" w:cs="宋体"/>
                <w:color w:val="auto"/>
                <w:sz w:val="24"/>
                <w:szCs w:val="24"/>
              </w:rPr>
              <w:t>ROI：支持；</w:t>
            </w:r>
          </w:p>
          <w:p w14:paraId="39070CED">
            <w:pPr>
              <w:pStyle w:val="22"/>
              <w:numPr>
                <w:ilvl w:val="0"/>
                <w:numId w:val="169"/>
              </w:numPr>
              <w:wordWrap w:val="0"/>
              <w:ind w:left="0" w:firstLine="0"/>
              <w:rPr>
                <w:rFonts w:ascii="宋体" w:hAnsi="宋体" w:eastAsia="宋体" w:cs="宋体"/>
                <w:color w:val="auto"/>
                <w:sz w:val="24"/>
                <w:szCs w:val="24"/>
              </w:rPr>
            </w:pPr>
            <w:r>
              <w:rPr>
                <w:rFonts w:hint="eastAsia" w:ascii="宋体" w:hAnsi="宋体" w:eastAsia="宋体" w:cs="宋体"/>
                <w:color w:val="auto"/>
                <w:sz w:val="24"/>
                <w:szCs w:val="24"/>
              </w:rPr>
              <w:t>接口参数：</w:t>
            </w:r>
          </w:p>
          <w:p w14:paraId="14335D62">
            <w:pPr>
              <w:numPr>
                <w:ilvl w:val="0"/>
                <w:numId w:val="173"/>
              </w:numPr>
              <w:wordWrap w:val="0"/>
              <w:ind w:firstLine="0"/>
              <w:jc w:val="left"/>
              <w:rPr>
                <w:rFonts w:ascii="宋体" w:hAnsi="宋体" w:cs="宋体"/>
                <w:color w:val="auto"/>
                <w:sz w:val="24"/>
                <w:szCs w:val="24"/>
              </w:rPr>
            </w:pPr>
            <w:r>
              <w:rPr>
                <w:rFonts w:hint="eastAsia" w:ascii="宋体" w:hAnsi="宋体" w:cs="宋体"/>
                <w:color w:val="auto"/>
                <w:sz w:val="24"/>
                <w:szCs w:val="24"/>
              </w:rPr>
              <w:t>网络接口：</w:t>
            </w:r>
            <w:r>
              <w:rPr>
                <w:rFonts w:ascii="宋体" w:hAnsi="宋体" w:cs="宋体"/>
                <w:color w:val="auto"/>
                <w:sz w:val="24"/>
                <w:szCs w:val="24"/>
              </w:rPr>
              <w:t xml:space="preserve">1个RJ45，10/100M </w:t>
            </w:r>
            <w:r>
              <w:rPr>
                <w:rFonts w:hint="eastAsia" w:ascii="宋体" w:hAnsi="宋体" w:cs="宋体"/>
                <w:color w:val="auto"/>
                <w:sz w:val="24"/>
                <w:szCs w:val="24"/>
              </w:rPr>
              <w:t>自适应以太网口；</w:t>
            </w:r>
          </w:p>
          <w:p w14:paraId="3C2A266B">
            <w:pPr>
              <w:numPr>
                <w:ilvl w:val="0"/>
                <w:numId w:val="173"/>
              </w:numPr>
              <w:wordWrap w:val="0"/>
              <w:ind w:firstLine="0"/>
              <w:jc w:val="left"/>
              <w:rPr>
                <w:rFonts w:ascii="宋体" w:hAnsi="宋体" w:cs="宋体"/>
                <w:color w:val="auto"/>
                <w:sz w:val="24"/>
                <w:szCs w:val="24"/>
              </w:rPr>
            </w:pPr>
            <w:r>
              <w:rPr>
                <w:rFonts w:hint="eastAsia" w:ascii="宋体" w:hAnsi="宋体" w:cs="宋体"/>
                <w:color w:val="auto"/>
                <w:sz w:val="24"/>
                <w:szCs w:val="24"/>
              </w:rPr>
              <w:t>电源接口：</w:t>
            </w:r>
            <w:r>
              <w:rPr>
                <w:rFonts w:ascii="宋体" w:hAnsi="宋体" w:cs="宋体"/>
                <w:color w:val="auto"/>
                <w:sz w:val="24"/>
                <w:szCs w:val="24"/>
              </w:rPr>
              <w:t>DC12V /2A(-15%~+10%)；</w:t>
            </w:r>
          </w:p>
          <w:p w14:paraId="2388CBDB">
            <w:pPr>
              <w:numPr>
                <w:ilvl w:val="0"/>
                <w:numId w:val="173"/>
              </w:numPr>
              <w:wordWrap w:val="0"/>
              <w:ind w:firstLine="0"/>
              <w:jc w:val="left"/>
              <w:rPr>
                <w:rFonts w:ascii="宋体" w:hAnsi="宋体" w:cs="宋体"/>
                <w:color w:val="auto"/>
                <w:sz w:val="24"/>
                <w:szCs w:val="24"/>
              </w:rPr>
            </w:pPr>
            <w:r>
              <w:rPr>
                <w:rFonts w:hint="eastAsia" w:ascii="宋体" w:hAnsi="宋体" w:cs="宋体"/>
                <w:color w:val="auto"/>
                <w:sz w:val="24"/>
                <w:szCs w:val="24"/>
              </w:rPr>
              <w:t>报警接口：</w:t>
            </w:r>
            <w:r>
              <w:rPr>
                <w:rFonts w:ascii="宋体" w:hAnsi="宋体" w:cs="宋体"/>
                <w:color w:val="auto"/>
                <w:sz w:val="24"/>
                <w:szCs w:val="24"/>
              </w:rPr>
              <w:t>1进1出；</w:t>
            </w:r>
          </w:p>
          <w:p w14:paraId="25E03F9E">
            <w:pPr>
              <w:numPr>
                <w:ilvl w:val="0"/>
                <w:numId w:val="173"/>
              </w:numPr>
              <w:wordWrap w:val="0"/>
              <w:ind w:firstLine="0"/>
              <w:jc w:val="left"/>
              <w:rPr>
                <w:rFonts w:ascii="宋体" w:hAnsi="宋体" w:cs="宋体"/>
                <w:color w:val="auto"/>
                <w:sz w:val="24"/>
                <w:szCs w:val="24"/>
              </w:rPr>
            </w:pPr>
            <w:r>
              <w:rPr>
                <w:rFonts w:hint="eastAsia" w:ascii="宋体" w:hAnsi="宋体" w:cs="宋体"/>
                <w:color w:val="auto"/>
                <w:sz w:val="24"/>
                <w:szCs w:val="24"/>
              </w:rPr>
              <w:t>音频接口：路音频输入</w:t>
            </w:r>
            <w:r>
              <w:rPr>
                <w:rFonts w:ascii="宋体" w:hAnsi="宋体" w:cs="宋体"/>
                <w:color w:val="auto"/>
                <w:sz w:val="24"/>
                <w:szCs w:val="24"/>
              </w:rPr>
              <w:t xml:space="preserve">/1路音频输出(RCA </w:t>
            </w:r>
            <w:r>
              <w:rPr>
                <w:rFonts w:hint="eastAsia" w:ascii="宋体" w:hAnsi="宋体" w:cs="宋体"/>
                <w:color w:val="auto"/>
                <w:sz w:val="24"/>
                <w:szCs w:val="24"/>
              </w:rPr>
              <w:t>头</w:t>
            </w:r>
            <w:r>
              <w:rPr>
                <w:rFonts w:ascii="宋体" w:hAnsi="宋体" w:cs="宋体"/>
                <w:color w:val="auto"/>
                <w:sz w:val="24"/>
                <w:szCs w:val="24"/>
              </w:rPr>
              <w:t>)，内置 MIC/扬声器；</w:t>
            </w:r>
          </w:p>
          <w:p w14:paraId="124A4373">
            <w:pPr>
              <w:numPr>
                <w:ilvl w:val="0"/>
                <w:numId w:val="173"/>
              </w:numPr>
              <w:wordWrap w:val="0"/>
              <w:ind w:firstLine="0"/>
              <w:jc w:val="left"/>
              <w:rPr>
                <w:rFonts w:ascii="宋体" w:hAnsi="宋体" w:cs="宋体"/>
                <w:color w:val="auto"/>
                <w:sz w:val="24"/>
                <w:szCs w:val="24"/>
              </w:rPr>
            </w:pPr>
            <w:r>
              <w:rPr>
                <w:rFonts w:ascii="宋体" w:hAnsi="宋体" w:cs="宋体"/>
                <w:color w:val="auto"/>
                <w:sz w:val="24"/>
                <w:szCs w:val="24"/>
              </w:rPr>
              <w:t xml:space="preserve">SD </w:t>
            </w:r>
            <w:r>
              <w:rPr>
                <w:rFonts w:hint="eastAsia" w:ascii="宋体" w:hAnsi="宋体" w:cs="宋体"/>
                <w:color w:val="auto"/>
                <w:sz w:val="24"/>
                <w:szCs w:val="24"/>
              </w:rPr>
              <w:t>卡接口：最大容量</w:t>
            </w:r>
            <w:r>
              <w:rPr>
                <w:rFonts w:ascii="宋体" w:hAnsi="宋体" w:cs="宋体"/>
                <w:color w:val="auto"/>
                <w:sz w:val="24"/>
                <w:szCs w:val="24"/>
              </w:rPr>
              <w:t xml:space="preserve"> 256GB；</w:t>
            </w:r>
          </w:p>
          <w:p w14:paraId="1EF9A91D">
            <w:pPr>
              <w:numPr>
                <w:ilvl w:val="0"/>
                <w:numId w:val="173"/>
              </w:numPr>
              <w:wordWrap w:val="0"/>
              <w:ind w:firstLine="0"/>
              <w:jc w:val="left"/>
              <w:rPr>
                <w:rFonts w:ascii="宋体" w:hAnsi="宋体" w:cs="宋体"/>
                <w:color w:val="auto"/>
                <w:sz w:val="24"/>
                <w:szCs w:val="24"/>
              </w:rPr>
            </w:pPr>
            <w:r>
              <w:rPr>
                <w:rFonts w:hint="eastAsia" w:ascii="宋体" w:hAnsi="宋体" w:cs="宋体"/>
                <w:color w:val="auto"/>
                <w:sz w:val="24"/>
                <w:szCs w:val="24"/>
              </w:rPr>
              <w:t>工作电压：</w:t>
            </w:r>
            <w:r>
              <w:rPr>
                <w:rFonts w:ascii="宋体" w:hAnsi="宋体" w:cs="宋体"/>
                <w:color w:val="auto"/>
                <w:sz w:val="24"/>
                <w:szCs w:val="24"/>
              </w:rPr>
              <w:t>DC12V /2A(-15%~+10%)；</w:t>
            </w:r>
          </w:p>
          <w:p w14:paraId="014467C2">
            <w:pPr>
              <w:numPr>
                <w:ilvl w:val="0"/>
                <w:numId w:val="173"/>
              </w:numPr>
              <w:wordWrap w:val="0"/>
              <w:ind w:firstLine="0"/>
              <w:jc w:val="left"/>
              <w:rPr>
                <w:rFonts w:ascii="宋体" w:hAnsi="宋体" w:cs="宋体"/>
                <w:color w:val="auto"/>
                <w:sz w:val="24"/>
                <w:szCs w:val="24"/>
              </w:rPr>
            </w:pPr>
            <w:r>
              <w:rPr>
                <w:rFonts w:hint="eastAsia" w:ascii="宋体" w:hAnsi="宋体" w:cs="宋体"/>
                <w:color w:val="auto"/>
                <w:sz w:val="24"/>
                <w:szCs w:val="24"/>
              </w:rPr>
              <w:t>功耗：</w:t>
            </w:r>
            <w:r>
              <w:rPr>
                <w:rFonts w:ascii="宋体" w:hAnsi="宋体" w:cs="宋体"/>
                <w:color w:val="auto"/>
                <w:sz w:val="24"/>
                <w:szCs w:val="24"/>
              </w:rPr>
              <w:t>&lt;8W；</w:t>
            </w:r>
          </w:p>
          <w:p w14:paraId="359EFAD6">
            <w:pPr>
              <w:numPr>
                <w:ilvl w:val="0"/>
                <w:numId w:val="173"/>
              </w:numPr>
              <w:wordWrap w:val="0"/>
              <w:ind w:firstLine="0"/>
              <w:jc w:val="left"/>
              <w:rPr>
                <w:rFonts w:ascii="宋体" w:hAnsi="宋体" w:cs="宋体"/>
                <w:color w:val="auto"/>
                <w:sz w:val="24"/>
                <w:szCs w:val="24"/>
              </w:rPr>
            </w:pPr>
            <w:r>
              <w:rPr>
                <w:rFonts w:hint="eastAsia" w:ascii="宋体" w:hAnsi="宋体" w:cs="宋体"/>
                <w:color w:val="auto"/>
                <w:sz w:val="24"/>
                <w:szCs w:val="24"/>
              </w:rPr>
              <w:t>工作温度：</w:t>
            </w:r>
            <w:r>
              <w:rPr>
                <w:rFonts w:ascii="宋体" w:hAnsi="宋体" w:cs="宋体"/>
                <w:color w:val="auto"/>
                <w:sz w:val="24"/>
                <w:szCs w:val="24"/>
              </w:rPr>
              <w:t>-30℃-+60℃；</w:t>
            </w:r>
          </w:p>
          <w:p w14:paraId="4149580C">
            <w:pPr>
              <w:numPr>
                <w:ilvl w:val="0"/>
                <w:numId w:val="173"/>
              </w:numPr>
              <w:wordWrap w:val="0"/>
              <w:ind w:firstLine="0"/>
              <w:jc w:val="left"/>
              <w:rPr>
                <w:rFonts w:ascii="宋体" w:hAnsi="宋体" w:cs="宋体"/>
                <w:color w:val="auto"/>
                <w:sz w:val="24"/>
                <w:szCs w:val="24"/>
              </w:rPr>
            </w:pPr>
            <w:r>
              <w:rPr>
                <w:rFonts w:hint="eastAsia" w:ascii="宋体" w:hAnsi="宋体" w:cs="宋体"/>
                <w:color w:val="auto"/>
                <w:sz w:val="24"/>
                <w:szCs w:val="24"/>
              </w:rPr>
              <w:t>工作湿度：</w:t>
            </w:r>
            <w:r>
              <w:rPr>
                <w:rFonts w:ascii="宋体" w:hAnsi="宋体" w:cs="宋体"/>
                <w:color w:val="auto"/>
                <w:sz w:val="24"/>
                <w:szCs w:val="24"/>
              </w:rPr>
              <w:t>0%~95% RH(无凝结)；</w:t>
            </w:r>
          </w:p>
          <w:p w14:paraId="79CF2E76">
            <w:pPr>
              <w:numPr>
                <w:ilvl w:val="0"/>
                <w:numId w:val="173"/>
              </w:numPr>
              <w:wordWrap w:val="0"/>
              <w:ind w:firstLine="0"/>
              <w:jc w:val="left"/>
              <w:rPr>
                <w:rFonts w:ascii="宋体" w:hAnsi="宋体" w:cs="宋体"/>
                <w:color w:val="auto"/>
                <w:sz w:val="24"/>
                <w:szCs w:val="24"/>
              </w:rPr>
            </w:pPr>
            <w:r>
              <w:rPr>
                <w:rFonts w:hint="eastAsia" w:ascii="宋体" w:hAnsi="宋体" w:cs="宋体"/>
                <w:color w:val="auto"/>
                <w:sz w:val="24"/>
                <w:szCs w:val="24"/>
              </w:rPr>
              <w:t>防护等级：</w:t>
            </w:r>
            <w:r>
              <w:rPr>
                <w:rFonts w:ascii="宋体" w:hAnsi="宋体" w:cs="宋体"/>
                <w:color w:val="auto"/>
                <w:sz w:val="24"/>
                <w:szCs w:val="24"/>
              </w:rPr>
              <w:t>IP66；</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74ADF9CE">
            <w:pPr>
              <w:jc w:val="center"/>
              <w:rPr>
                <w:rFonts w:ascii="宋体" w:hAnsi="宋体" w:cs="宋体"/>
                <w:color w:val="auto"/>
                <w:sz w:val="24"/>
                <w:szCs w:val="24"/>
              </w:rPr>
            </w:pPr>
            <w:r>
              <w:rPr>
                <w:rFonts w:hint="eastAsia" w:ascii="宋体" w:hAnsi="宋体" w:cs="宋体"/>
                <w:color w:val="auto"/>
                <w:sz w:val="24"/>
                <w:szCs w:val="24"/>
              </w:rPr>
              <w:t>台</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A8336DF">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28C7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148FF5AD">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16</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1C53D9B">
            <w:pPr>
              <w:jc w:val="center"/>
              <w:rPr>
                <w:rFonts w:ascii="宋体" w:hAnsi="宋体" w:cs="宋体"/>
                <w:color w:val="auto"/>
                <w:sz w:val="24"/>
                <w:szCs w:val="24"/>
              </w:rPr>
            </w:pPr>
            <w:r>
              <w:rPr>
                <w:rFonts w:hint="eastAsia" w:ascii="宋体" w:hAnsi="宋体" w:cs="宋体"/>
                <w:color w:val="auto"/>
                <w:sz w:val="24"/>
                <w:szCs w:val="24"/>
              </w:rPr>
              <w:t>冷库摄像头</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43D2A9EA">
            <w:pPr>
              <w:numPr>
                <w:ilvl w:val="0"/>
                <w:numId w:val="174"/>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6C30C934">
            <w:pPr>
              <w:numPr>
                <w:ilvl w:val="0"/>
                <w:numId w:val="175"/>
              </w:numPr>
              <w:ind w:left="0" w:firstLine="0"/>
              <w:jc w:val="left"/>
              <w:rPr>
                <w:rFonts w:ascii="宋体" w:hAnsi="宋体" w:cs="宋体"/>
                <w:color w:val="auto"/>
                <w:sz w:val="24"/>
                <w:szCs w:val="24"/>
              </w:rPr>
            </w:pPr>
            <w:r>
              <w:rPr>
                <w:rFonts w:hint="eastAsia" w:ascii="宋体" w:hAnsi="宋体" w:cs="宋体"/>
                <w:color w:val="auto"/>
                <w:sz w:val="24"/>
                <w:szCs w:val="24"/>
              </w:rPr>
              <w:t>支持本地场景展示、冷库内部画面、语音预警提醒</w:t>
            </w:r>
            <w:r>
              <w:rPr>
                <w:rFonts w:ascii="宋体" w:hAnsi="宋体" w:cs="宋体"/>
                <w:color w:val="auto"/>
                <w:sz w:val="24"/>
                <w:szCs w:val="24"/>
              </w:rPr>
              <w:t>(温度状态、冷库门状态、人员选留)；</w:t>
            </w:r>
          </w:p>
          <w:p w14:paraId="21E94124">
            <w:pPr>
              <w:numPr>
                <w:ilvl w:val="0"/>
                <w:numId w:val="175"/>
              </w:numPr>
              <w:ind w:left="0" w:firstLine="0"/>
              <w:jc w:val="left"/>
              <w:rPr>
                <w:rFonts w:ascii="宋体" w:hAnsi="宋体" w:cs="宋体"/>
                <w:color w:val="auto"/>
                <w:sz w:val="24"/>
                <w:szCs w:val="24"/>
              </w:rPr>
            </w:pPr>
            <w:r>
              <w:rPr>
                <w:rFonts w:hint="eastAsia" w:ascii="宋体" w:hAnsi="宋体" w:cs="宋体"/>
                <w:color w:val="auto"/>
                <w:sz w:val="24"/>
                <w:szCs w:val="24"/>
              </w:rPr>
              <w:t>支持设置预警提醒时间</w:t>
            </w:r>
            <w:r>
              <w:rPr>
                <w:rFonts w:ascii="宋体" w:hAnsi="宋体" w:cs="宋体"/>
                <w:color w:val="auto"/>
                <w:sz w:val="24"/>
                <w:szCs w:val="24"/>
              </w:rPr>
              <w:t>(例:冷库</w:t>
            </w:r>
            <w:r>
              <w:rPr>
                <w:rFonts w:hint="eastAsia" w:ascii="宋体" w:hAnsi="宋体" w:cs="宋体"/>
                <w:color w:val="auto"/>
                <w:sz w:val="24"/>
                <w:szCs w:val="24"/>
              </w:rPr>
              <w:t>门持续未关预警事件</w:t>
            </w:r>
            <w:r>
              <w:rPr>
                <w:rFonts w:ascii="宋体" w:hAnsi="宋体" w:cs="宋体"/>
                <w:color w:val="auto"/>
                <w:sz w:val="24"/>
                <w:szCs w:val="24"/>
              </w:rPr>
              <w:t>)；</w:t>
            </w:r>
          </w:p>
          <w:p w14:paraId="19D24BCD">
            <w:pPr>
              <w:numPr>
                <w:ilvl w:val="0"/>
                <w:numId w:val="175"/>
              </w:numPr>
              <w:ind w:left="0" w:firstLine="0"/>
              <w:jc w:val="left"/>
              <w:rPr>
                <w:rFonts w:ascii="宋体" w:hAnsi="宋体" w:cs="宋体"/>
                <w:color w:val="auto"/>
                <w:sz w:val="24"/>
                <w:szCs w:val="24"/>
              </w:rPr>
            </w:pPr>
            <w:r>
              <w:rPr>
                <w:rFonts w:hint="eastAsia" w:ascii="宋体" w:hAnsi="宋体" w:cs="宋体"/>
                <w:color w:val="auto"/>
                <w:sz w:val="24"/>
                <w:szCs w:val="24"/>
              </w:rPr>
              <w:t>支持后台查看冷库状态数据、物联预警事件数据；</w:t>
            </w:r>
          </w:p>
          <w:p w14:paraId="11707E51">
            <w:pPr>
              <w:numPr>
                <w:ilvl w:val="0"/>
                <w:numId w:val="174"/>
              </w:numPr>
              <w:ind w:left="0" w:firstLine="0"/>
              <w:jc w:val="left"/>
              <w:rPr>
                <w:rFonts w:ascii="宋体" w:hAnsi="宋体" w:cs="宋体"/>
                <w:color w:val="auto"/>
                <w:sz w:val="24"/>
                <w:szCs w:val="24"/>
              </w:rPr>
            </w:pPr>
            <w:r>
              <w:rPr>
                <w:rFonts w:hint="eastAsia" w:ascii="宋体" w:hAnsi="宋体" w:cs="宋体"/>
                <w:color w:val="auto"/>
                <w:sz w:val="24"/>
                <w:szCs w:val="24"/>
              </w:rPr>
              <w:t>物联中控屏设备参数：</w:t>
            </w:r>
          </w:p>
          <w:p w14:paraId="0E79327E">
            <w:pPr>
              <w:pStyle w:val="22"/>
              <w:numPr>
                <w:ilvl w:val="0"/>
                <w:numId w:val="176"/>
              </w:numPr>
              <w:wordWrap w:val="0"/>
              <w:ind w:left="0" w:firstLine="0"/>
              <w:rPr>
                <w:color w:val="auto"/>
              </w:rPr>
            </w:pPr>
            <w:r>
              <w:rPr>
                <w:rFonts w:hint="eastAsia" w:ascii="宋体" w:hAnsi="宋体" w:eastAsia="宋体" w:cs="宋体"/>
                <w:color w:val="auto"/>
                <w:sz w:val="24"/>
                <w:szCs w:val="24"/>
              </w:rPr>
              <w:t>主要参数：</w:t>
            </w:r>
          </w:p>
          <w:p w14:paraId="64F514BD">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外壳：前置钢化玻璃</w:t>
            </w:r>
            <w:r>
              <w:rPr>
                <w:rFonts w:ascii="宋体" w:hAnsi="宋体" w:cs="宋体"/>
                <w:color w:val="auto"/>
                <w:kern w:val="0"/>
                <w:sz w:val="24"/>
                <w:szCs w:val="24"/>
                <w:lang w:bidi="ar"/>
              </w:rPr>
              <w:t>+塑胶外壳；</w:t>
            </w:r>
          </w:p>
          <w:p w14:paraId="76A68633">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保护面板：钢化玻璃；</w:t>
            </w:r>
          </w:p>
          <w:p w14:paraId="4F3FBA07">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尺寸：不低于</w:t>
            </w:r>
            <w:r>
              <w:rPr>
                <w:rFonts w:ascii="宋体" w:hAnsi="宋体" w:cs="宋体"/>
                <w:color w:val="auto"/>
                <w:kern w:val="0"/>
                <w:sz w:val="24"/>
                <w:szCs w:val="24"/>
                <w:lang w:bidi="ar"/>
              </w:rPr>
              <w:t>10.1寸；</w:t>
            </w:r>
          </w:p>
          <w:p w14:paraId="37A88B10">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屏幕比例：</w:t>
            </w:r>
            <w:r>
              <w:rPr>
                <w:rFonts w:ascii="宋体" w:hAnsi="宋体" w:cs="宋体"/>
                <w:color w:val="auto"/>
                <w:kern w:val="0"/>
                <w:sz w:val="24"/>
                <w:szCs w:val="24"/>
                <w:lang w:bidi="ar"/>
              </w:rPr>
              <w:t>16:9；</w:t>
            </w:r>
          </w:p>
          <w:p w14:paraId="2220DDF9">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摄像头像素：</w:t>
            </w:r>
            <w:r>
              <w:rPr>
                <w:rFonts w:ascii="宋体" w:hAnsi="宋体" w:cs="宋体"/>
                <w:color w:val="auto"/>
                <w:kern w:val="0"/>
                <w:sz w:val="24"/>
                <w:szCs w:val="24"/>
                <w:lang w:bidi="ar"/>
              </w:rPr>
              <w:t>100W；</w:t>
            </w:r>
          </w:p>
          <w:p w14:paraId="77FACDD2">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像素间距：</w:t>
            </w:r>
            <w:r>
              <w:rPr>
                <w:rFonts w:ascii="宋体" w:hAnsi="宋体" w:cs="宋体"/>
                <w:color w:val="auto"/>
                <w:kern w:val="0"/>
                <w:sz w:val="24"/>
                <w:szCs w:val="24"/>
                <w:lang w:bidi="ar"/>
              </w:rPr>
              <w:t>0.17925×0.17925mm；</w:t>
            </w:r>
          </w:p>
          <w:p w14:paraId="7EC2FDA1">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亮度：</w:t>
            </w:r>
            <w:r>
              <w:rPr>
                <w:rFonts w:ascii="宋体" w:hAnsi="宋体" w:cs="宋体"/>
                <w:color w:val="auto"/>
                <w:kern w:val="0"/>
                <w:sz w:val="24"/>
                <w:szCs w:val="24"/>
                <w:lang w:bidi="ar"/>
              </w:rPr>
              <w:t>350cd/m²可视角度85/85/85/85（左/右/上/下）；</w:t>
            </w:r>
          </w:p>
          <w:p w14:paraId="17C1D776">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对比度：</w:t>
            </w:r>
            <w:r>
              <w:rPr>
                <w:rFonts w:ascii="宋体" w:hAnsi="宋体" w:cs="宋体"/>
                <w:color w:val="auto"/>
                <w:kern w:val="0"/>
                <w:sz w:val="24"/>
                <w:szCs w:val="24"/>
                <w:lang w:bidi="ar"/>
              </w:rPr>
              <w:t>1000:1；</w:t>
            </w:r>
          </w:p>
          <w:p w14:paraId="2FDD2130">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颜色数：</w:t>
            </w:r>
            <w:r>
              <w:rPr>
                <w:rFonts w:ascii="宋体" w:hAnsi="宋体" w:cs="宋体"/>
                <w:color w:val="auto"/>
                <w:kern w:val="0"/>
                <w:sz w:val="24"/>
                <w:szCs w:val="24"/>
                <w:lang w:bidi="ar"/>
              </w:rPr>
              <w:t>16.7M；</w:t>
            </w:r>
          </w:p>
          <w:p w14:paraId="55061A42">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灯管寿命：超过</w:t>
            </w:r>
            <w:r>
              <w:rPr>
                <w:rFonts w:ascii="宋体" w:hAnsi="宋体" w:cs="宋体"/>
                <w:color w:val="auto"/>
                <w:kern w:val="0"/>
                <w:sz w:val="24"/>
                <w:szCs w:val="24"/>
                <w:lang w:bidi="ar"/>
              </w:rPr>
              <w:t>50000小时；</w:t>
            </w:r>
          </w:p>
          <w:p w14:paraId="19C4CD31">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操作系统：</w:t>
            </w:r>
            <w:r>
              <w:rPr>
                <w:rFonts w:ascii="宋体" w:hAnsi="宋体" w:cs="宋体"/>
                <w:color w:val="auto"/>
                <w:kern w:val="0"/>
                <w:sz w:val="24"/>
                <w:szCs w:val="24"/>
                <w:lang w:bidi="ar"/>
              </w:rPr>
              <w:t>Android7.1.2；</w:t>
            </w:r>
          </w:p>
          <w:p w14:paraId="7EC2228D">
            <w:pPr>
              <w:widowControl/>
              <w:numPr>
                <w:ilvl w:val="0"/>
                <w:numId w:val="177"/>
              </w:numPr>
              <w:ind w:firstLine="0"/>
              <w:jc w:val="left"/>
              <w:rPr>
                <w:rFonts w:ascii="宋体" w:hAnsi="宋体" w:cs="宋体"/>
                <w:color w:val="auto"/>
                <w:kern w:val="0"/>
                <w:sz w:val="24"/>
                <w:szCs w:val="24"/>
                <w:lang w:bidi="ar"/>
              </w:rPr>
            </w:pPr>
            <w:r>
              <w:rPr>
                <w:rFonts w:ascii="宋体" w:hAnsi="宋体" w:cs="宋体"/>
                <w:color w:val="auto"/>
                <w:kern w:val="0"/>
                <w:sz w:val="24"/>
                <w:szCs w:val="24"/>
                <w:lang w:bidi="ar"/>
              </w:rPr>
              <w:t>CPU：四核；</w:t>
            </w:r>
          </w:p>
          <w:p w14:paraId="28D05219">
            <w:pPr>
              <w:widowControl/>
              <w:numPr>
                <w:ilvl w:val="0"/>
                <w:numId w:val="177"/>
              </w:numPr>
              <w:ind w:firstLine="0"/>
              <w:jc w:val="left"/>
              <w:rPr>
                <w:rFonts w:ascii="宋体" w:hAnsi="宋体" w:cs="宋体"/>
                <w:color w:val="auto"/>
                <w:kern w:val="0"/>
                <w:sz w:val="24"/>
                <w:szCs w:val="24"/>
                <w:lang w:bidi="ar"/>
              </w:rPr>
            </w:pPr>
            <w:r>
              <w:rPr>
                <w:rFonts w:ascii="宋体" w:hAnsi="宋体" w:cs="宋体"/>
                <w:color w:val="auto"/>
                <w:kern w:val="0"/>
                <w:sz w:val="24"/>
                <w:szCs w:val="24"/>
                <w:lang w:bidi="ar"/>
              </w:rPr>
              <w:t>CPU主频：1.8GHz；</w:t>
            </w:r>
          </w:p>
          <w:p w14:paraId="5FE410FB">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内存：</w:t>
            </w:r>
            <w:r>
              <w:rPr>
                <w:rFonts w:ascii="宋体" w:hAnsi="宋体" w:cs="宋体"/>
                <w:color w:val="auto"/>
                <w:kern w:val="0"/>
                <w:sz w:val="24"/>
                <w:szCs w:val="24"/>
                <w:lang w:bidi="ar"/>
              </w:rPr>
              <w:t>DDR32G；</w:t>
            </w:r>
          </w:p>
          <w:p w14:paraId="2BEC49E6">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内置存储容量：</w:t>
            </w:r>
            <w:r>
              <w:rPr>
                <w:rFonts w:ascii="宋体" w:hAnsi="宋体" w:cs="宋体"/>
                <w:color w:val="auto"/>
                <w:kern w:val="0"/>
                <w:sz w:val="24"/>
                <w:szCs w:val="24"/>
                <w:lang w:bidi="ar"/>
              </w:rPr>
              <w:t>EMMC8G；</w:t>
            </w:r>
          </w:p>
          <w:p w14:paraId="4C6461C0">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喇叭：</w:t>
            </w:r>
            <w:r>
              <w:rPr>
                <w:rFonts w:ascii="宋体" w:hAnsi="宋体" w:cs="宋体"/>
                <w:color w:val="auto"/>
                <w:kern w:val="0"/>
                <w:sz w:val="24"/>
                <w:szCs w:val="24"/>
                <w:lang w:bidi="ar"/>
              </w:rPr>
              <w:t>8Ω2W；</w:t>
            </w:r>
          </w:p>
          <w:p w14:paraId="25F0BF60">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网络：支持</w:t>
            </w:r>
            <w:r>
              <w:rPr>
                <w:rFonts w:ascii="宋体" w:hAnsi="宋体" w:cs="宋体"/>
                <w:color w:val="auto"/>
                <w:kern w:val="0"/>
                <w:sz w:val="24"/>
                <w:szCs w:val="24"/>
                <w:lang w:bidi="ar"/>
              </w:rPr>
              <w:t>WiFi、BT；</w:t>
            </w:r>
          </w:p>
          <w:p w14:paraId="29A4594E">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接口：</w:t>
            </w:r>
            <w:r>
              <w:rPr>
                <w:rFonts w:ascii="宋体" w:hAnsi="宋体" w:cs="宋体"/>
                <w:color w:val="auto"/>
                <w:kern w:val="0"/>
                <w:sz w:val="24"/>
                <w:szCs w:val="24"/>
                <w:lang w:bidi="ar"/>
              </w:rPr>
              <w:t>I/O:2*USB，可扩展2*USB；</w:t>
            </w:r>
          </w:p>
          <w:p w14:paraId="6AA5624E">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工作环境温度：</w:t>
            </w:r>
            <w:r>
              <w:rPr>
                <w:rFonts w:ascii="宋体" w:hAnsi="宋体" w:cs="宋体"/>
                <w:color w:val="auto"/>
                <w:kern w:val="0"/>
                <w:sz w:val="24"/>
                <w:szCs w:val="24"/>
                <w:lang w:bidi="ar"/>
              </w:rPr>
              <w:t>0～50摄氏度；</w:t>
            </w:r>
          </w:p>
          <w:p w14:paraId="051D92A3">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触摸精度：±</w:t>
            </w:r>
            <w:r>
              <w:rPr>
                <w:rFonts w:ascii="宋体" w:hAnsi="宋体" w:cs="宋体"/>
                <w:color w:val="auto"/>
                <w:kern w:val="0"/>
                <w:sz w:val="24"/>
                <w:szCs w:val="24"/>
                <w:lang w:bidi="ar"/>
              </w:rPr>
              <w:t>2mm；</w:t>
            </w:r>
          </w:p>
          <w:p w14:paraId="6ACDCCDB">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响应时间：</w:t>
            </w:r>
            <w:r>
              <w:rPr>
                <w:rFonts w:ascii="宋体" w:hAnsi="宋体" w:cs="宋体"/>
                <w:color w:val="auto"/>
                <w:kern w:val="0"/>
                <w:sz w:val="24"/>
                <w:szCs w:val="24"/>
                <w:lang w:bidi="ar"/>
              </w:rPr>
              <w:t>25ms~30ms；</w:t>
            </w:r>
          </w:p>
          <w:p w14:paraId="02CDD405">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可识别物体：手指或者专用触摸笔；</w:t>
            </w:r>
          </w:p>
          <w:p w14:paraId="3C9F2AB3">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透明度：≥</w:t>
            </w:r>
            <w:r>
              <w:rPr>
                <w:rFonts w:ascii="宋体" w:hAnsi="宋体" w:cs="宋体"/>
                <w:color w:val="auto"/>
                <w:kern w:val="0"/>
                <w:sz w:val="24"/>
                <w:szCs w:val="24"/>
                <w:lang w:bidi="ar"/>
              </w:rPr>
              <w:t>85％±2％；</w:t>
            </w:r>
          </w:p>
          <w:p w14:paraId="4C016A6D">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温度范围：工作温度：</w:t>
            </w:r>
            <w:r>
              <w:rPr>
                <w:rFonts w:ascii="宋体" w:hAnsi="宋体" w:cs="宋体"/>
                <w:color w:val="auto"/>
                <w:kern w:val="0"/>
                <w:sz w:val="24"/>
                <w:szCs w:val="24"/>
                <w:lang w:bidi="ar"/>
              </w:rPr>
              <w:t>-10℃~60℃；</w:t>
            </w:r>
          </w:p>
          <w:p w14:paraId="0CABE048">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供电方式：外置</w:t>
            </w:r>
            <w:r>
              <w:rPr>
                <w:rFonts w:ascii="宋体" w:hAnsi="宋体" w:cs="宋体"/>
                <w:color w:val="auto"/>
                <w:kern w:val="0"/>
                <w:sz w:val="24"/>
                <w:szCs w:val="24"/>
                <w:lang w:bidi="ar"/>
              </w:rPr>
              <w:t>12V/2A适配器；</w:t>
            </w:r>
          </w:p>
          <w:p w14:paraId="0FE59FB3">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整机功率：</w:t>
            </w:r>
            <w:r>
              <w:rPr>
                <w:rFonts w:ascii="宋体" w:hAnsi="宋体" w:cs="宋体"/>
                <w:color w:val="auto"/>
                <w:kern w:val="0"/>
                <w:sz w:val="24"/>
                <w:szCs w:val="24"/>
                <w:lang w:bidi="ar"/>
              </w:rPr>
              <w:t>15W；</w:t>
            </w:r>
          </w:p>
          <w:p w14:paraId="10929D57">
            <w:pPr>
              <w:widowControl/>
              <w:numPr>
                <w:ilvl w:val="0"/>
                <w:numId w:val="177"/>
              </w:numPr>
              <w:ind w:firstLine="0"/>
              <w:jc w:val="left"/>
              <w:rPr>
                <w:rFonts w:ascii="宋体" w:hAnsi="宋体" w:cs="宋体"/>
                <w:color w:val="auto"/>
                <w:kern w:val="0"/>
                <w:sz w:val="24"/>
                <w:szCs w:val="24"/>
                <w:lang w:bidi="ar"/>
              </w:rPr>
            </w:pPr>
            <w:r>
              <w:rPr>
                <w:rFonts w:hint="eastAsia" w:ascii="宋体" w:hAnsi="宋体" w:cs="宋体"/>
                <w:color w:val="auto"/>
                <w:kern w:val="0"/>
                <w:sz w:val="24"/>
                <w:szCs w:val="24"/>
                <w:lang w:bidi="ar"/>
              </w:rPr>
              <w:t>安装方式：壁挂式；</w:t>
            </w:r>
          </w:p>
          <w:p w14:paraId="2707EB87">
            <w:pPr>
              <w:numPr>
                <w:ilvl w:val="0"/>
                <w:numId w:val="174"/>
              </w:numPr>
              <w:ind w:left="0" w:firstLine="0"/>
              <w:jc w:val="left"/>
              <w:rPr>
                <w:rFonts w:ascii="宋体" w:hAnsi="宋体" w:cs="宋体"/>
                <w:color w:val="auto"/>
                <w:sz w:val="24"/>
                <w:szCs w:val="24"/>
              </w:rPr>
            </w:pPr>
            <w:r>
              <w:rPr>
                <w:rFonts w:hint="eastAsia" w:ascii="宋体" w:hAnsi="宋体" w:cs="宋体"/>
                <w:color w:val="auto"/>
                <w:sz w:val="24"/>
                <w:szCs w:val="24"/>
              </w:rPr>
              <w:t>冷库摄像头设备参数：</w:t>
            </w:r>
          </w:p>
          <w:p w14:paraId="383696C4">
            <w:pPr>
              <w:pStyle w:val="22"/>
              <w:numPr>
                <w:ilvl w:val="0"/>
                <w:numId w:val="178"/>
              </w:numPr>
              <w:wordWrap w:val="0"/>
              <w:ind w:left="0" w:firstLine="0"/>
              <w:rPr>
                <w:color w:val="auto"/>
              </w:rPr>
            </w:pPr>
            <w:r>
              <w:rPr>
                <w:rFonts w:hint="eastAsia" w:ascii="宋体" w:hAnsi="宋体" w:eastAsia="宋体" w:cs="宋体"/>
                <w:color w:val="auto"/>
                <w:sz w:val="24"/>
                <w:szCs w:val="24"/>
              </w:rPr>
              <w:t>主要参数：</w:t>
            </w:r>
          </w:p>
          <w:p w14:paraId="62EAEA32">
            <w:pPr>
              <w:numPr>
                <w:ilvl w:val="0"/>
                <w:numId w:val="179"/>
              </w:numPr>
              <w:ind w:firstLine="0"/>
              <w:jc w:val="left"/>
              <w:rPr>
                <w:rFonts w:ascii="宋体" w:hAnsi="宋体" w:cs="宋体"/>
                <w:color w:val="auto"/>
                <w:sz w:val="24"/>
                <w:szCs w:val="24"/>
              </w:rPr>
            </w:pPr>
            <w:r>
              <w:rPr>
                <w:rFonts w:hint="eastAsia" w:ascii="宋体" w:hAnsi="宋体" w:cs="宋体"/>
                <w:color w:val="auto"/>
                <w:sz w:val="24"/>
                <w:szCs w:val="24"/>
              </w:rPr>
              <w:t>焦距</w:t>
            </w:r>
            <w:r>
              <w:rPr>
                <w:rFonts w:ascii="宋体" w:hAnsi="宋体" w:cs="宋体"/>
                <w:color w:val="auto"/>
                <w:sz w:val="24"/>
                <w:szCs w:val="24"/>
              </w:rPr>
              <w:t>&amp;</w:t>
            </w:r>
            <w:r>
              <w:rPr>
                <w:rFonts w:hint="eastAsia" w:ascii="宋体" w:hAnsi="宋体" w:cs="宋体"/>
                <w:color w:val="auto"/>
                <w:sz w:val="24"/>
                <w:szCs w:val="24"/>
              </w:rPr>
              <w:t>视场角：</w:t>
            </w:r>
            <w:r>
              <w:rPr>
                <w:rFonts w:ascii="宋体" w:hAnsi="宋体" w:cs="宋体"/>
                <w:color w:val="auto"/>
                <w:sz w:val="24"/>
                <w:szCs w:val="24"/>
              </w:rPr>
              <w:t>2.8mm，水平视场角:98.2，垂直视场角:54.2°，对角视场角:114.6°；</w:t>
            </w:r>
          </w:p>
          <w:p w14:paraId="588D624F">
            <w:pPr>
              <w:numPr>
                <w:ilvl w:val="0"/>
                <w:numId w:val="179"/>
              </w:numPr>
              <w:ind w:firstLine="0"/>
              <w:jc w:val="left"/>
              <w:rPr>
                <w:rFonts w:ascii="宋体" w:hAnsi="宋体" w:cs="宋体"/>
                <w:color w:val="auto"/>
                <w:sz w:val="24"/>
                <w:szCs w:val="24"/>
              </w:rPr>
            </w:pPr>
            <w:r>
              <w:rPr>
                <w:rFonts w:ascii="宋体" w:hAnsi="宋体" w:cs="宋体"/>
                <w:color w:val="auto"/>
                <w:sz w:val="24"/>
                <w:szCs w:val="24"/>
              </w:rPr>
              <w:t>6mm，水平视场角：49.1°，垂直视场角:26.3，对角视场角:57.2；</w:t>
            </w:r>
          </w:p>
          <w:p w14:paraId="15DF1498">
            <w:pPr>
              <w:numPr>
                <w:ilvl w:val="0"/>
                <w:numId w:val="179"/>
              </w:numPr>
              <w:ind w:firstLine="0"/>
              <w:jc w:val="left"/>
              <w:rPr>
                <w:rFonts w:ascii="宋体" w:hAnsi="宋体" w:cs="宋体"/>
                <w:color w:val="auto"/>
                <w:sz w:val="24"/>
                <w:szCs w:val="24"/>
              </w:rPr>
            </w:pPr>
            <w:r>
              <w:rPr>
                <w:rFonts w:hint="eastAsia" w:ascii="宋体" w:hAnsi="宋体" w:cs="宋体"/>
                <w:color w:val="auto"/>
                <w:sz w:val="24"/>
                <w:szCs w:val="24"/>
              </w:rPr>
              <w:t>光圈类型：固定光圈；</w:t>
            </w:r>
          </w:p>
          <w:p w14:paraId="0E0CBE40">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最大光圈数：</w:t>
            </w:r>
            <w:r>
              <w:rPr>
                <w:rFonts w:ascii="宋体" w:hAnsi="宋体" w:cs="宋体"/>
                <w:color w:val="auto"/>
                <w:sz w:val="24"/>
                <w:szCs w:val="24"/>
              </w:rPr>
              <w:t>F1.6；</w:t>
            </w:r>
          </w:p>
          <w:p w14:paraId="53409E40">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用户管理：最多</w:t>
            </w:r>
            <w:r>
              <w:rPr>
                <w:rFonts w:ascii="宋体" w:hAnsi="宋体" w:cs="宋体"/>
                <w:color w:val="auto"/>
                <w:sz w:val="24"/>
                <w:szCs w:val="24"/>
              </w:rPr>
              <w:t>32个用户，可分3级用户权限管理:管理员，操作员，普通用户；</w:t>
            </w:r>
          </w:p>
          <w:p w14:paraId="5F1FB06D">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接口协议</w:t>
            </w:r>
            <w:r>
              <w:rPr>
                <w:rFonts w:ascii="宋体" w:hAnsi="宋体" w:cs="宋体"/>
                <w:color w:val="auto"/>
                <w:sz w:val="24"/>
                <w:szCs w:val="24"/>
              </w:rPr>
              <w:t>(API)：开放型网络视频接口，ISAPI，GB28181-2016，ISUP(5.0)，视图库；</w:t>
            </w:r>
          </w:p>
          <w:p w14:paraId="7931EE63">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网络存储：支持</w:t>
            </w:r>
            <w:r>
              <w:rPr>
                <w:rFonts w:ascii="宋体" w:hAnsi="宋体" w:cs="宋体"/>
                <w:color w:val="auto"/>
                <w:sz w:val="24"/>
                <w:szCs w:val="24"/>
              </w:rPr>
              <w:t>MicrosD/MicroSDHc/MicrosDXC卡(最大256 GB)断网本地存储</w:t>
            </w:r>
            <w:r>
              <w:rPr>
                <w:rFonts w:hint="eastAsia" w:ascii="宋体" w:hAnsi="宋体" w:cs="宋体"/>
                <w:color w:val="auto"/>
                <w:sz w:val="24"/>
                <w:szCs w:val="24"/>
              </w:rPr>
              <w:t>及断网续传，</w:t>
            </w:r>
            <w:r>
              <w:rPr>
                <w:rFonts w:ascii="宋体" w:hAnsi="宋体" w:cs="宋体"/>
                <w:color w:val="auto"/>
                <w:sz w:val="24"/>
                <w:szCs w:val="24"/>
              </w:rPr>
              <w:t>NAS(NFS,SMB/CIFS均支持)，配合海康黑卡支持SD卡加密及SD卡状态检测</w:t>
            </w:r>
          </w:p>
          <w:p w14:paraId="04D56355">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网络协议：</w:t>
            </w:r>
            <w:r>
              <w:rPr>
                <w:rFonts w:ascii="宋体" w:hAnsi="宋体" w:cs="宋体"/>
                <w:color w:val="auto"/>
                <w:sz w:val="24"/>
                <w:szCs w:val="24"/>
              </w:rPr>
              <w:t>TCP/IP, ICMP, HTTP, HTTPS, FTP, DHCP, DNS, DDNS, RTP, RTSP, RTCP, PPPOE, NTPWPNP,SMTP,SNMP,IGMP,802.1X,QOS,IP6,UDP,Bonjour, sSL/TLs, Websocket.Websockets(-GL机型不支持PPPOE)；</w:t>
            </w:r>
          </w:p>
          <w:p w14:paraId="274EC5DA">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浏览器</w:t>
            </w:r>
            <w:r>
              <w:rPr>
                <w:rFonts w:ascii="宋体" w:hAnsi="宋体" w:cs="宋体"/>
                <w:color w:val="auto"/>
                <w:sz w:val="24"/>
                <w:szCs w:val="24"/>
              </w:rPr>
              <w:tab/>
            </w:r>
            <w:r>
              <w:rPr>
                <w:rFonts w:hint="eastAsia" w:ascii="宋体" w:hAnsi="宋体" w:cs="宋体"/>
                <w:color w:val="auto"/>
                <w:sz w:val="24"/>
                <w:szCs w:val="24"/>
              </w:rPr>
              <w:t>使用插件预览</w:t>
            </w:r>
            <w:r>
              <w:rPr>
                <w:rFonts w:ascii="宋体" w:hAnsi="宋体" w:cs="宋体"/>
                <w:color w:val="auto"/>
                <w:sz w:val="24"/>
                <w:szCs w:val="24"/>
              </w:rPr>
              <w:t>:IE10，IE11使用本地服务预览:Chrome57.0+，Firefox52.0+无插件预览:Chrome57.0+，Firefox52.0+，Safari12+；</w:t>
            </w:r>
          </w:p>
          <w:p w14:paraId="74FBCAC8">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客户端：</w:t>
            </w:r>
            <w:r>
              <w:rPr>
                <w:rFonts w:ascii="宋体" w:hAnsi="宋体" w:cs="宋体"/>
                <w:color w:val="auto"/>
                <w:sz w:val="24"/>
                <w:szCs w:val="24"/>
              </w:rPr>
              <w:t>iVMS-4200，</w:t>
            </w:r>
            <w:r>
              <w:rPr>
                <w:rFonts w:hint="eastAsia" w:ascii="宋体" w:hAnsi="宋体" w:cs="宋体"/>
                <w:color w:val="auto"/>
                <w:sz w:val="24"/>
                <w:szCs w:val="24"/>
              </w:rPr>
              <w:t>董石云；</w:t>
            </w:r>
          </w:p>
          <w:p w14:paraId="2258ECF0">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同时预览路数：</w:t>
            </w:r>
            <w:r>
              <w:rPr>
                <w:rFonts w:ascii="宋体" w:hAnsi="宋体" w:cs="宋体"/>
                <w:color w:val="auto"/>
                <w:sz w:val="24"/>
                <w:szCs w:val="24"/>
              </w:rPr>
              <w:t>20.0；</w:t>
            </w:r>
          </w:p>
          <w:p w14:paraId="5BC37FA7">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网络：</w:t>
            </w:r>
            <w:r>
              <w:rPr>
                <w:rFonts w:ascii="宋体" w:hAnsi="宋体" w:cs="宋体"/>
                <w:color w:val="auto"/>
                <w:sz w:val="24"/>
                <w:szCs w:val="24"/>
              </w:rPr>
              <w:t>1个RJ45 10 M/100 M自适应以太网口；</w:t>
            </w:r>
          </w:p>
          <w:p w14:paraId="4EF7B2A4">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音频：</w:t>
            </w:r>
            <w:r>
              <w:rPr>
                <w:rFonts w:ascii="宋体" w:hAnsi="宋体" w:cs="宋体"/>
                <w:color w:val="auto"/>
                <w:sz w:val="24"/>
                <w:szCs w:val="24"/>
              </w:rPr>
              <w:t>1路输入(Linein)，1路输出(Line out)，2个内置麦克风，1个内置扬声器；</w:t>
            </w:r>
          </w:p>
          <w:p w14:paraId="7D322AAA">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复位：支持；</w:t>
            </w:r>
          </w:p>
          <w:p w14:paraId="58C6B63F">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接口类型：外甩线；</w:t>
            </w:r>
          </w:p>
          <w:p w14:paraId="1274CE42">
            <w:pPr>
              <w:numPr>
                <w:ilvl w:val="0"/>
                <w:numId w:val="179"/>
              </w:numPr>
              <w:wordWrap w:val="0"/>
              <w:ind w:firstLine="0"/>
              <w:jc w:val="left"/>
              <w:rPr>
                <w:rFonts w:ascii="宋体" w:hAnsi="宋体" w:cs="宋体"/>
                <w:color w:val="auto"/>
                <w:sz w:val="24"/>
                <w:szCs w:val="24"/>
              </w:rPr>
            </w:pPr>
            <w:r>
              <w:rPr>
                <w:rFonts w:hint="eastAsia" w:ascii="宋体" w:hAnsi="宋体" w:cs="宋体"/>
                <w:color w:val="auto"/>
                <w:sz w:val="24"/>
                <w:szCs w:val="24"/>
              </w:rPr>
              <w:t>电源接口类型：</w:t>
            </w:r>
            <w:r>
              <w:rPr>
                <w:rFonts w:ascii="宋体" w:hAnsi="宋体" w:cs="宋体"/>
                <w:color w:val="auto"/>
                <w:sz w:val="24"/>
                <w:szCs w:val="24"/>
              </w:rPr>
              <w:t>3芯接口；</w:t>
            </w:r>
          </w:p>
          <w:p w14:paraId="4DE431BC">
            <w:pPr>
              <w:numPr>
                <w:ilvl w:val="0"/>
                <w:numId w:val="174"/>
              </w:numPr>
              <w:ind w:left="0" w:firstLine="0"/>
              <w:jc w:val="left"/>
              <w:rPr>
                <w:rFonts w:ascii="宋体" w:hAnsi="宋体" w:cs="宋体"/>
                <w:color w:val="auto"/>
                <w:sz w:val="24"/>
                <w:szCs w:val="24"/>
              </w:rPr>
            </w:pPr>
            <w:r>
              <w:rPr>
                <w:rFonts w:ascii="宋体" w:hAnsi="宋体" w:cs="宋体"/>
                <w:color w:val="auto"/>
                <w:sz w:val="24"/>
                <w:szCs w:val="24"/>
              </w:rPr>
              <w:t>IO通讯模块设备参数：</w:t>
            </w:r>
          </w:p>
          <w:p w14:paraId="686AF4CF">
            <w:pPr>
              <w:pStyle w:val="22"/>
              <w:numPr>
                <w:ilvl w:val="0"/>
                <w:numId w:val="180"/>
              </w:numPr>
              <w:wordWrap w:val="0"/>
              <w:ind w:left="0" w:firstLine="0"/>
              <w:rPr>
                <w:color w:val="auto"/>
              </w:rPr>
            </w:pPr>
            <w:r>
              <w:rPr>
                <w:rFonts w:hint="eastAsia" w:ascii="宋体" w:hAnsi="宋体" w:eastAsia="宋体" w:cs="宋体"/>
                <w:color w:val="auto"/>
                <w:sz w:val="24"/>
                <w:szCs w:val="24"/>
              </w:rPr>
              <w:t>主要参数：</w:t>
            </w:r>
          </w:p>
          <w:p w14:paraId="2F2E58FF">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触点容量:10A/250VAC</w:t>
            </w:r>
            <w:r>
              <w:rPr>
                <w:rFonts w:hint="eastAsia" w:ascii="宋体" w:hAnsi="宋体" w:cs="宋体"/>
                <w:color w:val="auto"/>
                <w:sz w:val="24"/>
                <w:szCs w:val="24"/>
              </w:rPr>
              <w:t>；</w:t>
            </w:r>
          </w:p>
          <w:p w14:paraId="03624947">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耐久性:10万次</w:t>
            </w:r>
            <w:r>
              <w:rPr>
                <w:rFonts w:hint="eastAsia" w:ascii="宋体" w:hAnsi="宋体" w:cs="宋体"/>
                <w:color w:val="auto"/>
                <w:sz w:val="24"/>
                <w:szCs w:val="24"/>
              </w:rPr>
              <w:t>；</w:t>
            </w:r>
          </w:p>
          <w:p w14:paraId="3D1028F7">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数据接口:RS232、RS485</w:t>
            </w:r>
            <w:r>
              <w:rPr>
                <w:rFonts w:hint="eastAsia" w:ascii="宋体" w:hAnsi="宋体" w:cs="宋体"/>
                <w:color w:val="auto"/>
                <w:sz w:val="24"/>
                <w:szCs w:val="24"/>
              </w:rPr>
              <w:t>；</w:t>
            </w:r>
          </w:p>
          <w:p w14:paraId="562DE110">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额定电压:DC 7-30V</w:t>
            </w:r>
            <w:r>
              <w:rPr>
                <w:rFonts w:hint="eastAsia" w:ascii="宋体" w:hAnsi="宋体" w:cs="宋体"/>
                <w:color w:val="auto"/>
                <w:sz w:val="24"/>
                <w:szCs w:val="24"/>
              </w:rPr>
              <w:t>；</w:t>
            </w:r>
          </w:p>
          <w:p w14:paraId="2E15CE82">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电源指示:1路红色 LED 指示(通电时常亮)</w:t>
            </w:r>
            <w:r>
              <w:rPr>
                <w:rFonts w:hint="eastAsia" w:ascii="宋体" w:hAnsi="宋体" w:cs="宋体"/>
                <w:color w:val="auto"/>
                <w:sz w:val="24"/>
                <w:szCs w:val="24"/>
              </w:rPr>
              <w:t>；</w:t>
            </w:r>
          </w:p>
          <w:p w14:paraId="3D1C7B7B">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温度范围:工业级，-40℃~85℃</w:t>
            </w:r>
            <w:r>
              <w:rPr>
                <w:rFonts w:hint="eastAsia" w:ascii="宋体" w:hAnsi="宋体" w:cs="宋体"/>
                <w:color w:val="auto"/>
                <w:sz w:val="24"/>
                <w:szCs w:val="24"/>
              </w:rPr>
              <w:t>；</w:t>
            </w:r>
          </w:p>
          <w:p w14:paraId="6533CE84">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尺寸:不高于90*150*30mm</w:t>
            </w:r>
            <w:r>
              <w:rPr>
                <w:rFonts w:hint="eastAsia" w:ascii="宋体" w:hAnsi="宋体" w:cs="宋体"/>
                <w:color w:val="auto"/>
                <w:sz w:val="24"/>
                <w:szCs w:val="24"/>
              </w:rPr>
              <w:t>；</w:t>
            </w:r>
          </w:p>
          <w:p w14:paraId="4EBF299C">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默认通讯格式:9600,n,8,1</w:t>
            </w:r>
            <w:r>
              <w:rPr>
                <w:rFonts w:hint="eastAsia" w:ascii="宋体" w:hAnsi="宋体" w:cs="宋体"/>
                <w:color w:val="auto"/>
                <w:sz w:val="24"/>
                <w:szCs w:val="24"/>
              </w:rPr>
              <w:t>；</w:t>
            </w:r>
          </w:p>
          <w:p w14:paraId="545A9549">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波特率:2400.4800.9600 19200.38400.115200</w:t>
            </w:r>
            <w:r>
              <w:rPr>
                <w:rFonts w:hint="eastAsia" w:ascii="宋体" w:hAnsi="宋体" w:cs="宋体"/>
                <w:color w:val="auto"/>
                <w:sz w:val="24"/>
                <w:szCs w:val="24"/>
              </w:rPr>
              <w:t>；</w:t>
            </w:r>
          </w:p>
          <w:p w14:paraId="0EA73DFC">
            <w:pPr>
              <w:numPr>
                <w:ilvl w:val="0"/>
                <w:numId w:val="181"/>
              </w:numPr>
              <w:wordWrap w:val="0"/>
              <w:ind w:firstLine="0"/>
              <w:jc w:val="left"/>
              <w:rPr>
                <w:rFonts w:ascii="宋体" w:hAnsi="宋体" w:cs="宋体"/>
                <w:color w:val="auto"/>
                <w:sz w:val="24"/>
                <w:szCs w:val="24"/>
              </w:rPr>
            </w:pPr>
            <w:r>
              <w:rPr>
                <w:rFonts w:ascii="宋体" w:hAnsi="宋体" w:cs="宋体"/>
                <w:color w:val="auto"/>
                <w:sz w:val="24"/>
                <w:szCs w:val="24"/>
              </w:rPr>
              <w:t>软件支持:配套配置软件、控制软件；支持各家组态软件；支持Labviewd 等</w:t>
            </w:r>
            <w:r>
              <w:rPr>
                <w:rFonts w:hint="eastAsia" w:ascii="宋体" w:hAnsi="宋体" w:cs="宋体"/>
                <w:color w:val="auto"/>
                <w:sz w:val="24"/>
                <w:szCs w:val="24"/>
              </w:rPr>
              <w:t>；</w:t>
            </w:r>
          </w:p>
          <w:p w14:paraId="4FECC6F6">
            <w:pPr>
              <w:numPr>
                <w:ilvl w:val="0"/>
                <w:numId w:val="174"/>
              </w:numPr>
              <w:ind w:left="0" w:firstLine="0"/>
              <w:jc w:val="left"/>
              <w:rPr>
                <w:rFonts w:ascii="宋体" w:hAnsi="宋体" w:cs="宋体"/>
                <w:color w:val="auto"/>
                <w:sz w:val="24"/>
                <w:szCs w:val="24"/>
              </w:rPr>
            </w:pPr>
            <w:r>
              <w:rPr>
                <w:rFonts w:hint="eastAsia" w:ascii="宋体" w:hAnsi="宋体" w:cs="宋体"/>
                <w:color w:val="auto"/>
                <w:sz w:val="24"/>
                <w:szCs w:val="24"/>
              </w:rPr>
              <w:t>温度变送器设备参数：</w:t>
            </w:r>
          </w:p>
          <w:p w14:paraId="3201B280">
            <w:pPr>
              <w:pStyle w:val="22"/>
              <w:numPr>
                <w:ilvl w:val="0"/>
                <w:numId w:val="182"/>
              </w:numPr>
              <w:wordWrap w:val="0"/>
              <w:ind w:left="0" w:firstLine="0"/>
              <w:rPr>
                <w:color w:val="auto"/>
              </w:rPr>
            </w:pPr>
            <w:r>
              <w:rPr>
                <w:rFonts w:hint="eastAsia" w:ascii="宋体" w:hAnsi="宋体" w:eastAsia="宋体" w:cs="宋体"/>
                <w:color w:val="auto"/>
                <w:sz w:val="24"/>
                <w:szCs w:val="24"/>
              </w:rPr>
              <w:t>主要参数：</w:t>
            </w:r>
          </w:p>
          <w:p w14:paraId="4F1050B8">
            <w:pPr>
              <w:numPr>
                <w:ilvl w:val="0"/>
                <w:numId w:val="183"/>
              </w:numPr>
              <w:wordWrap w:val="0"/>
              <w:ind w:firstLine="0"/>
              <w:jc w:val="left"/>
              <w:rPr>
                <w:rFonts w:ascii="宋体" w:hAnsi="宋体" w:cs="宋体"/>
                <w:color w:val="auto"/>
                <w:sz w:val="24"/>
                <w:szCs w:val="24"/>
              </w:rPr>
            </w:pPr>
            <w:r>
              <w:rPr>
                <w:rFonts w:ascii="宋体" w:hAnsi="宋体" w:cs="宋体"/>
                <w:color w:val="auto"/>
                <w:sz w:val="24"/>
                <w:szCs w:val="24"/>
              </w:rPr>
              <w:t>供电电压</w:t>
            </w:r>
            <w:r>
              <w:rPr>
                <w:rFonts w:hint="eastAsia" w:ascii="宋体" w:hAnsi="宋体" w:cs="宋体"/>
                <w:color w:val="auto"/>
                <w:sz w:val="24"/>
                <w:szCs w:val="24"/>
              </w:rPr>
              <w:t>：</w:t>
            </w:r>
            <w:r>
              <w:rPr>
                <w:rFonts w:ascii="宋体" w:hAnsi="宋体" w:cs="宋体"/>
                <w:color w:val="auto"/>
                <w:sz w:val="24"/>
                <w:szCs w:val="24"/>
              </w:rPr>
              <w:t>最小值DC 10V，标准值DC 12V，最大值DC 30V，条件：-20-70℃</w:t>
            </w:r>
            <w:r>
              <w:rPr>
                <w:rFonts w:hint="eastAsia" w:ascii="宋体" w:hAnsi="宋体" w:cs="宋体"/>
                <w:color w:val="auto"/>
                <w:sz w:val="24"/>
                <w:szCs w:val="24"/>
              </w:rPr>
              <w:t>；</w:t>
            </w:r>
          </w:p>
          <w:p w14:paraId="66C122F6">
            <w:pPr>
              <w:numPr>
                <w:ilvl w:val="0"/>
                <w:numId w:val="183"/>
              </w:numPr>
              <w:wordWrap w:val="0"/>
              <w:ind w:firstLine="0"/>
              <w:jc w:val="left"/>
              <w:rPr>
                <w:rFonts w:ascii="宋体" w:hAnsi="宋体" w:cs="宋体"/>
                <w:color w:val="auto"/>
                <w:sz w:val="24"/>
                <w:szCs w:val="24"/>
              </w:rPr>
            </w:pPr>
            <w:r>
              <w:rPr>
                <w:rFonts w:ascii="宋体" w:hAnsi="宋体" w:cs="宋体"/>
                <w:color w:val="auto"/>
                <w:sz w:val="24"/>
                <w:szCs w:val="24"/>
              </w:rPr>
              <w:t>RS485总线电压</w:t>
            </w:r>
            <w:r>
              <w:rPr>
                <w:rFonts w:hint="eastAsia" w:ascii="宋体" w:hAnsi="宋体" w:cs="宋体"/>
                <w:color w:val="auto"/>
                <w:sz w:val="24"/>
                <w:szCs w:val="24"/>
              </w:rPr>
              <w:t>：</w:t>
            </w:r>
            <w:r>
              <w:rPr>
                <w:rFonts w:ascii="宋体" w:hAnsi="宋体" w:cs="宋体"/>
                <w:color w:val="auto"/>
                <w:sz w:val="24"/>
                <w:szCs w:val="24"/>
              </w:rPr>
              <w:t>最小值4V，标准值4.1V，最大值4.5V，条件：与总线断开</w:t>
            </w:r>
            <w:r>
              <w:rPr>
                <w:rFonts w:hint="eastAsia" w:ascii="宋体" w:hAnsi="宋体" w:cs="宋体"/>
                <w:color w:val="auto"/>
                <w:sz w:val="24"/>
                <w:szCs w:val="24"/>
              </w:rPr>
              <w:t>；</w:t>
            </w:r>
          </w:p>
          <w:p w14:paraId="71572DCB">
            <w:pPr>
              <w:numPr>
                <w:ilvl w:val="0"/>
                <w:numId w:val="183"/>
              </w:numPr>
              <w:wordWrap w:val="0"/>
              <w:ind w:firstLine="0"/>
              <w:jc w:val="left"/>
              <w:rPr>
                <w:rFonts w:ascii="宋体" w:hAnsi="宋体" w:cs="宋体"/>
                <w:color w:val="auto"/>
                <w:sz w:val="24"/>
                <w:szCs w:val="24"/>
              </w:rPr>
            </w:pPr>
            <w:r>
              <w:rPr>
                <w:rFonts w:ascii="宋体" w:hAnsi="宋体" w:cs="宋体"/>
                <w:color w:val="auto"/>
                <w:sz w:val="24"/>
                <w:szCs w:val="24"/>
              </w:rPr>
              <w:t>测量精度</w:t>
            </w:r>
            <w:r>
              <w:rPr>
                <w:rFonts w:hint="eastAsia" w:ascii="宋体" w:hAnsi="宋体" w:cs="宋体"/>
                <w:color w:val="auto"/>
                <w:sz w:val="24"/>
                <w:szCs w:val="24"/>
              </w:rPr>
              <w:t>：</w:t>
            </w:r>
            <w:r>
              <w:rPr>
                <w:rFonts w:ascii="宋体" w:hAnsi="宋体" w:cs="宋体"/>
                <w:color w:val="auto"/>
                <w:sz w:val="24"/>
                <w:szCs w:val="24"/>
              </w:rPr>
              <w:t>热电阻±0.2，热电偶±1 ± 0.02%</w:t>
            </w:r>
            <w:r>
              <w:rPr>
                <w:rFonts w:hint="eastAsia" w:ascii="宋体" w:hAnsi="宋体" w:cs="宋体"/>
                <w:color w:val="auto"/>
                <w:sz w:val="24"/>
                <w:szCs w:val="24"/>
              </w:rPr>
              <w:t>，</w:t>
            </w:r>
            <w:r>
              <w:rPr>
                <w:rFonts w:ascii="宋体" w:hAnsi="宋体" w:cs="宋体"/>
                <w:color w:val="auto"/>
                <w:sz w:val="24"/>
                <w:szCs w:val="24"/>
              </w:rPr>
              <w:t>电流电压±0.02%</w:t>
            </w:r>
            <w:r>
              <w:rPr>
                <w:rFonts w:hint="eastAsia" w:ascii="宋体" w:hAnsi="宋体" w:cs="宋体"/>
                <w:color w:val="auto"/>
                <w:sz w:val="24"/>
                <w:szCs w:val="24"/>
              </w:rPr>
              <w:t>；</w:t>
            </w:r>
          </w:p>
          <w:p w14:paraId="7D1A4F25">
            <w:pPr>
              <w:numPr>
                <w:ilvl w:val="0"/>
                <w:numId w:val="183"/>
              </w:numPr>
              <w:wordWrap w:val="0"/>
              <w:ind w:firstLine="0"/>
              <w:jc w:val="left"/>
              <w:rPr>
                <w:rFonts w:ascii="宋体" w:hAnsi="宋体" w:cs="宋体"/>
                <w:color w:val="auto"/>
                <w:sz w:val="24"/>
                <w:szCs w:val="24"/>
              </w:rPr>
            </w:pPr>
            <w:r>
              <w:rPr>
                <w:rFonts w:ascii="宋体" w:hAnsi="宋体" w:cs="宋体"/>
                <w:color w:val="auto"/>
                <w:sz w:val="24"/>
                <w:szCs w:val="24"/>
              </w:rPr>
              <w:t>通信波特率</w:t>
            </w:r>
            <w:r>
              <w:rPr>
                <w:rFonts w:hint="eastAsia" w:ascii="宋体" w:hAnsi="宋体" w:cs="宋体"/>
                <w:color w:val="auto"/>
                <w:sz w:val="24"/>
                <w:szCs w:val="24"/>
              </w:rPr>
              <w:t>：</w:t>
            </w:r>
            <w:r>
              <w:rPr>
                <w:rFonts w:ascii="宋体" w:hAnsi="宋体" w:cs="宋体"/>
                <w:color w:val="auto"/>
                <w:sz w:val="24"/>
                <w:szCs w:val="24"/>
              </w:rPr>
              <w:t>最小值1200bps</w:t>
            </w:r>
            <w:r>
              <w:rPr>
                <w:rFonts w:hint="eastAsia" w:ascii="宋体" w:hAnsi="宋体" w:cs="宋体"/>
                <w:color w:val="auto"/>
                <w:sz w:val="24"/>
                <w:szCs w:val="24"/>
              </w:rPr>
              <w:t>，</w:t>
            </w:r>
            <w:r>
              <w:rPr>
                <w:rFonts w:ascii="宋体" w:hAnsi="宋体" w:cs="宋体"/>
                <w:color w:val="auto"/>
                <w:sz w:val="24"/>
                <w:szCs w:val="24"/>
              </w:rPr>
              <w:t>标准值9600bps</w:t>
            </w:r>
            <w:r>
              <w:rPr>
                <w:rFonts w:hint="eastAsia" w:ascii="宋体" w:hAnsi="宋体" w:cs="宋体"/>
                <w:color w:val="auto"/>
                <w:sz w:val="24"/>
                <w:szCs w:val="24"/>
              </w:rPr>
              <w:t>，</w:t>
            </w:r>
            <w:r>
              <w:rPr>
                <w:rFonts w:ascii="宋体" w:hAnsi="宋体" w:cs="宋体"/>
                <w:color w:val="auto"/>
                <w:sz w:val="24"/>
                <w:szCs w:val="24"/>
              </w:rPr>
              <w:t>最大值115200bps</w:t>
            </w:r>
            <w:r>
              <w:rPr>
                <w:rFonts w:hint="eastAsia" w:ascii="宋体" w:hAnsi="宋体" w:cs="宋体"/>
                <w:color w:val="auto"/>
                <w:sz w:val="24"/>
                <w:szCs w:val="24"/>
              </w:rPr>
              <w:t>；</w:t>
            </w:r>
          </w:p>
          <w:p w14:paraId="671DE6B1">
            <w:pPr>
              <w:numPr>
                <w:ilvl w:val="0"/>
                <w:numId w:val="174"/>
              </w:numPr>
              <w:ind w:left="0" w:firstLine="0"/>
              <w:jc w:val="left"/>
              <w:rPr>
                <w:rFonts w:ascii="宋体" w:hAnsi="宋体" w:cs="宋体"/>
                <w:color w:val="auto"/>
                <w:sz w:val="24"/>
                <w:szCs w:val="24"/>
              </w:rPr>
            </w:pPr>
            <w:r>
              <w:rPr>
                <w:rFonts w:hint="eastAsia" w:ascii="宋体" w:hAnsi="宋体" w:cs="宋体"/>
                <w:color w:val="auto"/>
                <w:sz w:val="24"/>
                <w:szCs w:val="24"/>
              </w:rPr>
              <w:t>铂热电阻设备参数：</w:t>
            </w:r>
          </w:p>
          <w:p w14:paraId="3CEBD10D">
            <w:pPr>
              <w:pStyle w:val="22"/>
              <w:numPr>
                <w:ilvl w:val="0"/>
                <w:numId w:val="184"/>
              </w:numPr>
              <w:wordWrap w:val="0"/>
              <w:ind w:left="0" w:firstLine="0"/>
              <w:rPr>
                <w:color w:val="auto"/>
              </w:rPr>
            </w:pPr>
            <w:r>
              <w:rPr>
                <w:rFonts w:hint="eastAsia" w:ascii="宋体" w:hAnsi="宋体" w:eastAsia="宋体" w:cs="宋体"/>
                <w:color w:val="auto"/>
                <w:sz w:val="24"/>
                <w:szCs w:val="24"/>
              </w:rPr>
              <w:t>主要参数：</w:t>
            </w:r>
          </w:p>
          <w:p w14:paraId="271AC2B7">
            <w:pPr>
              <w:numPr>
                <w:ilvl w:val="0"/>
                <w:numId w:val="185"/>
              </w:numPr>
              <w:wordWrap w:val="0"/>
              <w:ind w:firstLine="0"/>
              <w:jc w:val="left"/>
              <w:rPr>
                <w:rFonts w:ascii="宋体" w:hAnsi="宋体" w:cs="宋体"/>
                <w:color w:val="auto"/>
                <w:sz w:val="24"/>
                <w:szCs w:val="24"/>
              </w:rPr>
            </w:pPr>
            <w:r>
              <w:rPr>
                <w:rFonts w:ascii="宋体" w:hAnsi="宋体" w:cs="宋体"/>
                <w:color w:val="auto"/>
                <w:sz w:val="24"/>
                <w:szCs w:val="24"/>
              </w:rPr>
              <w:t>分度号</w:t>
            </w:r>
            <w:r>
              <w:rPr>
                <w:rFonts w:hint="eastAsia" w:ascii="宋体" w:hAnsi="宋体" w:cs="宋体"/>
                <w:color w:val="auto"/>
                <w:sz w:val="24"/>
                <w:szCs w:val="24"/>
              </w:rPr>
              <w:t>：</w:t>
            </w:r>
            <w:r>
              <w:rPr>
                <w:rFonts w:ascii="宋体" w:hAnsi="宋体" w:cs="宋体"/>
                <w:color w:val="auto"/>
                <w:sz w:val="24"/>
                <w:szCs w:val="24"/>
              </w:rPr>
              <w:t>Pt100(默认)/K/E/J/T/PL1000等</w:t>
            </w:r>
            <w:r>
              <w:rPr>
                <w:rFonts w:hint="eastAsia" w:ascii="宋体" w:hAnsi="宋体" w:cs="宋体"/>
                <w:color w:val="auto"/>
                <w:sz w:val="24"/>
                <w:szCs w:val="24"/>
              </w:rPr>
              <w:t>；</w:t>
            </w:r>
          </w:p>
          <w:p w14:paraId="1D58C53E">
            <w:pPr>
              <w:numPr>
                <w:ilvl w:val="0"/>
                <w:numId w:val="185"/>
              </w:numPr>
              <w:wordWrap w:val="0"/>
              <w:ind w:firstLine="0"/>
              <w:jc w:val="left"/>
              <w:rPr>
                <w:rFonts w:ascii="宋体" w:hAnsi="宋体" w:cs="宋体"/>
                <w:color w:val="auto"/>
                <w:sz w:val="24"/>
                <w:szCs w:val="24"/>
              </w:rPr>
            </w:pPr>
            <w:r>
              <w:rPr>
                <w:rFonts w:ascii="宋体" w:hAnsi="宋体" w:cs="宋体"/>
                <w:color w:val="auto"/>
                <w:sz w:val="24"/>
                <w:szCs w:val="24"/>
              </w:rPr>
              <w:t>测量范围</w:t>
            </w:r>
            <w:r>
              <w:rPr>
                <w:rFonts w:hint="eastAsia" w:ascii="宋体" w:hAnsi="宋体" w:cs="宋体"/>
                <w:color w:val="auto"/>
                <w:sz w:val="24"/>
                <w:szCs w:val="24"/>
              </w:rPr>
              <w:t>：</w:t>
            </w:r>
            <w:r>
              <w:rPr>
                <w:rFonts w:ascii="宋体" w:hAnsi="宋体" w:cs="宋体"/>
                <w:color w:val="auto"/>
                <w:sz w:val="24"/>
                <w:szCs w:val="24"/>
              </w:rPr>
              <w:t>-50+200℃(Pt100)/0-200℃(0 /0-200℃(E)</w:t>
            </w:r>
            <w:r>
              <w:rPr>
                <w:rFonts w:hint="eastAsia" w:ascii="宋体" w:hAnsi="宋体" w:cs="宋体"/>
                <w:color w:val="auto"/>
                <w:sz w:val="24"/>
                <w:szCs w:val="24"/>
              </w:rPr>
              <w:t>；</w:t>
            </w:r>
          </w:p>
          <w:p w14:paraId="50E0E77F">
            <w:pPr>
              <w:numPr>
                <w:ilvl w:val="0"/>
                <w:numId w:val="185"/>
              </w:numPr>
              <w:wordWrap w:val="0"/>
              <w:ind w:firstLine="0"/>
              <w:jc w:val="left"/>
              <w:rPr>
                <w:rFonts w:ascii="宋体" w:hAnsi="宋体" w:cs="宋体"/>
                <w:color w:val="auto"/>
                <w:sz w:val="24"/>
                <w:szCs w:val="24"/>
              </w:rPr>
            </w:pPr>
            <w:r>
              <w:rPr>
                <w:rFonts w:ascii="宋体" w:hAnsi="宋体" w:cs="宋体"/>
                <w:color w:val="auto"/>
                <w:sz w:val="24"/>
                <w:szCs w:val="24"/>
              </w:rPr>
              <w:t>保护管直径</w:t>
            </w:r>
            <w:r>
              <w:rPr>
                <w:rFonts w:hint="eastAsia" w:ascii="宋体" w:hAnsi="宋体" w:cs="宋体"/>
                <w:color w:val="auto"/>
                <w:sz w:val="24"/>
                <w:szCs w:val="24"/>
              </w:rPr>
              <w:t>：</w:t>
            </w:r>
            <w:r>
              <w:rPr>
                <w:rFonts w:ascii="宋体" w:hAnsi="宋体" w:cs="宋体"/>
                <w:color w:val="auto"/>
                <w:sz w:val="24"/>
                <w:szCs w:val="24"/>
              </w:rPr>
              <w:t>4mm(默认)/另有3mm、5mm.6mm等可选择定制</w:t>
            </w:r>
            <w:r>
              <w:rPr>
                <w:rFonts w:hint="eastAsia" w:ascii="宋体" w:hAnsi="宋体" w:cs="宋体"/>
                <w:color w:val="auto"/>
                <w:sz w:val="24"/>
                <w:szCs w:val="24"/>
              </w:rPr>
              <w:t>；</w:t>
            </w:r>
          </w:p>
          <w:p w14:paraId="6CE56BC9">
            <w:pPr>
              <w:numPr>
                <w:ilvl w:val="0"/>
                <w:numId w:val="185"/>
              </w:numPr>
              <w:wordWrap w:val="0"/>
              <w:ind w:firstLine="0"/>
              <w:jc w:val="left"/>
              <w:rPr>
                <w:rFonts w:ascii="宋体" w:hAnsi="宋体" w:cs="宋体"/>
                <w:color w:val="auto"/>
                <w:sz w:val="24"/>
                <w:szCs w:val="24"/>
              </w:rPr>
            </w:pPr>
            <w:r>
              <w:rPr>
                <w:rFonts w:ascii="宋体" w:hAnsi="宋体" w:cs="宋体"/>
                <w:color w:val="auto"/>
                <w:sz w:val="24"/>
                <w:szCs w:val="24"/>
              </w:rPr>
              <w:t>线材</w:t>
            </w:r>
            <w:r>
              <w:rPr>
                <w:rFonts w:hint="eastAsia" w:ascii="宋体" w:hAnsi="宋体" w:cs="宋体"/>
                <w:color w:val="auto"/>
                <w:sz w:val="24"/>
                <w:szCs w:val="24"/>
              </w:rPr>
              <w:t>：</w:t>
            </w:r>
            <w:r>
              <w:rPr>
                <w:rFonts w:ascii="宋体" w:hAnsi="宋体" w:cs="宋体"/>
                <w:color w:val="auto"/>
                <w:sz w:val="24"/>
                <w:szCs w:val="24"/>
              </w:rPr>
              <w:t>三芯镀银四氟屏蔽线</w:t>
            </w:r>
            <w:r>
              <w:rPr>
                <w:rFonts w:hint="eastAsia" w:ascii="宋体" w:hAnsi="宋体" w:cs="宋体"/>
                <w:color w:val="auto"/>
                <w:sz w:val="24"/>
                <w:szCs w:val="24"/>
              </w:rPr>
              <w:t>；</w:t>
            </w:r>
          </w:p>
          <w:p w14:paraId="2647E414">
            <w:pPr>
              <w:numPr>
                <w:ilvl w:val="0"/>
                <w:numId w:val="185"/>
              </w:numPr>
              <w:wordWrap w:val="0"/>
              <w:ind w:firstLine="0"/>
              <w:jc w:val="left"/>
              <w:rPr>
                <w:rFonts w:ascii="宋体" w:hAnsi="宋体" w:cs="宋体"/>
                <w:color w:val="auto"/>
                <w:sz w:val="24"/>
                <w:szCs w:val="24"/>
              </w:rPr>
            </w:pPr>
            <w:r>
              <w:rPr>
                <w:rFonts w:ascii="宋体" w:hAnsi="宋体" w:cs="宋体"/>
                <w:color w:val="auto"/>
                <w:sz w:val="24"/>
                <w:szCs w:val="24"/>
              </w:rPr>
              <w:t>保护管材质</w:t>
            </w:r>
            <w:r>
              <w:rPr>
                <w:rFonts w:hint="eastAsia" w:ascii="宋体" w:hAnsi="宋体" w:cs="宋体"/>
                <w:color w:val="auto"/>
                <w:sz w:val="24"/>
                <w:szCs w:val="24"/>
              </w:rPr>
              <w:t>：</w:t>
            </w:r>
            <w:r>
              <w:rPr>
                <w:rFonts w:ascii="宋体" w:hAnsi="宋体" w:cs="宋体"/>
                <w:color w:val="auto"/>
                <w:sz w:val="24"/>
                <w:szCs w:val="24"/>
              </w:rPr>
              <w:t>304不锈钢，可定制316或者其他材质</w:t>
            </w:r>
            <w:r>
              <w:rPr>
                <w:rFonts w:hint="eastAsia" w:ascii="宋体" w:hAnsi="宋体" w:cs="宋体"/>
                <w:color w:val="auto"/>
                <w:sz w:val="24"/>
                <w:szCs w:val="24"/>
              </w:rPr>
              <w:t>；</w:t>
            </w:r>
          </w:p>
          <w:p w14:paraId="19ECC534">
            <w:pPr>
              <w:numPr>
                <w:ilvl w:val="0"/>
                <w:numId w:val="185"/>
              </w:numPr>
              <w:wordWrap w:val="0"/>
              <w:ind w:firstLine="0"/>
              <w:jc w:val="left"/>
              <w:rPr>
                <w:rFonts w:ascii="宋体" w:hAnsi="宋体" w:cs="宋体"/>
                <w:color w:val="auto"/>
                <w:sz w:val="24"/>
                <w:szCs w:val="24"/>
              </w:rPr>
            </w:pPr>
            <w:r>
              <w:rPr>
                <w:rFonts w:ascii="宋体" w:hAnsi="宋体" w:cs="宋体"/>
                <w:color w:val="auto"/>
                <w:sz w:val="24"/>
                <w:szCs w:val="24"/>
              </w:rPr>
              <w:t>电阻类型</w:t>
            </w:r>
            <w:r>
              <w:rPr>
                <w:rFonts w:hint="eastAsia" w:ascii="宋体" w:hAnsi="宋体" w:cs="宋体"/>
                <w:color w:val="auto"/>
                <w:sz w:val="24"/>
                <w:szCs w:val="24"/>
              </w:rPr>
              <w:t>：</w:t>
            </w:r>
            <w:r>
              <w:rPr>
                <w:rFonts w:ascii="宋体" w:hAnsi="宋体" w:cs="宋体"/>
                <w:color w:val="auto"/>
                <w:sz w:val="24"/>
                <w:szCs w:val="24"/>
              </w:rPr>
              <w:t>1/3B级、A级、B级、2B级可选</w:t>
            </w:r>
            <w:r>
              <w:rPr>
                <w:rFonts w:hint="eastAsia" w:ascii="宋体" w:hAnsi="宋体" w:cs="宋体"/>
                <w:color w:val="auto"/>
                <w:sz w:val="24"/>
                <w:szCs w:val="24"/>
              </w:rPr>
              <w:t>；</w:t>
            </w:r>
          </w:p>
          <w:p w14:paraId="45F477C6">
            <w:pPr>
              <w:numPr>
                <w:ilvl w:val="0"/>
                <w:numId w:val="185"/>
              </w:numPr>
              <w:wordWrap w:val="0"/>
              <w:ind w:firstLine="0"/>
              <w:jc w:val="left"/>
              <w:rPr>
                <w:rFonts w:ascii="宋体" w:hAnsi="宋体" w:cs="宋体"/>
                <w:color w:val="auto"/>
                <w:sz w:val="24"/>
                <w:szCs w:val="24"/>
              </w:rPr>
            </w:pPr>
            <w:r>
              <w:rPr>
                <w:rFonts w:ascii="宋体" w:hAnsi="宋体" w:cs="宋体"/>
                <w:color w:val="auto"/>
                <w:sz w:val="24"/>
                <w:szCs w:val="24"/>
              </w:rPr>
              <w:t>保护管长度</w:t>
            </w:r>
            <w:r>
              <w:rPr>
                <w:rFonts w:hint="eastAsia" w:ascii="宋体" w:hAnsi="宋体" w:cs="宋体"/>
                <w:color w:val="auto"/>
                <w:sz w:val="24"/>
                <w:szCs w:val="24"/>
              </w:rPr>
              <w:t>：</w:t>
            </w:r>
            <w:r>
              <w:rPr>
                <w:rFonts w:ascii="宋体" w:hAnsi="宋体" w:cs="宋体"/>
                <w:color w:val="auto"/>
                <w:sz w:val="24"/>
                <w:szCs w:val="24"/>
              </w:rPr>
              <w:t>30mm(默认)/另有10/15/20/40/50/60/100/150/200mm等可选择定制</w:t>
            </w:r>
            <w:r>
              <w:rPr>
                <w:rFonts w:hint="eastAsia" w:ascii="宋体" w:hAnsi="宋体" w:cs="宋体"/>
                <w:color w:val="auto"/>
                <w:sz w:val="24"/>
                <w:szCs w:val="24"/>
              </w:rPr>
              <w:t>；</w:t>
            </w:r>
          </w:p>
          <w:p w14:paraId="26108DCF">
            <w:pPr>
              <w:numPr>
                <w:ilvl w:val="0"/>
                <w:numId w:val="185"/>
              </w:numPr>
              <w:wordWrap w:val="0"/>
              <w:ind w:firstLine="0"/>
              <w:jc w:val="left"/>
              <w:rPr>
                <w:rFonts w:ascii="宋体" w:hAnsi="宋体" w:cs="宋体"/>
                <w:color w:val="auto"/>
                <w:sz w:val="24"/>
                <w:szCs w:val="24"/>
              </w:rPr>
            </w:pPr>
            <w:r>
              <w:rPr>
                <w:rFonts w:ascii="宋体" w:hAnsi="宋体" w:cs="宋体"/>
                <w:color w:val="auto"/>
                <w:sz w:val="24"/>
                <w:szCs w:val="24"/>
              </w:rPr>
              <w:t>线长</w:t>
            </w:r>
            <w:r>
              <w:rPr>
                <w:rFonts w:hint="eastAsia" w:ascii="宋体" w:hAnsi="宋体" w:cs="宋体"/>
                <w:color w:val="auto"/>
                <w:sz w:val="24"/>
                <w:szCs w:val="24"/>
              </w:rPr>
              <w:t>：</w:t>
            </w:r>
            <w:r>
              <w:rPr>
                <w:rFonts w:ascii="宋体" w:hAnsi="宋体" w:cs="宋体"/>
                <w:color w:val="auto"/>
                <w:sz w:val="24"/>
                <w:szCs w:val="24"/>
              </w:rPr>
              <w:t>0.5米/1米/1.5米/2米/3米</w:t>
            </w:r>
            <w:r>
              <w:rPr>
                <w:rFonts w:hint="eastAsia" w:ascii="宋体" w:hAnsi="宋体" w:cs="宋体"/>
                <w:color w:val="auto"/>
                <w:sz w:val="24"/>
                <w:szCs w:val="24"/>
              </w:rPr>
              <w:t>，</w:t>
            </w:r>
            <w:r>
              <w:rPr>
                <w:rFonts w:ascii="宋体" w:hAnsi="宋体" w:cs="宋体"/>
                <w:color w:val="auto"/>
                <w:sz w:val="24"/>
                <w:szCs w:val="24"/>
              </w:rPr>
              <w:t>可按要求定制任意线长</w:t>
            </w:r>
            <w:r>
              <w:rPr>
                <w:rFonts w:hint="eastAsia" w:ascii="宋体" w:hAnsi="宋体" w:cs="宋体"/>
                <w:color w:val="auto"/>
                <w:sz w:val="24"/>
                <w:szCs w:val="24"/>
              </w:rPr>
              <w:t>；</w:t>
            </w:r>
          </w:p>
          <w:p w14:paraId="713851BA">
            <w:pPr>
              <w:numPr>
                <w:ilvl w:val="0"/>
                <w:numId w:val="185"/>
              </w:numPr>
              <w:wordWrap w:val="0"/>
              <w:ind w:firstLine="0"/>
              <w:jc w:val="left"/>
              <w:rPr>
                <w:rFonts w:ascii="宋体" w:hAnsi="宋体" w:cs="宋体"/>
                <w:color w:val="auto"/>
                <w:sz w:val="24"/>
                <w:szCs w:val="24"/>
              </w:rPr>
            </w:pPr>
            <w:r>
              <w:rPr>
                <w:rFonts w:ascii="宋体" w:hAnsi="宋体" w:cs="宋体"/>
                <w:color w:val="auto"/>
                <w:sz w:val="24"/>
                <w:szCs w:val="24"/>
              </w:rPr>
              <w:t>接线端子</w:t>
            </w:r>
            <w:r>
              <w:rPr>
                <w:rFonts w:hint="eastAsia" w:ascii="宋体" w:hAnsi="宋体" w:cs="宋体"/>
                <w:color w:val="auto"/>
                <w:sz w:val="24"/>
                <w:szCs w:val="24"/>
              </w:rPr>
              <w:t>：</w:t>
            </w:r>
            <w:r>
              <w:rPr>
                <w:rFonts w:ascii="宋体" w:hAnsi="宋体" w:cs="宋体"/>
                <w:color w:val="auto"/>
                <w:sz w:val="24"/>
                <w:szCs w:val="24"/>
              </w:rPr>
              <w:t>U型端子(默认)/可定制插针端子、小黄插头、航空插头等</w:t>
            </w:r>
            <w:r>
              <w:rPr>
                <w:rFonts w:hint="eastAsia" w:ascii="宋体" w:hAnsi="宋体" w:cs="宋体"/>
                <w:color w:val="auto"/>
                <w:sz w:val="24"/>
                <w:szCs w:val="24"/>
              </w:rPr>
              <w:t>；</w:t>
            </w:r>
          </w:p>
          <w:p w14:paraId="0DF1E1B4">
            <w:pPr>
              <w:numPr>
                <w:ilvl w:val="0"/>
                <w:numId w:val="174"/>
              </w:numPr>
              <w:ind w:left="0" w:firstLine="0"/>
              <w:jc w:val="left"/>
              <w:rPr>
                <w:rFonts w:ascii="宋体" w:hAnsi="宋体" w:cs="宋体"/>
                <w:color w:val="auto"/>
                <w:sz w:val="24"/>
                <w:szCs w:val="24"/>
              </w:rPr>
            </w:pPr>
            <w:r>
              <w:rPr>
                <w:rFonts w:hint="eastAsia" w:ascii="宋体" w:hAnsi="宋体" w:cs="宋体"/>
                <w:color w:val="auto"/>
                <w:sz w:val="24"/>
                <w:szCs w:val="24"/>
              </w:rPr>
              <w:t>挡鼠板门磁设备参数：</w:t>
            </w:r>
          </w:p>
          <w:p w14:paraId="6B3BC049">
            <w:pPr>
              <w:pStyle w:val="22"/>
              <w:numPr>
                <w:ilvl w:val="0"/>
                <w:numId w:val="186"/>
              </w:numPr>
              <w:wordWrap w:val="0"/>
              <w:ind w:left="0" w:firstLine="0"/>
              <w:rPr>
                <w:color w:val="auto"/>
              </w:rPr>
            </w:pPr>
            <w:r>
              <w:rPr>
                <w:rFonts w:hint="eastAsia" w:ascii="宋体" w:hAnsi="宋体" w:eastAsia="宋体" w:cs="宋体"/>
                <w:color w:val="auto"/>
                <w:sz w:val="24"/>
                <w:szCs w:val="24"/>
              </w:rPr>
              <w:t>主要参数：</w:t>
            </w:r>
          </w:p>
          <w:p w14:paraId="6994C36A">
            <w:pPr>
              <w:widowControl/>
              <w:numPr>
                <w:ilvl w:val="0"/>
                <w:numId w:val="18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感应距离：</w:t>
            </w:r>
            <w:r>
              <w:rPr>
                <w:rFonts w:ascii="宋体" w:hAnsi="宋体" w:cs="宋体"/>
                <w:color w:val="auto"/>
                <w:kern w:val="0"/>
                <w:sz w:val="24"/>
                <w:szCs w:val="24"/>
                <w:lang w:bidi="ar"/>
              </w:rPr>
              <w:t>25-35MM；</w:t>
            </w:r>
          </w:p>
          <w:p w14:paraId="5A6FE9F1">
            <w:pPr>
              <w:widowControl/>
              <w:numPr>
                <w:ilvl w:val="0"/>
                <w:numId w:val="18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孔距离：</w:t>
            </w:r>
            <w:r>
              <w:rPr>
                <w:rFonts w:ascii="宋体" w:hAnsi="宋体" w:cs="宋体"/>
                <w:color w:val="auto"/>
                <w:kern w:val="0"/>
                <w:sz w:val="24"/>
                <w:szCs w:val="24"/>
                <w:lang w:bidi="ar"/>
              </w:rPr>
              <w:t>33MM；</w:t>
            </w:r>
          </w:p>
          <w:p w14:paraId="37D40557">
            <w:pPr>
              <w:widowControl/>
              <w:numPr>
                <w:ilvl w:val="0"/>
                <w:numId w:val="18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开关形式：常闭；</w:t>
            </w:r>
          </w:p>
          <w:p w14:paraId="15E4D302">
            <w:pPr>
              <w:widowControl/>
              <w:numPr>
                <w:ilvl w:val="0"/>
                <w:numId w:val="187"/>
              </w:numPr>
              <w:ind w:firstLine="0"/>
              <w:jc w:val="left"/>
              <w:textAlignment w:val="center"/>
              <w:rPr>
                <w:rFonts w:ascii="宋体" w:hAnsi="宋体" w:cs="宋体"/>
                <w:color w:val="auto"/>
                <w:kern w:val="0"/>
                <w:sz w:val="24"/>
                <w:szCs w:val="24"/>
                <w:lang w:bidi="ar"/>
              </w:rPr>
            </w:pPr>
            <w:r>
              <w:rPr>
                <w:rFonts w:hint="eastAsia" w:ascii="宋体" w:hAnsi="宋体" w:cs="宋体"/>
                <w:color w:val="auto"/>
                <w:kern w:val="0"/>
                <w:sz w:val="24"/>
                <w:szCs w:val="24"/>
                <w:lang w:bidi="ar"/>
              </w:rPr>
              <w:t>参数：最大功率</w:t>
            </w:r>
            <w:r>
              <w:rPr>
                <w:rFonts w:ascii="宋体" w:hAnsi="宋体" w:cs="宋体"/>
                <w:color w:val="auto"/>
                <w:kern w:val="0"/>
                <w:sz w:val="24"/>
                <w:szCs w:val="24"/>
                <w:lang w:bidi="ar"/>
              </w:rPr>
              <w:t>10W，最高电压100V，最大电流0.5A；</w:t>
            </w:r>
          </w:p>
          <w:p w14:paraId="5BD090FA">
            <w:pPr>
              <w:widowControl/>
              <w:numPr>
                <w:ilvl w:val="0"/>
                <w:numId w:val="187"/>
              </w:numPr>
              <w:ind w:firstLine="0"/>
              <w:jc w:val="left"/>
              <w:textAlignment w:val="center"/>
              <w:rPr>
                <w:color w:val="auto"/>
              </w:rPr>
            </w:pPr>
            <w:r>
              <w:rPr>
                <w:rFonts w:hint="eastAsia" w:ascii="宋体" w:hAnsi="宋体" w:cs="宋体"/>
                <w:color w:val="auto"/>
                <w:kern w:val="0"/>
                <w:sz w:val="24"/>
                <w:szCs w:val="24"/>
                <w:lang w:bidi="ar"/>
              </w:rPr>
              <w:t>外壳材质：锌合金，银灰电镀；</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687316F5">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DA88E66">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4359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49A1B05">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17</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F0CE698">
            <w:pPr>
              <w:jc w:val="center"/>
              <w:rPr>
                <w:rFonts w:ascii="宋体" w:hAnsi="宋体" w:cs="宋体"/>
                <w:color w:val="auto"/>
                <w:sz w:val="24"/>
                <w:szCs w:val="24"/>
              </w:rPr>
            </w:pPr>
            <w:r>
              <w:rPr>
                <w:rFonts w:hint="eastAsia" w:ascii="宋体" w:hAnsi="宋体" w:cs="宋体"/>
                <w:color w:val="auto"/>
                <w:sz w:val="24"/>
                <w:szCs w:val="24"/>
              </w:rPr>
              <w:t>水电能耗监管</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2665D6D8">
            <w:pPr>
              <w:numPr>
                <w:ilvl w:val="0"/>
                <w:numId w:val="188"/>
              </w:numPr>
              <w:ind w:left="0" w:firstLine="0"/>
              <w:jc w:val="left"/>
              <w:rPr>
                <w:rFonts w:ascii="宋体" w:hAnsi="宋体" w:cs="宋体"/>
                <w:color w:val="auto"/>
                <w:sz w:val="24"/>
                <w:szCs w:val="24"/>
              </w:rPr>
            </w:pPr>
            <w:r>
              <w:rPr>
                <w:rFonts w:hint="eastAsia" w:ascii="宋体" w:hAnsi="宋体" w:cs="宋体"/>
                <w:color w:val="auto"/>
                <w:sz w:val="24"/>
                <w:szCs w:val="24"/>
              </w:rPr>
              <w:t>功能</w:t>
            </w:r>
            <w:r>
              <w:rPr>
                <w:rFonts w:hint="eastAsia" w:ascii="宋体" w:hAnsi="宋体" w:cs="宋体"/>
                <w:color w:val="auto"/>
                <w:kern w:val="0"/>
                <w:sz w:val="24"/>
                <w:szCs w:val="24"/>
                <w:lang w:bidi="ar"/>
              </w:rPr>
              <w:t>描述：</w:t>
            </w:r>
          </w:p>
          <w:p w14:paraId="65F0A4B8">
            <w:pPr>
              <w:pStyle w:val="22"/>
              <w:numPr>
                <w:ilvl w:val="0"/>
                <w:numId w:val="189"/>
              </w:numPr>
              <w:ind w:left="0" w:firstLine="0"/>
              <w:rPr>
                <w:rFonts w:ascii="宋体" w:hAnsi="宋体" w:eastAsia="宋体" w:cs="宋体"/>
                <w:color w:val="auto"/>
                <w:sz w:val="24"/>
                <w:szCs w:val="24"/>
              </w:rPr>
            </w:pPr>
            <w:r>
              <w:rPr>
                <w:rFonts w:hint="eastAsia" w:ascii="宋体" w:hAnsi="宋体" w:eastAsia="宋体" w:cs="宋体"/>
                <w:color w:val="auto"/>
                <w:sz w:val="24"/>
                <w:szCs w:val="24"/>
              </w:rPr>
              <w:t>支持实时用水量、电量监测，设置用电预警提醒；</w:t>
            </w:r>
          </w:p>
          <w:p w14:paraId="4CDDBBB4">
            <w:pPr>
              <w:pStyle w:val="22"/>
              <w:numPr>
                <w:ilvl w:val="0"/>
                <w:numId w:val="189"/>
              </w:numPr>
              <w:ind w:left="0" w:firstLine="0"/>
              <w:rPr>
                <w:rFonts w:ascii="宋体" w:hAnsi="宋体" w:eastAsia="宋体" w:cs="宋体"/>
                <w:color w:val="auto"/>
                <w:sz w:val="24"/>
                <w:szCs w:val="24"/>
              </w:rPr>
            </w:pPr>
            <w:r>
              <w:rPr>
                <w:rFonts w:hint="eastAsia" w:ascii="宋体" w:hAnsi="宋体" w:eastAsia="宋体" w:cs="宋体"/>
                <w:color w:val="auto"/>
                <w:sz w:val="24"/>
                <w:szCs w:val="24"/>
              </w:rPr>
              <w:t>支持每日用水、用电数据记录、对比；</w:t>
            </w:r>
          </w:p>
          <w:p w14:paraId="77C6A309">
            <w:pPr>
              <w:pStyle w:val="22"/>
              <w:numPr>
                <w:ilvl w:val="0"/>
                <w:numId w:val="189"/>
              </w:numPr>
              <w:ind w:left="0" w:firstLine="0"/>
              <w:rPr>
                <w:rFonts w:ascii="宋体" w:hAnsi="宋体" w:eastAsia="宋体" w:cs="宋体"/>
                <w:color w:val="auto"/>
                <w:sz w:val="24"/>
                <w:szCs w:val="24"/>
              </w:rPr>
            </w:pPr>
            <w:r>
              <w:rPr>
                <w:rFonts w:hint="eastAsia" w:ascii="宋体" w:hAnsi="宋体" w:eastAsia="宋体" w:cs="宋体"/>
                <w:color w:val="auto"/>
                <w:sz w:val="24"/>
                <w:szCs w:val="24"/>
              </w:rPr>
              <w:t>支持依据不同场所设置总表、分表，进行数据统计；</w:t>
            </w:r>
          </w:p>
          <w:p w14:paraId="2A6E72C4">
            <w:pPr>
              <w:numPr>
                <w:ilvl w:val="0"/>
                <w:numId w:val="188"/>
              </w:numPr>
              <w:ind w:left="0" w:firstLine="0"/>
              <w:jc w:val="left"/>
              <w:rPr>
                <w:rFonts w:ascii="宋体" w:hAnsi="宋体" w:cs="宋体"/>
                <w:color w:val="auto"/>
                <w:sz w:val="24"/>
                <w:szCs w:val="24"/>
              </w:rPr>
            </w:pPr>
            <w:r>
              <w:rPr>
                <w:rFonts w:hint="eastAsia" w:ascii="宋体" w:hAnsi="宋体" w:cs="宋体"/>
                <w:color w:val="auto"/>
                <w:sz w:val="24"/>
                <w:szCs w:val="24"/>
              </w:rPr>
              <w:t>用电管理设备参数：</w:t>
            </w:r>
          </w:p>
          <w:p w14:paraId="1C2CA930">
            <w:pPr>
              <w:pStyle w:val="22"/>
              <w:numPr>
                <w:ilvl w:val="0"/>
                <w:numId w:val="190"/>
              </w:numPr>
              <w:ind w:left="0" w:firstLine="0"/>
              <w:rPr>
                <w:rFonts w:ascii="宋体" w:hAnsi="宋体" w:eastAsia="宋体" w:cs="宋体"/>
                <w:color w:val="auto"/>
                <w:sz w:val="24"/>
                <w:szCs w:val="24"/>
              </w:rPr>
            </w:pPr>
            <w:r>
              <w:rPr>
                <w:rFonts w:ascii="宋体" w:hAnsi="宋体" w:eastAsia="宋体" w:cs="宋体"/>
                <w:color w:val="auto"/>
                <w:sz w:val="24"/>
                <w:szCs w:val="24"/>
              </w:rPr>
              <w:t>IO通讯模块主要参数：</w:t>
            </w:r>
          </w:p>
          <w:p w14:paraId="25F46FF4">
            <w:pPr>
              <w:numPr>
                <w:ilvl w:val="0"/>
                <w:numId w:val="191"/>
              </w:numPr>
              <w:wordWrap w:val="0"/>
              <w:ind w:firstLine="0"/>
              <w:jc w:val="left"/>
              <w:rPr>
                <w:rFonts w:ascii="宋体" w:hAnsi="宋体" w:cs="宋体"/>
                <w:color w:val="auto"/>
                <w:sz w:val="24"/>
                <w:szCs w:val="24"/>
              </w:rPr>
            </w:pPr>
            <w:r>
              <w:rPr>
                <w:rFonts w:ascii="宋体" w:hAnsi="宋体" w:cs="宋体"/>
                <w:color w:val="auto"/>
                <w:sz w:val="24"/>
                <w:szCs w:val="24"/>
              </w:rPr>
              <w:t>触点容量:10A/250VAC</w:t>
            </w:r>
            <w:r>
              <w:rPr>
                <w:rFonts w:hint="eastAsia" w:ascii="宋体" w:hAnsi="宋体" w:cs="宋体"/>
                <w:color w:val="auto"/>
                <w:sz w:val="24"/>
                <w:szCs w:val="24"/>
              </w:rPr>
              <w:t>；</w:t>
            </w:r>
          </w:p>
          <w:p w14:paraId="11ACE078">
            <w:pPr>
              <w:numPr>
                <w:ilvl w:val="0"/>
                <w:numId w:val="191"/>
              </w:numPr>
              <w:wordWrap w:val="0"/>
              <w:ind w:firstLine="0"/>
              <w:jc w:val="left"/>
              <w:rPr>
                <w:rFonts w:ascii="宋体" w:hAnsi="宋体" w:cs="宋体"/>
                <w:color w:val="auto"/>
                <w:sz w:val="24"/>
                <w:szCs w:val="24"/>
              </w:rPr>
            </w:pPr>
            <w:r>
              <w:rPr>
                <w:rFonts w:ascii="宋体" w:hAnsi="宋体" w:cs="宋体"/>
                <w:color w:val="auto"/>
                <w:sz w:val="24"/>
                <w:szCs w:val="24"/>
              </w:rPr>
              <w:t>耐久性:10万次</w:t>
            </w:r>
            <w:r>
              <w:rPr>
                <w:rFonts w:hint="eastAsia" w:ascii="宋体" w:hAnsi="宋体" w:cs="宋体"/>
                <w:color w:val="auto"/>
                <w:sz w:val="24"/>
                <w:szCs w:val="24"/>
              </w:rPr>
              <w:t>；</w:t>
            </w:r>
          </w:p>
          <w:p w14:paraId="630158E9">
            <w:pPr>
              <w:numPr>
                <w:ilvl w:val="0"/>
                <w:numId w:val="191"/>
              </w:numPr>
              <w:wordWrap w:val="0"/>
              <w:ind w:firstLine="0"/>
              <w:jc w:val="left"/>
              <w:rPr>
                <w:rFonts w:ascii="宋体" w:hAnsi="宋体" w:cs="宋体"/>
                <w:color w:val="auto"/>
                <w:sz w:val="24"/>
                <w:szCs w:val="24"/>
              </w:rPr>
            </w:pPr>
            <w:r>
              <w:rPr>
                <w:rFonts w:ascii="宋体" w:hAnsi="宋体" w:cs="宋体"/>
                <w:color w:val="auto"/>
                <w:sz w:val="24"/>
                <w:szCs w:val="24"/>
              </w:rPr>
              <w:t>数据接口:RS232、RS485</w:t>
            </w:r>
            <w:r>
              <w:rPr>
                <w:rFonts w:hint="eastAsia" w:ascii="宋体" w:hAnsi="宋体" w:cs="宋体"/>
                <w:color w:val="auto"/>
                <w:sz w:val="24"/>
                <w:szCs w:val="24"/>
              </w:rPr>
              <w:t>；</w:t>
            </w:r>
          </w:p>
          <w:p w14:paraId="721A0A00">
            <w:pPr>
              <w:numPr>
                <w:ilvl w:val="0"/>
                <w:numId w:val="191"/>
              </w:numPr>
              <w:wordWrap w:val="0"/>
              <w:ind w:firstLine="0"/>
              <w:jc w:val="left"/>
              <w:rPr>
                <w:rFonts w:ascii="宋体" w:hAnsi="宋体" w:cs="宋体"/>
                <w:color w:val="auto"/>
                <w:sz w:val="24"/>
                <w:szCs w:val="24"/>
              </w:rPr>
            </w:pPr>
            <w:r>
              <w:rPr>
                <w:rFonts w:ascii="宋体" w:hAnsi="宋体" w:cs="宋体"/>
                <w:color w:val="auto"/>
                <w:sz w:val="24"/>
                <w:szCs w:val="24"/>
              </w:rPr>
              <w:t>额定电压:DC 7-30V</w:t>
            </w:r>
            <w:r>
              <w:rPr>
                <w:rFonts w:hint="eastAsia" w:ascii="宋体" w:hAnsi="宋体" w:cs="宋体"/>
                <w:color w:val="auto"/>
                <w:sz w:val="24"/>
                <w:szCs w:val="24"/>
              </w:rPr>
              <w:t>；</w:t>
            </w:r>
          </w:p>
          <w:p w14:paraId="46B273A4">
            <w:pPr>
              <w:numPr>
                <w:ilvl w:val="0"/>
                <w:numId w:val="191"/>
              </w:numPr>
              <w:wordWrap w:val="0"/>
              <w:ind w:firstLine="0"/>
              <w:jc w:val="left"/>
              <w:rPr>
                <w:rFonts w:ascii="宋体" w:hAnsi="宋体" w:cs="宋体"/>
                <w:color w:val="auto"/>
                <w:sz w:val="24"/>
                <w:szCs w:val="24"/>
              </w:rPr>
            </w:pPr>
            <w:r>
              <w:rPr>
                <w:rFonts w:ascii="宋体" w:hAnsi="宋体" w:cs="宋体"/>
                <w:color w:val="auto"/>
                <w:sz w:val="24"/>
                <w:szCs w:val="24"/>
              </w:rPr>
              <w:t>电源指示:1路红色 LED 指示(通电时常亮)</w:t>
            </w:r>
            <w:r>
              <w:rPr>
                <w:rFonts w:hint="eastAsia" w:ascii="宋体" w:hAnsi="宋体" w:cs="宋体"/>
                <w:color w:val="auto"/>
                <w:sz w:val="24"/>
                <w:szCs w:val="24"/>
              </w:rPr>
              <w:t>；</w:t>
            </w:r>
          </w:p>
          <w:p w14:paraId="0B885568">
            <w:pPr>
              <w:numPr>
                <w:ilvl w:val="0"/>
                <w:numId w:val="191"/>
              </w:numPr>
              <w:wordWrap w:val="0"/>
              <w:ind w:firstLine="0"/>
              <w:jc w:val="left"/>
              <w:rPr>
                <w:rFonts w:ascii="宋体" w:hAnsi="宋体" w:cs="宋体"/>
                <w:color w:val="auto"/>
                <w:sz w:val="24"/>
                <w:szCs w:val="24"/>
              </w:rPr>
            </w:pPr>
            <w:r>
              <w:rPr>
                <w:rFonts w:ascii="宋体" w:hAnsi="宋体" w:cs="宋体"/>
                <w:color w:val="auto"/>
                <w:sz w:val="24"/>
                <w:szCs w:val="24"/>
              </w:rPr>
              <w:t>温度范围:工业级，-40℃~85℃</w:t>
            </w:r>
            <w:r>
              <w:rPr>
                <w:rFonts w:hint="eastAsia" w:ascii="宋体" w:hAnsi="宋体" w:cs="宋体"/>
                <w:color w:val="auto"/>
                <w:sz w:val="24"/>
                <w:szCs w:val="24"/>
              </w:rPr>
              <w:t>；</w:t>
            </w:r>
          </w:p>
          <w:p w14:paraId="4DF63EDE">
            <w:pPr>
              <w:numPr>
                <w:ilvl w:val="0"/>
                <w:numId w:val="191"/>
              </w:numPr>
              <w:wordWrap w:val="0"/>
              <w:ind w:firstLine="0"/>
              <w:jc w:val="left"/>
              <w:rPr>
                <w:rFonts w:ascii="宋体" w:hAnsi="宋体" w:cs="宋体"/>
                <w:color w:val="auto"/>
                <w:sz w:val="24"/>
                <w:szCs w:val="24"/>
              </w:rPr>
            </w:pPr>
            <w:r>
              <w:rPr>
                <w:rFonts w:ascii="宋体" w:hAnsi="宋体" w:cs="宋体"/>
                <w:color w:val="auto"/>
                <w:sz w:val="24"/>
                <w:szCs w:val="24"/>
              </w:rPr>
              <w:t>尺寸:不高于90*150*30mm</w:t>
            </w:r>
            <w:r>
              <w:rPr>
                <w:rFonts w:hint="eastAsia" w:ascii="宋体" w:hAnsi="宋体" w:cs="宋体"/>
                <w:color w:val="auto"/>
                <w:sz w:val="24"/>
                <w:szCs w:val="24"/>
              </w:rPr>
              <w:t>；</w:t>
            </w:r>
          </w:p>
          <w:p w14:paraId="29EBFC29">
            <w:pPr>
              <w:numPr>
                <w:ilvl w:val="0"/>
                <w:numId w:val="191"/>
              </w:numPr>
              <w:wordWrap w:val="0"/>
              <w:ind w:firstLine="0"/>
              <w:jc w:val="left"/>
              <w:rPr>
                <w:rFonts w:ascii="宋体" w:hAnsi="宋体" w:cs="宋体"/>
                <w:color w:val="auto"/>
                <w:sz w:val="24"/>
                <w:szCs w:val="24"/>
              </w:rPr>
            </w:pPr>
            <w:r>
              <w:rPr>
                <w:rFonts w:ascii="宋体" w:hAnsi="宋体" w:cs="宋体"/>
                <w:color w:val="auto"/>
                <w:sz w:val="24"/>
                <w:szCs w:val="24"/>
              </w:rPr>
              <w:t>默认通讯格式:9600,n,8,1</w:t>
            </w:r>
            <w:r>
              <w:rPr>
                <w:rFonts w:hint="eastAsia" w:ascii="宋体" w:hAnsi="宋体" w:cs="宋体"/>
                <w:color w:val="auto"/>
                <w:sz w:val="24"/>
                <w:szCs w:val="24"/>
              </w:rPr>
              <w:t>；</w:t>
            </w:r>
          </w:p>
          <w:p w14:paraId="34F14974">
            <w:pPr>
              <w:numPr>
                <w:ilvl w:val="0"/>
                <w:numId w:val="191"/>
              </w:numPr>
              <w:wordWrap w:val="0"/>
              <w:ind w:firstLine="0"/>
              <w:jc w:val="left"/>
              <w:rPr>
                <w:rFonts w:ascii="宋体" w:hAnsi="宋体" w:cs="宋体"/>
                <w:color w:val="auto"/>
                <w:sz w:val="24"/>
                <w:szCs w:val="24"/>
              </w:rPr>
            </w:pPr>
            <w:r>
              <w:rPr>
                <w:rFonts w:ascii="宋体" w:hAnsi="宋体" w:cs="宋体"/>
                <w:color w:val="auto"/>
                <w:sz w:val="24"/>
                <w:szCs w:val="24"/>
              </w:rPr>
              <w:t>波特率:2400.4800.9600 19200.38400.115200</w:t>
            </w:r>
            <w:r>
              <w:rPr>
                <w:rFonts w:hint="eastAsia" w:ascii="宋体" w:hAnsi="宋体" w:cs="宋体"/>
                <w:color w:val="auto"/>
                <w:sz w:val="24"/>
                <w:szCs w:val="24"/>
              </w:rPr>
              <w:t>；</w:t>
            </w:r>
          </w:p>
          <w:p w14:paraId="7A51816E">
            <w:pPr>
              <w:numPr>
                <w:ilvl w:val="0"/>
                <w:numId w:val="191"/>
              </w:numPr>
              <w:wordWrap w:val="0"/>
              <w:ind w:firstLine="0"/>
              <w:jc w:val="left"/>
              <w:rPr>
                <w:color w:val="auto"/>
              </w:rPr>
            </w:pPr>
            <w:r>
              <w:rPr>
                <w:rFonts w:ascii="宋体" w:hAnsi="宋体" w:cs="宋体"/>
                <w:color w:val="auto"/>
                <w:sz w:val="24"/>
                <w:szCs w:val="24"/>
              </w:rPr>
              <w:t>软件支持:配套配置软件、控制软件；支持各家组态软件；支持Labviewd 等</w:t>
            </w:r>
            <w:r>
              <w:rPr>
                <w:rFonts w:hint="eastAsia" w:ascii="宋体" w:hAnsi="宋体" w:cs="宋体"/>
                <w:color w:val="auto"/>
                <w:sz w:val="24"/>
                <w:szCs w:val="24"/>
              </w:rPr>
              <w:t>；</w:t>
            </w:r>
          </w:p>
          <w:p w14:paraId="2C4A9984">
            <w:pPr>
              <w:pStyle w:val="22"/>
              <w:numPr>
                <w:ilvl w:val="0"/>
                <w:numId w:val="190"/>
              </w:numPr>
              <w:ind w:left="0" w:firstLine="0"/>
              <w:rPr>
                <w:rFonts w:ascii="宋体" w:hAnsi="宋体" w:eastAsia="宋体" w:cs="宋体"/>
                <w:color w:val="auto"/>
                <w:sz w:val="24"/>
                <w:szCs w:val="24"/>
              </w:rPr>
            </w:pPr>
            <w:r>
              <w:rPr>
                <w:rFonts w:hint="eastAsia" w:ascii="宋体" w:hAnsi="宋体" w:eastAsia="宋体" w:cs="宋体"/>
                <w:color w:val="auto"/>
                <w:sz w:val="24"/>
                <w:szCs w:val="24"/>
              </w:rPr>
              <w:t>能耗监管</w:t>
            </w:r>
            <w:r>
              <w:rPr>
                <w:rFonts w:ascii="宋体" w:hAnsi="宋体" w:eastAsia="宋体" w:cs="宋体"/>
                <w:color w:val="auto"/>
                <w:sz w:val="24"/>
                <w:szCs w:val="24"/>
              </w:rPr>
              <w:t>-</w:t>
            </w:r>
            <w:r>
              <w:rPr>
                <w:rFonts w:hint="eastAsia" w:ascii="宋体" w:hAnsi="宋体" w:eastAsia="宋体" w:cs="宋体"/>
                <w:color w:val="auto"/>
                <w:sz w:val="24"/>
                <w:szCs w:val="24"/>
              </w:rPr>
              <w:t>电主要参数：</w:t>
            </w:r>
          </w:p>
          <w:p w14:paraId="01CE0A23">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精度等级：有功</w:t>
            </w:r>
            <w:r>
              <w:rPr>
                <w:rFonts w:ascii="宋体" w:hAnsi="宋体" w:cs="宋体"/>
                <w:color w:val="auto"/>
                <w:sz w:val="24"/>
                <w:szCs w:val="24"/>
              </w:rPr>
              <w:t>1级；</w:t>
            </w:r>
          </w:p>
          <w:p w14:paraId="4DA60100">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参比电压：</w:t>
            </w:r>
            <w:r>
              <w:rPr>
                <w:rFonts w:ascii="宋体" w:hAnsi="宋体" w:cs="宋体"/>
                <w:color w:val="auto"/>
                <w:sz w:val="24"/>
                <w:szCs w:val="24"/>
              </w:rPr>
              <w:t>AC 220V±20%；</w:t>
            </w:r>
          </w:p>
          <w:p w14:paraId="2F7B702D">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电流规格：</w:t>
            </w:r>
            <w:r>
              <w:rPr>
                <w:rFonts w:ascii="宋体" w:hAnsi="宋体" w:cs="宋体"/>
                <w:color w:val="auto"/>
                <w:sz w:val="24"/>
                <w:szCs w:val="24"/>
              </w:rPr>
              <w:t>5(40)A，10(40)A，5(60)A,20(80)A，10(100)A；</w:t>
            </w:r>
          </w:p>
          <w:p w14:paraId="32572709">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整机功耗：≤</w:t>
            </w:r>
            <w:r>
              <w:rPr>
                <w:rFonts w:ascii="宋体" w:hAnsi="宋体" w:cs="宋体"/>
                <w:color w:val="auto"/>
                <w:sz w:val="24"/>
                <w:szCs w:val="24"/>
              </w:rPr>
              <w:t>1W/8VA；</w:t>
            </w:r>
          </w:p>
          <w:p w14:paraId="577543A6">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参比频率：</w:t>
            </w:r>
            <w:r>
              <w:rPr>
                <w:rFonts w:ascii="宋体" w:hAnsi="宋体" w:cs="宋体"/>
                <w:color w:val="auto"/>
                <w:sz w:val="24"/>
                <w:szCs w:val="24"/>
              </w:rPr>
              <w:t>50HZ；</w:t>
            </w:r>
          </w:p>
          <w:p w14:paraId="4F3A5AC1">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工作电压范围：</w:t>
            </w:r>
            <w:r>
              <w:rPr>
                <w:rFonts w:ascii="宋体" w:hAnsi="宋体" w:cs="宋体"/>
                <w:color w:val="auto"/>
                <w:sz w:val="24"/>
                <w:szCs w:val="24"/>
              </w:rPr>
              <w:t>70%Un-115%Un；</w:t>
            </w:r>
          </w:p>
          <w:p w14:paraId="3DF8327D">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工作温度：</w:t>
            </w:r>
            <w:r>
              <w:rPr>
                <w:rFonts w:ascii="宋体" w:hAnsi="宋体" w:cs="宋体"/>
                <w:color w:val="auto"/>
                <w:sz w:val="24"/>
                <w:szCs w:val="24"/>
              </w:rPr>
              <w:t>-20℃-+55℃；</w:t>
            </w:r>
          </w:p>
          <w:p w14:paraId="0F1B086C">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极限工作温度：</w:t>
            </w:r>
            <w:r>
              <w:rPr>
                <w:rFonts w:ascii="宋体" w:hAnsi="宋体" w:cs="宋体"/>
                <w:color w:val="auto"/>
                <w:sz w:val="24"/>
                <w:szCs w:val="24"/>
              </w:rPr>
              <w:t>-25℃-+70℃；</w:t>
            </w:r>
          </w:p>
          <w:p w14:paraId="522B8FDC">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产品标准：</w:t>
            </w:r>
            <w:r>
              <w:rPr>
                <w:rFonts w:ascii="宋体" w:hAnsi="宋体" w:cs="宋体"/>
                <w:color w:val="auto"/>
                <w:sz w:val="24"/>
                <w:szCs w:val="24"/>
              </w:rPr>
              <w:t>GB/T17215.321；</w:t>
            </w:r>
          </w:p>
          <w:p w14:paraId="08D7136F">
            <w:pPr>
              <w:numPr>
                <w:ilvl w:val="0"/>
                <w:numId w:val="192"/>
              </w:numPr>
              <w:wordWrap w:val="0"/>
              <w:ind w:firstLine="0"/>
              <w:jc w:val="left"/>
              <w:rPr>
                <w:rFonts w:ascii="宋体" w:hAnsi="宋体" w:cs="宋体"/>
                <w:color w:val="auto"/>
                <w:sz w:val="24"/>
                <w:szCs w:val="24"/>
              </w:rPr>
            </w:pPr>
            <w:r>
              <w:rPr>
                <w:rFonts w:ascii="宋体" w:hAnsi="宋体" w:cs="宋体"/>
                <w:color w:val="auto"/>
                <w:sz w:val="24"/>
                <w:szCs w:val="24"/>
              </w:rPr>
              <w:t>RS485串口：DL/T645-2007，DL/T645-1997为偶校验，Modbus-RTU为无校验；</w:t>
            </w:r>
          </w:p>
          <w:p w14:paraId="15BE654F">
            <w:pPr>
              <w:numPr>
                <w:ilvl w:val="0"/>
                <w:numId w:val="192"/>
              </w:numPr>
              <w:wordWrap w:val="0"/>
              <w:ind w:firstLine="0"/>
              <w:jc w:val="left"/>
              <w:rPr>
                <w:rFonts w:ascii="宋体" w:hAnsi="宋体" w:cs="宋体"/>
                <w:color w:val="auto"/>
                <w:sz w:val="24"/>
                <w:szCs w:val="24"/>
              </w:rPr>
            </w:pPr>
            <w:r>
              <w:rPr>
                <w:rFonts w:hint="eastAsia" w:ascii="宋体" w:hAnsi="宋体" w:cs="宋体"/>
                <w:color w:val="auto"/>
                <w:sz w:val="24"/>
                <w:szCs w:val="24"/>
              </w:rPr>
              <w:t>外形尺寸</w:t>
            </w:r>
            <w:r>
              <w:rPr>
                <w:rFonts w:ascii="宋体" w:hAnsi="宋体" w:cs="宋体"/>
                <w:color w:val="auto"/>
                <w:sz w:val="24"/>
                <w:szCs w:val="24"/>
              </w:rPr>
              <w:t>(mm)：不高于145x105x51mm；</w:t>
            </w:r>
          </w:p>
          <w:p w14:paraId="01C833C2">
            <w:pPr>
              <w:numPr>
                <w:ilvl w:val="0"/>
                <w:numId w:val="188"/>
              </w:numPr>
              <w:ind w:left="0" w:firstLine="0"/>
              <w:jc w:val="left"/>
              <w:rPr>
                <w:rFonts w:ascii="宋体" w:hAnsi="宋体" w:cs="宋体"/>
                <w:color w:val="auto"/>
                <w:sz w:val="24"/>
                <w:szCs w:val="24"/>
              </w:rPr>
            </w:pPr>
            <w:r>
              <w:rPr>
                <w:rFonts w:hint="eastAsia" w:ascii="宋体" w:hAnsi="宋体" w:cs="宋体"/>
                <w:color w:val="auto"/>
                <w:sz w:val="24"/>
                <w:szCs w:val="24"/>
              </w:rPr>
              <w:t>用水管理设备参数：</w:t>
            </w:r>
          </w:p>
          <w:p w14:paraId="60411DD5">
            <w:pPr>
              <w:pStyle w:val="22"/>
              <w:numPr>
                <w:ilvl w:val="0"/>
                <w:numId w:val="193"/>
              </w:numPr>
              <w:ind w:left="0" w:firstLine="0"/>
              <w:rPr>
                <w:rFonts w:ascii="宋体" w:hAnsi="宋体" w:eastAsia="宋体" w:cs="宋体"/>
                <w:color w:val="auto"/>
                <w:sz w:val="24"/>
                <w:szCs w:val="24"/>
              </w:rPr>
            </w:pPr>
            <w:r>
              <w:rPr>
                <w:rFonts w:ascii="宋体" w:hAnsi="宋体" w:eastAsia="宋体" w:cs="宋体"/>
                <w:color w:val="auto"/>
                <w:sz w:val="24"/>
                <w:szCs w:val="24"/>
              </w:rPr>
              <w:t>IO通讯模块主要参数：</w:t>
            </w:r>
          </w:p>
          <w:p w14:paraId="1C0EFA78">
            <w:pPr>
              <w:numPr>
                <w:ilvl w:val="0"/>
                <w:numId w:val="194"/>
              </w:numPr>
              <w:wordWrap w:val="0"/>
              <w:ind w:firstLine="0"/>
              <w:jc w:val="left"/>
              <w:rPr>
                <w:rFonts w:ascii="宋体" w:hAnsi="宋体" w:cs="宋体"/>
                <w:color w:val="auto"/>
                <w:sz w:val="24"/>
                <w:szCs w:val="24"/>
              </w:rPr>
            </w:pPr>
            <w:r>
              <w:rPr>
                <w:rFonts w:ascii="宋体" w:hAnsi="宋体" w:cs="宋体"/>
                <w:color w:val="auto"/>
                <w:sz w:val="24"/>
                <w:szCs w:val="24"/>
              </w:rPr>
              <w:t>触点容量:10A/250VAC</w:t>
            </w:r>
            <w:r>
              <w:rPr>
                <w:rFonts w:hint="eastAsia" w:ascii="宋体" w:hAnsi="宋体" w:cs="宋体"/>
                <w:color w:val="auto"/>
                <w:sz w:val="24"/>
                <w:szCs w:val="24"/>
              </w:rPr>
              <w:t>；</w:t>
            </w:r>
          </w:p>
          <w:p w14:paraId="3ADB7F62">
            <w:pPr>
              <w:numPr>
                <w:ilvl w:val="0"/>
                <w:numId w:val="194"/>
              </w:numPr>
              <w:wordWrap w:val="0"/>
              <w:ind w:firstLine="0"/>
              <w:jc w:val="left"/>
              <w:rPr>
                <w:rFonts w:ascii="宋体" w:hAnsi="宋体" w:cs="宋体"/>
                <w:color w:val="auto"/>
                <w:sz w:val="24"/>
                <w:szCs w:val="24"/>
              </w:rPr>
            </w:pPr>
            <w:r>
              <w:rPr>
                <w:rFonts w:ascii="宋体" w:hAnsi="宋体" w:cs="宋体"/>
                <w:color w:val="auto"/>
                <w:sz w:val="24"/>
                <w:szCs w:val="24"/>
              </w:rPr>
              <w:t>耐久性:10万次</w:t>
            </w:r>
            <w:r>
              <w:rPr>
                <w:rFonts w:hint="eastAsia" w:ascii="宋体" w:hAnsi="宋体" w:cs="宋体"/>
                <w:color w:val="auto"/>
                <w:sz w:val="24"/>
                <w:szCs w:val="24"/>
              </w:rPr>
              <w:t>；</w:t>
            </w:r>
          </w:p>
          <w:p w14:paraId="0BA82E2F">
            <w:pPr>
              <w:numPr>
                <w:ilvl w:val="0"/>
                <w:numId w:val="194"/>
              </w:numPr>
              <w:wordWrap w:val="0"/>
              <w:ind w:firstLine="0"/>
              <w:jc w:val="left"/>
              <w:rPr>
                <w:rFonts w:ascii="宋体" w:hAnsi="宋体" w:cs="宋体"/>
                <w:color w:val="auto"/>
                <w:sz w:val="24"/>
                <w:szCs w:val="24"/>
              </w:rPr>
            </w:pPr>
            <w:r>
              <w:rPr>
                <w:rFonts w:ascii="宋体" w:hAnsi="宋体" w:cs="宋体"/>
                <w:color w:val="auto"/>
                <w:sz w:val="24"/>
                <w:szCs w:val="24"/>
              </w:rPr>
              <w:t>数据接口:RS232、RS485</w:t>
            </w:r>
            <w:r>
              <w:rPr>
                <w:rFonts w:hint="eastAsia" w:ascii="宋体" w:hAnsi="宋体" w:cs="宋体"/>
                <w:color w:val="auto"/>
                <w:sz w:val="24"/>
                <w:szCs w:val="24"/>
              </w:rPr>
              <w:t>；</w:t>
            </w:r>
          </w:p>
          <w:p w14:paraId="73DFD50E">
            <w:pPr>
              <w:numPr>
                <w:ilvl w:val="0"/>
                <w:numId w:val="194"/>
              </w:numPr>
              <w:wordWrap w:val="0"/>
              <w:ind w:firstLine="0"/>
              <w:jc w:val="left"/>
              <w:rPr>
                <w:rFonts w:ascii="宋体" w:hAnsi="宋体" w:cs="宋体"/>
                <w:color w:val="auto"/>
                <w:sz w:val="24"/>
                <w:szCs w:val="24"/>
              </w:rPr>
            </w:pPr>
            <w:r>
              <w:rPr>
                <w:rFonts w:ascii="宋体" w:hAnsi="宋体" w:cs="宋体"/>
                <w:color w:val="auto"/>
                <w:sz w:val="24"/>
                <w:szCs w:val="24"/>
              </w:rPr>
              <w:t>额定电压:DC 7-30V</w:t>
            </w:r>
            <w:r>
              <w:rPr>
                <w:rFonts w:hint="eastAsia" w:ascii="宋体" w:hAnsi="宋体" w:cs="宋体"/>
                <w:color w:val="auto"/>
                <w:sz w:val="24"/>
                <w:szCs w:val="24"/>
              </w:rPr>
              <w:t>；</w:t>
            </w:r>
          </w:p>
          <w:p w14:paraId="4C2E366E">
            <w:pPr>
              <w:numPr>
                <w:ilvl w:val="0"/>
                <w:numId w:val="194"/>
              </w:numPr>
              <w:wordWrap w:val="0"/>
              <w:ind w:firstLine="0"/>
              <w:jc w:val="left"/>
              <w:rPr>
                <w:rFonts w:ascii="宋体" w:hAnsi="宋体" w:cs="宋体"/>
                <w:color w:val="auto"/>
                <w:sz w:val="24"/>
                <w:szCs w:val="24"/>
              </w:rPr>
            </w:pPr>
            <w:r>
              <w:rPr>
                <w:rFonts w:ascii="宋体" w:hAnsi="宋体" w:cs="宋体"/>
                <w:color w:val="auto"/>
                <w:sz w:val="24"/>
                <w:szCs w:val="24"/>
              </w:rPr>
              <w:t>电源指示:1路红色 LED 指示(通电时常亮)</w:t>
            </w:r>
            <w:r>
              <w:rPr>
                <w:rFonts w:hint="eastAsia" w:ascii="宋体" w:hAnsi="宋体" w:cs="宋体"/>
                <w:color w:val="auto"/>
                <w:sz w:val="24"/>
                <w:szCs w:val="24"/>
              </w:rPr>
              <w:t>；</w:t>
            </w:r>
          </w:p>
          <w:p w14:paraId="5D9E427D">
            <w:pPr>
              <w:numPr>
                <w:ilvl w:val="0"/>
                <w:numId w:val="194"/>
              </w:numPr>
              <w:wordWrap w:val="0"/>
              <w:ind w:firstLine="0"/>
              <w:jc w:val="left"/>
              <w:rPr>
                <w:rFonts w:ascii="宋体" w:hAnsi="宋体" w:cs="宋体"/>
                <w:color w:val="auto"/>
                <w:sz w:val="24"/>
                <w:szCs w:val="24"/>
              </w:rPr>
            </w:pPr>
            <w:r>
              <w:rPr>
                <w:rFonts w:ascii="宋体" w:hAnsi="宋体" w:cs="宋体"/>
                <w:color w:val="auto"/>
                <w:sz w:val="24"/>
                <w:szCs w:val="24"/>
              </w:rPr>
              <w:t>温度范围:工业级，-40℃~85℃</w:t>
            </w:r>
            <w:r>
              <w:rPr>
                <w:rFonts w:hint="eastAsia" w:ascii="宋体" w:hAnsi="宋体" w:cs="宋体"/>
                <w:color w:val="auto"/>
                <w:sz w:val="24"/>
                <w:szCs w:val="24"/>
              </w:rPr>
              <w:t>；</w:t>
            </w:r>
          </w:p>
          <w:p w14:paraId="1BFE70B3">
            <w:pPr>
              <w:numPr>
                <w:ilvl w:val="0"/>
                <w:numId w:val="194"/>
              </w:numPr>
              <w:wordWrap w:val="0"/>
              <w:ind w:firstLine="0"/>
              <w:jc w:val="left"/>
              <w:rPr>
                <w:rFonts w:ascii="宋体" w:hAnsi="宋体" w:cs="宋体"/>
                <w:color w:val="auto"/>
                <w:sz w:val="24"/>
                <w:szCs w:val="24"/>
              </w:rPr>
            </w:pPr>
            <w:r>
              <w:rPr>
                <w:rFonts w:ascii="宋体" w:hAnsi="宋体" w:cs="宋体"/>
                <w:color w:val="auto"/>
                <w:sz w:val="24"/>
                <w:szCs w:val="24"/>
              </w:rPr>
              <w:t>尺寸:不高于90*150*30mm</w:t>
            </w:r>
            <w:r>
              <w:rPr>
                <w:rFonts w:hint="eastAsia" w:ascii="宋体" w:hAnsi="宋体" w:cs="宋体"/>
                <w:color w:val="auto"/>
                <w:sz w:val="24"/>
                <w:szCs w:val="24"/>
              </w:rPr>
              <w:t>；</w:t>
            </w:r>
          </w:p>
          <w:p w14:paraId="2BD25B89">
            <w:pPr>
              <w:numPr>
                <w:ilvl w:val="0"/>
                <w:numId w:val="194"/>
              </w:numPr>
              <w:wordWrap w:val="0"/>
              <w:ind w:firstLine="0"/>
              <w:jc w:val="left"/>
              <w:rPr>
                <w:rFonts w:ascii="宋体" w:hAnsi="宋体" w:cs="宋体"/>
                <w:color w:val="auto"/>
                <w:sz w:val="24"/>
                <w:szCs w:val="24"/>
              </w:rPr>
            </w:pPr>
            <w:r>
              <w:rPr>
                <w:rFonts w:ascii="宋体" w:hAnsi="宋体" w:cs="宋体"/>
                <w:color w:val="auto"/>
                <w:sz w:val="24"/>
                <w:szCs w:val="24"/>
              </w:rPr>
              <w:t>默认通讯格式:9600,n,8,1</w:t>
            </w:r>
            <w:r>
              <w:rPr>
                <w:rFonts w:hint="eastAsia" w:ascii="宋体" w:hAnsi="宋体" w:cs="宋体"/>
                <w:color w:val="auto"/>
                <w:sz w:val="24"/>
                <w:szCs w:val="24"/>
              </w:rPr>
              <w:t>；</w:t>
            </w:r>
          </w:p>
          <w:p w14:paraId="6B4C05A2">
            <w:pPr>
              <w:numPr>
                <w:ilvl w:val="0"/>
                <w:numId w:val="194"/>
              </w:numPr>
              <w:wordWrap w:val="0"/>
              <w:ind w:firstLine="0"/>
              <w:jc w:val="left"/>
              <w:rPr>
                <w:rFonts w:ascii="宋体" w:hAnsi="宋体" w:cs="宋体"/>
                <w:color w:val="auto"/>
                <w:sz w:val="24"/>
                <w:szCs w:val="24"/>
              </w:rPr>
            </w:pPr>
            <w:r>
              <w:rPr>
                <w:rFonts w:ascii="宋体" w:hAnsi="宋体" w:cs="宋体"/>
                <w:color w:val="auto"/>
                <w:sz w:val="24"/>
                <w:szCs w:val="24"/>
              </w:rPr>
              <w:t>波特率:2400.4800.9600 19200.38400.115200</w:t>
            </w:r>
            <w:r>
              <w:rPr>
                <w:rFonts w:hint="eastAsia" w:ascii="宋体" w:hAnsi="宋体" w:cs="宋体"/>
                <w:color w:val="auto"/>
                <w:sz w:val="24"/>
                <w:szCs w:val="24"/>
              </w:rPr>
              <w:t>；</w:t>
            </w:r>
          </w:p>
          <w:p w14:paraId="43C86DB5">
            <w:pPr>
              <w:numPr>
                <w:ilvl w:val="0"/>
                <w:numId w:val="194"/>
              </w:numPr>
              <w:wordWrap w:val="0"/>
              <w:ind w:firstLine="0"/>
              <w:jc w:val="left"/>
              <w:rPr>
                <w:color w:val="auto"/>
              </w:rPr>
            </w:pPr>
            <w:r>
              <w:rPr>
                <w:rFonts w:ascii="宋体" w:hAnsi="宋体" w:cs="宋体"/>
                <w:color w:val="auto"/>
                <w:sz w:val="24"/>
                <w:szCs w:val="24"/>
              </w:rPr>
              <w:t>软件支持:配套配置软件、控制软件；支持各家组态软件；支持Labviewd 等</w:t>
            </w:r>
            <w:r>
              <w:rPr>
                <w:rFonts w:hint="eastAsia" w:ascii="宋体" w:hAnsi="宋体" w:cs="宋体"/>
                <w:color w:val="auto"/>
                <w:sz w:val="24"/>
                <w:szCs w:val="24"/>
              </w:rPr>
              <w:t>；</w:t>
            </w:r>
          </w:p>
          <w:p w14:paraId="5AB4DC16">
            <w:pPr>
              <w:pStyle w:val="22"/>
              <w:numPr>
                <w:ilvl w:val="0"/>
                <w:numId w:val="193"/>
              </w:numPr>
              <w:ind w:left="0" w:firstLine="0"/>
              <w:rPr>
                <w:rFonts w:ascii="宋体" w:hAnsi="宋体" w:eastAsia="宋体" w:cs="宋体"/>
                <w:color w:val="auto"/>
                <w:sz w:val="24"/>
                <w:szCs w:val="24"/>
              </w:rPr>
            </w:pPr>
            <w:r>
              <w:rPr>
                <w:rFonts w:hint="eastAsia" w:ascii="宋体" w:hAnsi="宋体" w:eastAsia="宋体" w:cs="宋体"/>
                <w:color w:val="auto"/>
                <w:sz w:val="24"/>
                <w:szCs w:val="24"/>
              </w:rPr>
              <w:t>能耗监管</w:t>
            </w:r>
            <w:r>
              <w:rPr>
                <w:rFonts w:ascii="宋体" w:hAnsi="宋体" w:eastAsia="宋体" w:cs="宋体"/>
                <w:color w:val="auto"/>
                <w:sz w:val="24"/>
                <w:szCs w:val="24"/>
              </w:rPr>
              <w:t>-水主要参数：</w:t>
            </w:r>
          </w:p>
          <w:p w14:paraId="1FD18EE4">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抄表工作电流</w:t>
            </w:r>
            <w:r>
              <w:rPr>
                <w:rFonts w:ascii="宋体" w:hAnsi="宋体" w:cs="宋体"/>
                <w:color w:val="auto"/>
                <w:sz w:val="24"/>
                <w:szCs w:val="24"/>
              </w:rPr>
              <w:t>:M-bus通讯接口:≤10.0mA，RS-485通讯接口：≤1.5 mA，直读大口径水表：≤5.0mA；</w:t>
            </w:r>
          </w:p>
          <w:p w14:paraId="4D9287D1">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静态工作电流：</w:t>
            </w:r>
            <w:r>
              <w:rPr>
                <w:rFonts w:ascii="宋体" w:hAnsi="宋体" w:cs="宋体"/>
                <w:color w:val="auto"/>
                <w:sz w:val="24"/>
                <w:szCs w:val="24"/>
              </w:rPr>
              <w:t>M-bus通讯接口：≤1.0mA，RS-485通讯接口：&lt;</w:t>
            </w:r>
            <w:r>
              <w:rPr>
                <w:rFonts w:hint="eastAsia" w:ascii="宋体" w:hAnsi="宋体" w:cs="宋体"/>
                <w:color w:val="auto"/>
                <w:sz w:val="24"/>
                <w:szCs w:val="24"/>
              </w:rPr>
              <w:t>≤</w:t>
            </w:r>
            <w:r>
              <w:rPr>
                <w:rFonts w:ascii="宋体" w:hAnsi="宋体" w:cs="宋体"/>
                <w:color w:val="auto"/>
                <w:sz w:val="24"/>
                <w:szCs w:val="24"/>
              </w:rPr>
              <w:t>.0mA，直读大口径水表：≤1.3mA；</w:t>
            </w:r>
          </w:p>
          <w:p w14:paraId="40AF76A9">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工作环境：温度范围：</w:t>
            </w:r>
            <w:r>
              <w:rPr>
                <w:rFonts w:ascii="宋体" w:hAnsi="宋体" w:cs="宋体"/>
                <w:color w:val="auto"/>
                <w:sz w:val="24"/>
                <w:szCs w:val="24"/>
              </w:rPr>
              <w:t>+0.1℃~+55℃，存储温度：-25℃-+65℃；</w:t>
            </w:r>
          </w:p>
          <w:p w14:paraId="6172EAB7">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通信规约：</w:t>
            </w:r>
            <w:r>
              <w:rPr>
                <w:rFonts w:ascii="宋体" w:hAnsi="宋体" w:cs="宋体"/>
                <w:color w:val="auto"/>
                <w:sz w:val="24"/>
                <w:szCs w:val="24"/>
              </w:rPr>
              <w:t>DL/T645、CJ/T 188、MODBUS、TTL、内部或用户指定协议</w:t>
            </w:r>
          </w:p>
          <w:p w14:paraId="1E96467B">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工作电压：</w:t>
            </w:r>
            <w:r>
              <w:rPr>
                <w:rFonts w:ascii="宋体" w:hAnsi="宋体" w:cs="宋体"/>
                <w:color w:val="auto"/>
                <w:sz w:val="24"/>
                <w:szCs w:val="24"/>
              </w:rPr>
              <w:t>M-bus通讯接口：DC36V，RS-485通讯接口：DC12V~24V；</w:t>
            </w:r>
          </w:p>
          <w:p w14:paraId="2261DDDD">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温度等级：</w:t>
            </w:r>
            <w:r>
              <w:rPr>
                <w:rFonts w:ascii="宋体" w:hAnsi="宋体" w:cs="宋体"/>
                <w:color w:val="auto"/>
                <w:sz w:val="24"/>
                <w:szCs w:val="24"/>
              </w:rPr>
              <w:t>T30(冷水表) T90(热水表)；</w:t>
            </w:r>
          </w:p>
          <w:p w14:paraId="2A2DD0D8">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工作压力：≤</w:t>
            </w:r>
            <w:r>
              <w:rPr>
                <w:rFonts w:ascii="宋体" w:hAnsi="宋体" w:cs="宋体"/>
                <w:color w:val="auto"/>
                <w:sz w:val="24"/>
                <w:szCs w:val="24"/>
              </w:rPr>
              <w:t>1.0 MPa；</w:t>
            </w:r>
          </w:p>
          <w:p w14:paraId="55EE744A">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压力损失等级：△</w:t>
            </w:r>
            <w:r>
              <w:rPr>
                <w:rFonts w:ascii="宋体" w:hAnsi="宋体" w:cs="宋体"/>
                <w:color w:val="auto"/>
                <w:sz w:val="24"/>
                <w:szCs w:val="24"/>
              </w:rPr>
              <w:t>P63；</w:t>
            </w:r>
          </w:p>
          <w:p w14:paraId="55617F3B">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与上位机通讯方式：</w:t>
            </w:r>
            <w:r>
              <w:rPr>
                <w:rFonts w:ascii="宋体" w:hAnsi="宋体" w:cs="宋体"/>
                <w:color w:val="auto"/>
                <w:sz w:val="24"/>
                <w:szCs w:val="24"/>
              </w:rPr>
              <w:t xml:space="preserve">RS-485/M-bus </w:t>
            </w:r>
            <w:r>
              <w:rPr>
                <w:rFonts w:hint="eastAsia" w:ascii="宋体" w:hAnsi="宋体" w:cs="宋体"/>
                <w:color w:val="auto"/>
                <w:sz w:val="24"/>
                <w:szCs w:val="24"/>
              </w:rPr>
              <w:t>总线；</w:t>
            </w:r>
          </w:p>
          <w:p w14:paraId="6B3A0AEE">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准确度等级：</w:t>
            </w:r>
            <w:r>
              <w:rPr>
                <w:rFonts w:ascii="宋体" w:hAnsi="宋体" w:cs="宋体"/>
                <w:color w:val="auto"/>
                <w:sz w:val="24"/>
                <w:szCs w:val="24"/>
              </w:rPr>
              <w:t>2级；</w:t>
            </w:r>
          </w:p>
          <w:p w14:paraId="15BD5D1D">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通讯传输最大距离：</w:t>
            </w:r>
            <w:r>
              <w:rPr>
                <w:rFonts w:ascii="宋体" w:hAnsi="宋体" w:cs="宋体"/>
                <w:color w:val="auto"/>
                <w:sz w:val="24"/>
                <w:szCs w:val="24"/>
              </w:rPr>
              <w:t>300m；</w:t>
            </w:r>
          </w:p>
          <w:p w14:paraId="3874C6D7">
            <w:pPr>
              <w:numPr>
                <w:ilvl w:val="0"/>
                <w:numId w:val="195"/>
              </w:numPr>
              <w:wordWrap w:val="0"/>
              <w:ind w:firstLine="0"/>
              <w:jc w:val="left"/>
              <w:rPr>
                <w:rFonts w:ascii="宋体" w:hAnsi="宋体" w:cs="宋体"/>
                <w:color w:val="auto"/>
                <w:sz w:val="24"/>
                <w:szCs w:val="24"/>
              </w:rPr>
            </w:pPr>
            <w:r>
              <w:rPr>
                <w:rFonts w:hint="eastAsia" w:ascii="宋体" w:hAnsi="宋体" w:cs="宋体"/>
                <w:color w:val="auto"/>
                <w:sz w:val="24"/>
                <w:szCs w:val="24"/>
              </w:rPr>
              <w:t>通讯传输速率：</w:t>
            </w:r>
            <w:r>
              <w:rPr>
                <w:rFonts w:ascii="宋体" w:hAnsi="宋体" w:cs="宋体"/>
                <w:color w:val="auto"/>
                <w:sz w:val="24"/>
                <w:szCs w:val="24"/>
              </w:rPr>
              <w:t>1200/2400/48009600bps；</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0A680724">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505E5357">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3A84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4193C714">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18</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6B3F451E">
            <w:pPr>
              <w:jc w:val="center"/>
              <w:rPr>
                <w:rFonts w:ascii="宋体" w:hAnsi="宋体" w:cs="宋体"/>
                <w:color w:val="auto"/>
                <w:sz w:val="24"/>
                <w:szCs w:val="24"/>
              </w:rPr>
            </w:pPr>
            <w:r>
              <w:rPr>
                <w:rFonts w:hint="eastAsia" w:ascii="宋体" w:hAnsi="宋体" w:cs="宋体"/>
                <w:color w:val="auto"/>
                <w:sz w:val="24"/>
                <w:szCs w:val="24"/>
              </w:rPr>
              <w:t>明厨亮灶</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08EE1A35">
            <w:pPr>
              <w:jc w:val="left"/>
              <w:rPr>
                <w:rFonts w:ascii="宋体" w:hAnsi="宋体" w:cs="宋体"/>
                <w:color w:val="auto"/>
                <w:sz w:val="24"/>
                <w:szCs w:val="24"/>
              </w:rPr>
            </w:pPr>
            <w:r>
              <w:rPr>
                <w:rFonts w:hint="eastAsia" w:ascii="宋体" w:hAnsi="宋体" w:cs="宋体"/>
                <w:color w:val="auto"/>
                <w:sz w:val="24"/>
                <w:szCs w:val="24"/>
              </w:rPr>
              <w:t>实现食堂所有区域全覆盖，无死角，摄像头像素不低于</w:t>
            </w:r>
            <w:r>
              <w:rPr>
                <w:rFonts w:ascii="宋体" w:hAnsi="宋体" w:cs="宋体"/>
                <w:color w:val="auto"/>
                <w:sz w:val="24"/>
                <w:szCs w:val="24"/>
              </w:rPr>
              <w:t>600</w:t>
            </w:r>
            <w:r>
              <w:rPr>
                <w:rFonts w:hint="eastAsia" w:ascii="宋体" w:hAnsi="宋体" w:cs="宋体"/>
                <w:color w:val="auto"/>
                <w:sz w:val="24"/>
                <w:szCs w:val="24"/>
              </w:rPr>
              <w:t>万像素。按相关要求接入市场监管单位和学校安防系统。存储时长不低于</w:t>
            </w:r>
            <w:r>
              <w:rPr>
                <w:rFonts w:ascii="宋体" w:hAnsi="宋体" w:cs="宋体"/>
                <w:color w:val="auto"/>
                <w:sz w:val="24"/>
                <w:szCs w:val="24"/>
              </w:rPr>
              <w:t>90天。</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4297DC6D">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15CC3785">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tr w14:paraId="4485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47" w:type="dxa"/>
            <w:tcBorders>
              <w:top w:val="single" w:color="auto" w:sz="4" w:space="0"/>
              <w:left w:val="single" w:color="auto" w:sz="4" w:space="0"/>
              <w:bottom w:val="single" w:color="auto" w:sz="4" w:space="0"/>
              <w:right w:val="single" w:color="auto" w:sz="4" w:space="0"/>
            </w:tcBorders>
            <w:shd w:val="clear" w:color="auto" w:fill="FFFFFF"/>
            <w:vAlign w:val="center"/>
          </w:tcPr>
          <w:p w14:paraId="3EAD286E">
            <w:pPr>
              <w:widowControl/>
              <w:jc w:val="center"/>
              <w:textAlignment w:val="center"/>
              <w:rPr>
                <w:rFonts w:ascii="宋体" w:hAnsi="宋体" w:cs="宋体"/>
                <w:color w:val="auto"/>
                <w:kern w:val="0"/>
                <w:sz w:val="24"/>
                <w:szCs w:val="24"/>
                <w:lang w:bidi="ar"/>
              </w:rPr>
            </w:pPr>
            <w:r>
              <w:rPr>
                <w:rFonts w:ascii="宋体" w:hAnsi="宋体" w:cs="宋体"/>
                <w:color w:val="auto"/>
                <w:kern w:val="0"/>
                <w:sz w:val="24"/>
                <w:szCs w:val="24"/>
                <w:lang w:bidi="ar"/>
              </w:rPr>
              <w:t>19</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14:paraId="0558A727">
            <w:pPr>
              <w:jc w:val="center"/>
              <w:rPr>
                <w:rFonts w:ascii="宋体" w:hAnsi="宋体" w:cs="宋体"/>
                <w:color w:val="auto"/>
                <w:sz w:val="24"/>
                <w:szCs w:val="24"/>
              </w:rPr>
            </w:pPr>
            <w:r>
              <w:rPr>
                <w:rFonts w:hint="eastAsia" w:ascii="宋体" w:hAnsi="宋体" w:cs="宋体"/>
                <w:color w:val="auto"/>
                <w:sz w:val="24"/>
                <w:szCs w:val="24"/>
              </w:rPr>
              <w:t>设备实施安装</w:t>
            </w:r>
          </w:p>
        </w:tc>
        <w:tc>
          <w:tcPr>
            <w:tcW w:w="6114" w:type="dxa"/>
            <w:tcBorders>
              <w:top w:val="single" w:color="auto" w:sz="4" w:space="0"/>
              <w:left w:val="single" w:color="auto" w:sz="4" w:space="0"/>
              <w:bottom w:val="single" w:color="auto" w:sz="4" w:space="0"/>
              <w:right w:val="single" w:color="auto" w:sz="4" w:space="0"/>
            </w:tcBorders>
            <w:shd w:val="clear" w:color="auto" w:fill="FFFFFF"/>
            <w:vAlign w:val="center"/>
          </w:tcPr>
          <w:p w14:paraId="0BFB51C1">
            <w:pPr>
              <w:numPr>
                <w:ilvl w:val="0"/>
                <w:numId w:val="196"/>
              </w:numPr>
              <w:ind w:left="0" w:firstLine="0"/>
              <w:jc w:val="left"/>
              <w:rPr>
                <w:rFonts w:ascii="宋体" w:hAnsi="宋体" w:cs="宋体"/>
                <w:color w:val="auto"/>
                <w:sz w:val="24"/>
                <w:szCs w:val="24"/>
              </w:rPr>
            </w:pPr>
            <w:r>
              <w:rPr>
                <w:rFonts w:hint="eastAsia" w:ascii="宋体" w:hAnsi="宋体" w:cs="宋体"/>
                <w:color w:val="auto"/>
                <w:sz w:val="24"/>
                <w:szCs w:val="24"/>
              </w:rPr>
              <w:t>硬件设备部署耗材、施工、安装、调试：</w:t>
            </w:r>
          </w:p>
          <w:p w14:paraId="6708F62E">
            <w:pPr>
              <w:numPr>
                <w:ilvl w:val="0"/>
                <w:numId w:val="197"/>
              </w:numPr>
              <w:ind w:left="0" w:firstLine="0"/>
              <w:jc w:val="left"/>
              <w:rPr>
                <w:rFonts w:ascii="宋体" w:hAnsi="宋体" w:cs="宋体"/>
                <w:color w:val="auto"/>
                <w:sz w:val="24"/>
                <w:szCs w:val="24"/>
              </w:rPr>
            </w:pPr>
            <w:r>
              <w:rPr>
                <w:rFonts w:hint="eastAsia" w:ascii="宋体" w:hAnsi="宋体" w:cs="宋体"/>
                <w:color w:val="auto"/>
                <w:sz w:val="24"/>
                <w:szCs w:val="24"/>
              </w:rPr>
              <w:t>主体设备安装调试含：主要耗材</w:t>
            </w:r>
            <w:r>
              <w:rPr>
                <w:rFonts w:ascii="宋体" w:hAnsi="宋体" w:cs="宋体"/>
                <w:color w:val="auto"/>
                <w:sz w:val="24"/>
                <w:szCs w:val="24"/>
              </w:rPr>
              <w:t>+网线+电源线、PVC管材（根据实际需求提供）；主要辅材含水晶头、排插、卡扣、转接头等；</w:t>
            </w:r>
          </w:p>
        </w:tc>
        <w:tc>
          <w:tcPr>
            <w:tcW w:w="810" w:type="dxa"/>
            <w:tcBorders>
              <w:top w:val="single" w:color="auto" w:sz="4" w:space="0"/>
              <w:left w:val="single" w:color="auto" w:sz="4" w:space="0"/>
              <w:bottom w:val="single" w:color="auto" w:sz="4" w:space="0"/>
              <w:right w:val="single" w:color="auto" w:sz="4" w:space="0"/>
            </w:tcBorders>
            <w:shd w:val="clear" w:color="auto" w:fill="FFFFFF"/>
            <w:vAlign w:val="center"/>
          </w:tcPr>
          <w:p w14:paraId="1C211105">
            <w:pPr>
              <w:jc w:val="center"/>
              <w:rPr>
                <w:rFonts w:ascii="宋体" w:hAnsi="宋体" w:cs="宋体"/>
                <w:color w:val="auto"/>
                <w:sz w:val="24"/>
                <w:szCs w:val="24"/>
              </w:rPr>
            </w:pPr>
            <w:r>
              <w:rPr>
                <w:rFonts w:hint="eastAsia" w:ascii="宋体" w:hAnsi="宋体" w:cs="宋体"/>
                <w:color w:val="auto"/>
                <w:sz w:val="24"/>
                <w:szCs w:val="24"/>
              </w:rPr>
              <w:t>套</w:t>
            </w:r>
          </w:p>
        </w:tc>
        <w:tc>
          <w:tcPr>
            <w:tcW w:w="795" w:type="dxa"/>
            <w:tcBorders>
              <w:top w:val="single" w:color="auto" w:sz="4" w:space="0"/>
              <w:left w:val="single" w:color="auto" w:sz="4" w:space="0"/>
              <w:bottom w:val="single" w:color="auto" w:sz="4" w:space="0"/>
              <w:right w:val="single" w:color="auto" w:sz="4" w:space="0"/>
            </w:tcBorders>
            <w:shd w:val="clear" w:color="auto" w:fill="FFFFFF"/>
            <w:vAlign w:val="center"/>
          </w:tcPr>
          <w:p w14:paraId="3D978B13">
            <w:pPr>
              <w:jc w:val="center"/>
              <w:rPr>
                <w:rFonts w:ascii="宋体" w:hAnsi="宋体" w:cs="宋体"/>
                <w:color w:val="auto"/>
                <w:sz w:val="24"/>
                <w:szCs w:val="24"/>
              </w:rPr>
            </w:pPr>
            <w:r>
              <w:rPr>
                <w:rFonts w:hint="eastAsia" w:ascii="宋体" w:hAnsi="宋体" w:cs="宋体"/>
                <w:color w:val="auto"/>
                <w:sz w:val="24"/>
                <w:szCs w:val="24"/>
              </w:rPr>
              <w:t>按需配置并征得采购人书面同意</w:t>
            </w:r>
          </w:p>
        </w:tc>
      </w:tr>
      <w:bookmarkEnd w:id="43"/>
      <w:bookmarkEnd w:id="44"/>
      <w:bookmarkEnd w:id="45"/>
      <w:bookmarkEnd w:id="66"/>
    </w:tbl>
    <w:p w14:paraId="47DA86FC">
      <w:pPr>
        <w:pStyle w:val="3"/>
        <w:spacing w:line="400" w:lineRule="exact"/>
        <w:rPr>
          <w:b w:val="0"/>
          <w:color w:val="auto"/>
        </w:rPr>
      </w:pPr>
      <w:bookmarkStart w:id="71" w:name="_Toc32038"/>
      <w:bookmarkStart w:id="72" w:name="_Toc42780316"/>
      <w:bookmarkStart w:id="73" w:name="_Toc186919400"/>
      <w:bookmarkStart w:id="74" w:name="_Toc41986736"/>
      <w:bookmarkStart w:id="75" w:name="_Toc41457498"/>
      <w:bookmarkStart w:id="76" w:name="_Toc10296"/>
      <w:bookmarkStart w:id="77" w:name="_Toc4476"/>
      <w:r>
        <w:rPr>
          <w:b w:val="0"/>
          <w:color w:val="auto"/>
        </w:rPr>
        <w:t>*</w:t>
      </w:r>
      <w:r>
        <w:rPr>
          <w:rFonts w:hint="eastAsia"/>
          <w:b w:val="0"/>
          <w:color w:val="auto"/>
        </w:rPr>
        <w:t>六、项目管理班子要求</w:t>
      </w:r>
      <w:bookmarkEnd w:id="71"/>
    </w:p>
    <w:p w14:paraId="784CBEA5">
      <w:pPr>
        <w:spacing w:line="400" w:lineRule="exact"/>
        <w:ind w:firstLine="480" w:firstLineChars="200"/>
        <w:rPr>
          <w:rFonts w:ascii="宋体" w:hAnsi="宋体" w:cs="宋体"/>
          <w:color w:val="auto"/>
          <w:sz w:val="24"/>
          <w:szCs w:val="28"/>
          <w:u w:val="single"/>
        </w:rPr>
      </w:pPr>
      <w:r>
        <w:rPr>
          <w:rFonts w:hint="eastAsia" w:ascii="宋体" w:hAnsi="宋体" w:cs="宋体"/>
          <w:color w:val="auto"/>
          <w:sz w:val="24"/>
          <w:szCs w:val="28"/>
        </w:rPr>
        <w:t>供应商为</w:t>
      </w:r>
      <w:r>
        <w:rPr>
          <w:rFonts w:hint="eastAsia" w:ascii="宋体" w:hAnsi="宋体" w:cs="宋体"/>
          <w:color w:val="auto"/>
          <w:sz w:val="24"/>
          <w:szCs w:val="28"/>
          <w:lang w:val="zh-CN"/>
        </w:rPr>
        <w:t>本项目配置科学合理的管理服务团队，并要求管理服务团队素质高、经验丰富、人员充足，管理服务制度健全。</w:t>
      </w:r>
      <w:r>
        <w:rPr>
          <w:rFonts w:hint="eastAsia" w:ascii="宋体" w:hAnsi="宋体" w:cs="宋体"/>
          <w:color w:val="auto"/>
          <w:sz w:val="24"/>
          <w:szCs w:val="28"/>
        </w:rPr>
        <w:t>各食堂</w:t>
      </w:r>
      <w:r>
        <w:rPr>
          <w:rFonts w:hint="eastAsia" w:ascii="宋体" w:hAnsi="宋体" w:cs="宋体"/>
          <w:color w:val="auto"/>
          <w:sz w:val="24"/>
          <w:szCs w:val="28"/>
          <w:lang w:val="zh-CN"/>
        </w:rPr>
        <w:t>必须配备项目负责人、厨师、食品安全总监、消防安全人员各</w:t>
      </w:r>
      <w:r>
        <w:rPr>
          <w:rFonts w:ascii="宋体" w:hAnsi="宋体" w:cs="宋体"/>
          <w:color w:val="auto"/>
          <w:sz w:val="24"/>
          <w:szCs w:val="28"/>
          <w:lang w:val="zh-CN"/>
        </w:rPr>
        <w:t>1名（</w:t>
      </w:r>
      <w:r>
        <w:rPr>
          <w:rFonts w:hint="eastAsia" w:ascii="宋体" w:hAnsi="宋体" w:cs="宋体"/>
          <w:color w:val="auto"/>
          <w:sz w:val="24"/>
          <w:szCs w:val="28"/>
        </w:rPr>
        <w:t>该人员必须具备消防设施操作证</w:t>
      </w:r>
      <w:r>
        <w:rPr>
          <w:rFonts w:hint="eastAsia" w:ascii="宋体" w:hAnsi="宋体" w:cs="宋体"/>
          <w:color w:val="auto"/>
          <w:sz w:val="24"/>
          <w:szCs w:val="28"/>
          <w:lang w:val="zh-CN"/>
        </w:rPr>
        <w:t>），食品安全员</w:t>
      </w:r>
      <w:r>
        <w:rPr>
          <w:rFonts w:hint="eastAsia" w:ascii="宋体" w:hAnsi="宋体" w:cs="宋体"/>
          <w:color w:val="auto"/>
          <w:sz w:val="24"/>
          <w:szCs w:val="28"/>
        </w:rPr>
        <w:t>各</w:t>
      </w:r>
      <w:r>
        <w:rPr>
          <w:rFonts w:ascii="宋体" w:hAnsi="宋体" w:cs="宋体"/>
          <w:color w:val="auto"/>
          <w:sz w:val="24"/>
          <w:szCs w:val="28"/>
          <w:lang w:val="zh-CN"/>
        </w:rPr>
        <w:t>2名</w:t>
      </w:r>
      <w:r>
        <w:rPr>
          <w:rFonts w:hint="eastAsia" w:ascii="宋体" w:hAnsi="宋体" w:cs="宋体"/>
          <w:color w:val="auto"/>
          <w:sz w:val="24"/>
          <w:szCs w:val="28"/>
          <w:lang w:val="zh-CN"/>
        </w:rPr>
        <w:t>，</w:t>
      </w:r>
      <w:r>
        <w:rPr>
          <w:rFonts w:ascii="宋体" w:hAnsi="宋体" w:cs="宋体"/>
          <w:color w:val="auto"/>
          <w:sz w:val="24"/>
          <w:szCs w:val="28"/>
          <w:lang w:val="zh-CN"/>
        </w:rPr>
        <w:t>提供项目</w:t>
      </w:r>
      <w:r>
        <w:rPr>
          <w:rFonts w:hint="eastAsia" w:ascii="宋体" w:hAnsi="宋体" w:cs="宋体"/>
          <w:color w:val="auto"/>
          <w:sz w:val="24"/>
          <w:szCs w:val="28"/>
          <w:lang w:val="zh-CN"/>
        </w:rPr>
        <w:t>管理班子所有成员及职务清单，加盖供应商公章（具体见</w:t>
      </w:r>
      <w:r>
        <w:rPr>
          <w:rFonts w:hint="eastAsia" w:ascii="宋体" w:hAnsi="宋体" w:cs="宋体"/>
          <w:color w:val="auto"/>
          <w:sz w:val="24"/>
          <w:szCs w:val="28"/>
        </w:rPr>
        <w:t>附件</w:t>
      </w:r>
      <w:r>
        <w:rPr>
          <w:rFonts w:hint="eastAsia" w:ascii="宋体" w:hAnsi="宋体" w:cs="宋体"/>
          <w:color w:val="auto"/>
          <w:sz w:val="24"/>
          <w:szCs w:val="28"/>
          <w:lang w:val="zh-CN"/>
        </w:rPr>
        <w:t>项目全部人员组成表），项目负责人、厨师、食品安全总监、食品安全员必须持有市场监督管理局颁发的食品安全知识考试合格证书，</w:t>
      </w:r>
      <w:bookmarkStart w:id="78" w:name="OLE_LINK2"/>
      <w:bookmarkStart w:id="79" w:name="OLE_LINK1"/>
      <w:r>
        <w:rPr>
          <w:rFonts w:hint="eastAsia" w:ascii="宋体" w:hAnsi="宋体" w:cs="宋体"/>
          <w:color w:val="auto"/>
          <w:sz w:val="24"/>
          <w:szCs w:val="28"/>
          <w:lang w:val="zh-CN"/>
        </w:rPr>
        <w:t>且项目负责人</w:t>
      </w:r>
      <w:bookmarkEnd w:id="78"/>
      <w:bookmarkEnd w:id="79"/>
      <w:r>
        <w:rPr>
          <w:rFonts w:hint="eastAsia" w:ascii="宋体" w:hAnsi="宋体" w:cs="宋体"/>
          <w:color w:val="auto"/>
          <w:sz w:val="24"/>
          <w:szCs w:val="28"/>
          <w:lang w:val="zh-CN"/>
        </w:rPr>
        <w:t>、食品安全总监、食品安全员必须为投标单位员工（提供劳动合同和</w:t>
      </w:r>
      <w:r>
        <w:rPr>
          <w:rFonts w:ascii="宋体" w:hAnsi="宋体" w:cs="宋体"/>
          <w:color w:val="auto"/>
          <w:sz w:val="24"/>
          <w:szCs w:val="28"/>
          <w:lang w:val="zh-CN"/>
        </w:rPr>
        <w:t>202</w:t>
      </w:r>
      <w:r>
        <w:rPr>
          <w:rFonts w:ascii="宋体" w:hAnsi="宋体" w:cs="宋体"/>
          <w:color w:val="auto"/>
          <w:sz w:val="24"/>
          <w:szCs w:val="28"/>
        </w:rPr>
        <w:t>5</w:t>
      </w:r>
      <w:r>
        <w:rPr>
          <w:rFonts w:hint="eastAsia" w:ascii="宋体" w:hAnsi="宋体" w:cs="宋体"/>
          <w:color w:val="auto"/>
          <w:sz w:val="24"/>
          <w:szCs w:val="28"/>
          <w:lang w:val="zh-CN"/>
        </w:rPr>
        <w:t>年</w:t>
      </w:r>
      <w:r>
        <w:rPr>
          <w:rFonts w:ascii="宋体" w:hAnsi="宋体" w:cs="宋体"/>
          <w:color w:val="auto"/>
          <w:sz w:val="24"/>
          <w:szCs w:val="28"/>
        </w:rPr>
        <w:t>1</w:t>
      </w:r>
      <w:r>
        <w:rPr>
          <w:rFonts w:hint="eastAsia" w:ascii="宋体" w:hAnsi="宋体" w:cs="宋体"/>
          <w:color w:val="auto"/>
          <w:sz w:val="24"/>
          <w:szCs w:val="28"/>
          <w:lang w:val="zh-CN"/>
        </w:rPr>
        <w:t>月至</w:t>
      </w:r>
      <w:r>
        <w:rPr>
          <w:rFonts w:ascii="宋体" w:hAnsi="宋体" w:cs="宋体"/>
          <w:color w:val="auto"/>
          <w:sz w:val="24"/>
          <w:szCs w:val="28"/>
        </w:rPr>
        <w:t>5</w:t>
      </w:r>
      <w:r>
        <w:rPr>
          <w:rFonts w:hint="eastAsia" w:ascii="宋体" w:hAnsi="宋体" w:cs="宋体"/>
          <w:color w:val="auto"/>
          <w:sz w:val="24"/>
          <w:szCs w:val="28"/>
          <w:lang w:val="zh-CN"/>
        </w:rPr>
        <w:t>月连续的养老保险证明复印件加盖供应商公章，原件现场备查）。</w:t>
      </w:r>
      <w:r>
        <w:rPr>
          <w:rFonts w:hint="eastAsia" w:ascii="宋体" w:hAnsi="宋体" w:cs="宋体"/>
          <w:color w:val="auto"/>
          <w:sz w:val="24"/>
          <w:szCs w:val="28"/>
          <w:u w:val="single"/>
          <w:lang w:val="zh-CN"/>
        </w:rPr>
        <w:t>本项目负责人应当具备国民教育专科及以上文化程度。</w:t>
      </w:r>
      <w:r>
        <w:rPr>
          <w:rFonts w:hint="eastAsia" w:ascii="宋体" w:hAnsi="宋体" w:cs="宋体"/>
          <w:color w:val="auto"/>
          <w:sz w:val="24"/>
          <w:szCs w:val="28"/>
          <w:lang w:val="zh-CN"/>
        </w:rPr>
        <w:t>实际到岗履职的项目</w:t>
      </w:r>
      <w:r>
        <w:rPr>
          <w:rFonts w:hint="eastAsia" w:ascii="宋体" w:hAnsi="宋体" w:cs="宋体"/>
          <w:color w:val="auto"/>
          <w:sz w:val="24"/>
          <w:szCs w:val="28"/>
        </w:rPr>
        <w:t>管理</w:t>
      </w:r>
      <w:r>
        <w:rPr>
          <w:rFonts w:hint="eastAsia" w:ascii="宋体" w:hAnsi="宋体" w:cs="宋体"/>
          <w:color w:val="auto"/>
          <w:sz w:val="24"/>
          <w:szCs w:val="28"/>
          <w:lang w:val="zh-CN"/>
        </w:rPr>
        <w:t>班子成员应与投标文件中的一致，不得擅自更换</w:t>
      </w:r>
      <w:r>
        <w:rPr>
          <w:rFonts w:hint="eastAsia" w:ascii="宋体" w:hAnsi="宋体" w:cs="宋体"/>
          <w:color w:val="auto"/>
          <w:sz w:val="24"/>
          <w:szCs w:val="28"/>
          <w:u w:val="single"/>
          <w:lang w:val="zh-CN"/>
        </w:rPr>
        <w:t>。特殊情况经采购人书面同意，以上岗位人员方可调整。如未经采购人书面同意擅自更换人员，每擅自更换一次成交商需向采购人支付违约金</w:t>
      </w:r>
      <w:r>
        <w:rPr>
          <w:rFonts w:ascii="宋体" w:hAnsi="宋体" w:cs="宋体"/>
          <w:color w:val="auto"/>
          <w:sz w:val="24"/>
          <w:szCs w:val="28"/>
          <w:u w:val="single"/>
          <w:lang w:val="zh-CN"/>
        </w:rPr>
        <w:t>50000元/人/次。</w:t>
      </w:r>
      <w:r>
        <w:rPr>
          <w:rFonts w:hint="eastAsia" w:ascii="宋体" w:hAnsi="宋体" w:cs="宋体"/>
          <w:color w:val="auto"/>
          <w:sz w:val="24"/>
          <w:szCs w:val="28"/>
          <w:u w:val="single"/>
        </w:rPr>
        <w:t>如项目管理班子未按照要求配备配齐相应人员或未配备相应资格的人员视为违约，</w:t>
      </w:r>
      <w:r>
        <w:rPr>
          <w:rFonts w:hint="eastAsia" w:ascii="宋体" w:hAnsi="宋体" w:cs="宋体"/>
          <w:color w:val="auto"/>
          <w:sz w:val="24"/>
          <w:szCs w:val="28"/>
        </w:rPr>
        <w:t>采购人扣罚成交商违约金1</w:t>
      </w:r>
      <w:r>
        <w:rPr>
          <w:rFonts w:ascii="宋体" w:hAnsi="宋体" w:cs="宋体"/>
          <w:color w:val="auto"/>
          <w:sz w:val="24"/>
          <w:szCs w:val="28"/>
        </w:rPr>
        <w:t>0000元</w:t>
      </w:r>
      <w:r>
        <w:rPr>
          <w:rFonts w:ascii="宋体" w:hAnsi="宋体" w:cs="宋体"/>
          <w:color w:val="auto"/>
          <w:sz w:val="24"/>
          <w:szCs w:val="28"/>
          <w:u w:val="single"/>
          <w:lang w:val="zh-CN"/>
        </w:rPr>
        <w:t>/人/</w:t>
      </w:r>
      <w:r>
        <w:rPr>
          <w:rFonts w:ascii="宋体" w:hAnsi="宋体" w:cs="宋体"/>
          <w:color w:val="auto"/>
          <w:sz w:val="24"/>
          <w:szCs w:val="28"/>
        </w:rPr>
        <w:t>次。</w:t>
      </w:r>
    </w:p>
    <w:p w14:paraId="17BB5F5E">
      <w:pPr>
        <w:pStyle w:val="3"/>
        <w:spacing w:line="400" w:lineRule="exact"/>
        <w:rPr>
          <w:b w:val="0"/>
          <w:color w:val="auto"/>
        </w:rPr>
      </w:pPr>
      <w:bookmarkStart w:id="80" w:name="_Toc15968"/>
      <w:r>
        <w:rPr>
          <w:b w:val="0"/>
          <w:color w:val="auto"/>
        </w:rPr>
        <w:t>*</w:t>
      </w:r>
      <w:r>
        <w:rPr>
          <w:rFonts w:hint="eastAsia"/>
          <w:b w:val="0"/>
          <w:color w:val="auto"/>
        </w:rPr>
        <w:t>七、</w:t>
      </w:r>
      <w:bookmarkStart w:id="81" w:name="_Toc12673"/>
      <w:r>
        <w:rPr>
          <w:rFonts w:hint="eastAsia"/>
          <w:b w:val="0"/>
          <w:color w:val="auto"/>
        </w:rPr>
        <w:t>考核管理</w:t>
      </w:r>
      <w:bookmarkEnd w:id="80"/>
    </w:p>
    <w:bookmarkEnd w:id="81"/>
    <w:p w14:paraId="5BC15916">
      <w:pPr>
        <w:snapToGrid w:val="0"/>
        <w:spacing w:line="400" w:lineRule="exact"/>
        <w:ind w:firstLine="480" w:firstLineChars="200"/>
        <w:rPr>
          <w:color w:val="auto"/>
        </w:rPr>
      </w:pPr>
      <w:r>
        <w:rPr>
          <w:rFonts w:hint="eastAsia" w:ascii="宋体" w:hAnsi="宋体" w:cs="宋体"/>
          <w:color w:val="auto"/>
          <w:sz w:val="24"/>
          <w:szCs w:val="24"/>
        </w:rPr>
        <w:t>为调动成交商经营积极性，确保师生餐饮的品质和质量，采购人按照成交商投标承诺收取考核费，采取学期考核和日常考核相结合的方式建立考核机制，根据考核结果实施奖惩。</w:t>
      </w:r>
      <w:r>
        <w:rPr>
          <w:color w:val="auto"/>
        </w:rPr>
        <w:t xml:space="preserve"> </w:t>
      </w:r>
    </w:p>
    <w:p w14:paraId="4BDA5B1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（一）日常考核</w:t>
      </w:r>
    </w:p>
    <w:p w14:paraId="705C773D">
      <w:pPr>
        <w:jc w:val="center"/>
        <w:rPr>
          <w:color w:val="auto"/>
        </w:rPr>
      </w:pPr>
      <w:r>
        <w:rPr>
          <w:rFonts w:hint="eastAsia"/>
          <w:color w:val="auto"/>
        </w:rPr>
        <w:t>重庆文理学院学生食堂委托经营管理日常考核实施细则</w:t>
      </w:r>
    </w:p>
    <w:tbl>
      <w:tblPr>
        <w:tblStyle w:val="59"/>
        <w:tblW w:w="9923" w:type="dxa"/>
        <w:jc w:val="center"/>
        <w:tblLayout w:type="fixed"/>
        <w:tblCellMar>
          <w:top w:w="0" w:type="dxa"/>
          <w:left w:w="108" w:type="dxa"/>
          <w:bottom w:w="0" w:type="dxa"/>
          <w:right w:w="108" w:type="dxa"/>
        </w:tblCellMar>
      </w:tblPr>
      <w:tblGrid>
        <w:gridCol w:w="499"/>
        <w:gridCol w:w="636"/>
        <w:gridCol w:w="477"/>
        <w:gridCol w:w="3350"/>
        <w:gridCol w:w="709"/>
        <w:gridCol w:w="2693"/>
        <w:gridCol w:w="1559"/>
      </w:tblGrid>
      <w:tr w14:paraId="085620F0">
        <w:tblPrEx>
          <w:tblCellMar>
            <w:top w:w="0" w:type="dxa"/>
            <w:left w:w="108" w:type="dxa"/>
            <w:bottom w:w="0" w:type="dxa"/>
            <w:right w:w="108" w:type="dxa"/>
          </w:tblCellMar>
        </w:tblPrEx>
        <w:trPr>
          <w:trHeight w:val="480"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14:paraId="0F8DB049">
            <w:pPr>
              <w:rPr>
                <w:rFonts w:ascii="宋体" w:hAnsi="宋体" w:cs="宋体"/>
                <w:color w:val="auto"/>
                <w:sz w:val="18"/>
                <w:szCs w:val="18"/>
              </w:rPr>
            </w:pPr>
            <w:r>
              <w:rPr>
                <w:rFonts w:hint="eastAsia" w:ascii="宋体" w:hAnsi="宋体" w:cs="宋体"/>
                <w:color w:val="auto"/>
                <w:sz w:val="18"/>
                <w:szCs w:val="18"/>
              </w:rPr>
              <w:t>序号</w:t>
            </w:r>
          </w:p>
        </w:tc>
        <w:tc>
          <w:tcPr>
            <w:tcW w:w="636" w:type="dxa"/>
            <w:tcBorders>
              <w:top w:val="single" w:color="auto" w:sz="4" w:space="0"/>
              <w:left w:val="single" w:color="auto" w:sz="4" w:space="0"/>
              <w:bottom w:val="single" w:color="auto" w:sz="4" w:space="0"/>
              <w:right w:val="single" w:color="auto" w:sz="4" w:space="0"/>
            </w:tcBorders>
            <w:vAlign w:val="center"/>
          </w:tcPr>
          <w:p w14:paraId="3A84C5DC">
            <w:pPr>
              <w:rPr>
                <w:rFonts w:ascii="宋体" w:hAnsi="宋体" w:cs="宋体"/>
                <w:color w:val="auto"/>
                <w:sz w:val="18"/>
                <w:szCs w:val="18"/>
              </w:rPr>
            </w:pPr>
            <w:r>
              <w:rPr>
                <w:rFonts w:hint="eastAsia" w:ascii="宋体" w:hAnsi="宋体" w:cs="宋体"/>
                <w:color w:val="auto"/>
                <w:sz w:val="18"/>
                <w:szCs w:val="18"/>
              </w:rPr>
              <w:t>考核项目</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46F9C20">
            <w:pPr>
              <w:rPr>
                <w:rFonts w:ascii="宋体" w:hAnsi="宋体" w:cs="宋体"/>
                <w:color w:val="auto"/>
                <w:sz w:val="18"/>
                <w:szCs w:val="18"/>
              </w:rPr>
            </w:pPr>
            <w:r>
              <w:rPr>
                <w:rFonts w:hint="eastAsia" w:ascii="宋体" w:hAnsi="宋体" w:cs="宋体"/>
                <w:color w:val="auto"/>
                <w:sz w:val="18"/>
                <w:szCs w:val="18"/>
              </w:rPr>
              <w:t>规范要求</w:t>
            </w:r>
          </w:p>
        </w:tc>
        <w:tc>
          <w:tcPr>
            <w:tcW w:w="709" w:type="dxa"/>
            <w:tcBorders>
              <w:top w:val="single" w:color="auto" w:sz="4" w:space="0"/>
              <w:left w:val="single" w:color="auto" w:sz="4" w:space="0"/>
              <w:bottom w:val="single" w:color="auto" w:sz="4" w:space="0"/>
              <w:right w:val="single" w:color="auto" w:sz="4" w:space="0"/>
            </w:tcBorders>
            <w:vAlign w:val="center"/>
          </w:tcPr>
          <w:p w14:paraId="5C4FB7C0">
            <w:pPr>
              <w:rPr>
                <w:rFonts w:ascii="宋体" w:hAnsi="宋体" w:cs="宋体"/>
                <w:color w:val="auto"/>
                <w:sz w:val="18"/>
                <w:szCs w:val="18"/>
              </w:rPr>
            </w:pPr>
            <w:r>
              <w:rPr>
                <w:rFonts w:hint="eastAsia" w:ascii="宋体" w:hAnsi="宋体" w:cs="宋体"/>
                <w:color w:val="auto"/>
                <w:sz w:val="18"/>
                <w:szCs w:val="18"/>
              </w:rPr>
              <w:t>考核方式</w:t>
            </w:r>
          </w:p>
        </w:tc>
        <w:tc>
          <w:tcPr>
            <w:tcW w:w="2693" w:type="dxa"/>
            <w:tcBorders>
              <w:top w:val="single" w:color="auto" w:sz="4" w:space="0"/>
              <w:left w:val="single" w:color="auto" w:sz="4" w:space="0"/>
              <w:bottom w:val="single" w:color="auto" w:sz="4" w:space="0"/>
              <w:right w:val="single" w:color="auto" w:sz="4" w:space="0"/>
            </w:tcBorders>
            <w:vAlign w:val="center"/>
          </w:tcPr>
          <w:p w14:paraId="42649D1D">
            <w:pPr>
              <w:rPr>
                <w:rFonts w:ascii="宋体" w:hAnsi="宋体" w:cs="宋体"/>
                <w:color w:val="auto"/>
                <w:sz w:val="18"/>
                <w:szCs w:val="18"/>
              </w:rPr>
            </w:pPr>
            <w:r>
              <w:rPr>
                <w:rFonts w:hint="eastAsia" w:ascii="宋体" w:hAnsi="宋体" w:cs="宋体"/>
                <w:color w:val="auto"/>
                <w:sz w:val="18"/>
                <w:szCs w:val="18"/>
              </w:rPr>
              <w:t>支付违约金标准</w:t>
            </w:r>
          </w:p>
        </w:tc>
        <w:tc>
          <w:tcPr>
            <w:tcW w:w="1559" w:type="dxa"/>
            <w:tcBorders>
              <w:top w:val="single" w:color="auto" w:sz="4" w:space="0"/>
              <w:left w:val="single" w:color="auto" w:sz="4" w:space="0"/>
              <w:bottom w:val="single" w:color="auto" w:sz="4" w:space="0"/>
              <w:right w:val="single" w:color="auto" w:sz="4" w:space="0"/>
            </w:tcBorders>
            <w:vAlign w:val="center"/>
          </w:tcPr>
          <w:p w14:paraId="752DFBF0">
            <w:pPr>
              <w:rPr>
                <w:rFonts w:ascii="宋体" w:hAnsi="宋体" w:cs="宋体"/>
                <w:color w:val="auto"/>
                <w:sz w:val="18"/>
                <w:szCs w:val="18"/>
              </w:rPr>
            </w:pPr>
            <w:r>
              <w:rPr>
                <w:rFonts w:hint="eastAsia" w:ascii="宋体" w:hAnsi="宋体" w:cs="宋体"/>
                <w:color w:val="auto"/>
                <w:sz w:val="18"/>
                <w:szCs w:val="18"/>
              </w:rPr>
              <w:t>扣分标准</w:t>
            </w:r>
          </w:p>
        </w:tc>
      </w:tr>
      <w:tr w14:paraId="2998E666">
        <w:tblPrEx>
          <w:tblCellMar>
            <w:top w:w="0" w:type="dxa"/>
            <w:left w:w="108" w:type="dxa"/>
            <w:bottom w:w="0" w:type="dxa"/>
            <w:right w:w="108" w:type="dxa"/>
          </w:tblCellMar>
        </w:tblPrEx>
        <w:trPr>
          <w:trHeight w:val="480"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76C04358">
            <w:pPr>
              <w:rPr>
                <w:rFonts w:ascii="宋体" w:hAnsi="宋体" w:cs="宋体"/>
                <w:color w:val="auto"/>
                <w:sz w:val="18"/>
                <w:szCs w:val="18"/>
              </w:rPr>
            </w:pPr>
            <w:r>
              <w:rPr>
                <w:rFonts w:hint="eastAsia" w:ascii="宋体" w:hAnsi="宋体" w:cs="宋体"/>
                <w:color w:val="auto"/>
                <w:sz w:val="18"/>
                <w:szCs w:val="18"/>
              </w:rPr>
              <w:t>一</w:t>
            </w:r>
          </w:p>
        </w:tc>
        <w:tc>
          <w:tcPr>
            <w:tcW w:w="63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695B248">
            <w:pPr>
              <w:jc w:val="center"/>
              <w:rPr>
                <w:rFonts w:ascii="宋体" w:hAnsi="宋体" w:cs="宋体"/>
                <w:color w:val="auto"/>
                <w:sz w:val="18"/>
                <w:szCs w:val="18"/>
              </w:rPr>
            </w:pPr>
            <w:r>
              <w:rPr>
                <w:rFonts w:hint="eastAsia" w:ascii="宋体" w:hAnsi="宋体" w:cs="宋体"/>
                <w:color w:val="auto"/>
                <w:sz w:val="18"/>
                <w:szCs w:val="18"/>
              </w:rPr>
              <w:t>安全管理</w:t>
            </w: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99566E4">
            <w:pPr>
              <w:jc w:val="center"/>
              <w:rPr>
                <w:rFonts w:ascii="宋体" w:hAnsi="宋体" w:cs="宋体"/>
                <w:color w:val="auto"/>
                <w:sz w:val="18"/>
                <w:szCs w:val="18"/>
              </w:rPr>
            </w:pPr>
            <w:r>
              <w:rPr>
                <w:rFonts w:hint="eastAsia" w:ascii="宋体" w:hAnsi="宋体" w:cs="宋体"/>
                <w:color w:val="auto"/>
                <w:sz w:val="18"/>
                <w:szCs w:val="18"/>
              </w:rPr>
              <w:t>食品卫生安全</w:t>
            </w:r>
          </w:p>
        </w:tc>
        <w:tc>
          <w:tcPr>
            <w:tcW w:w="3350" w:type="dxa"/>
            <w:tcBorders>
              <w:top w:val="single" w:color="auto" w:sz="4" w:space="0"/>
              <w:left w:val="single" w:color="auto" w:sz="4" w:space="0"/>
              <w:bottom w:val="single" w:color="auto" w:sz="4" w:space="0"/>
              <w:right w:val="single" w:color="auto" w:sz="4" w:space="0"/>
            </w:tcBorders>
            <w:vAlign w:val="center"/>
          </w:tcPr>
          <w:p w14:paraId="6EC21A9E">
            <w:pPr>
              <w:rPr>
                <w:rFonts w:ascii="宋体" w:hAnsi="宋体" w:cs="宋体"/>
                <w:color w:val="auto"/>
                <w:sz w:val="18"/>
                <w:szCs w:val="18"/>
              </w:rPr>
            </w:pPr>
            <w:r>
              <w:rPr>
                <w:rFonts w:ascii="宋体" w:hAnsi="宋体" w:cs="宋体"/>
                <w:color w:val="auto"/>
                <w:sz w:val="18"/>
                <w:szCs w:val="18"/>
              </w:rPr>
              <w:t>1.应建有针对性的各岗位职责及工作流程制度</w:t>
            </w:r>
          </w:p>
        </w:tc>
        <w:tc>
          <w:tcPr>
            <w:tcW w:w="709" w:type="dxa"/>
            <w:tcBorders>
              <w:top w:val="single" w:color="auto" w:sz="4" w:space="0"/>
              <w:left w:val="single" w:color="auto" w:sz="4" w:space="0"/>
              <w:bottom w:val="single" w:color="auto" w:sz="4" w:space="0"/>
              <w:right w:val="single" w:color="auto" w:sz="4" w:space="0"/>
            </w:tcBorders>
            <w:vAlign w:val="center"/>
          </w:tcPr>
          <w:p w14:paraId="77C99496">
            <w:pPr>
              <w:rPr>
                <w:rFonts w:ascii="宋体" w:hAnsi="宋体" w:cs="宋体"/>
                <w:color w:val="auto"/>
                <w:sz w:val="18"/>
                <w:szCs w:val="18"/>
              </w:rPr>
            </w:pPr>
            <w:r>
              <w:rPr>
                <w:rFonts w:hint="eastAsia" w:ascii="宋体" w:hAnsi="宋体" w:cs="宋体"/>
                <w:color w:val="auto"/>
                <w:sz w:val="18"/>
                <w:szCs w:val="18"/>
              </w:rPr>
              <w:t>查看制度</w:t>
            </w:r>
          </w:p>
        </w:tc>
        <w:tc>
          <w:tcPr>
            <w:tcW w:w="2693" w:type="dxa"/>
            <w:tcBorders>
              <w:top w:val="single" w:color="auto" w:sz="4" w:space="0"/>
              <w:left w:val="single" w:color="auto" w:sz="4" w:space="0"/>
              <w:bottom w:val="single" w:color="auto" w:sz="4" w:space="0"/>
              <w:right w:val="single" w:color="auto" w:sz="4" w:space="0"/>
            </w:tcBorders>
            <w:vAlign w:val="center"/>
          </w:tcPr>
          <w:p w14:paraId="63CB787B">
            <w:pPr>
              <w:rPr>
                <w:rFonts w:ascii="宋体" w:hAnsi="宋体" w:cs="宋体"/>
                <w:color w:val="auto"/>
                <w:sz w:val="18"/>
                <w:szCs w:val="18"/>
              </w:rPr>
            </w:pPr>
            <w:r>
              <w:rPr>
                <w:rFonts w:hint="eastAsia" w:ascii="宋体" w:hAnsi="宋体" w:cs="宋体"/>
                <w:color w:val="auto"/>
                <w:sz w:val="18"/>
                <w:szCs w:val="18"/>
              </w:rPr>
              <w:t>缺一项制度每次支付违约金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6D575FB8">
            <w:pPr>
              <w:rPr>
                <w:rFonts w:ascii="宋体" w:hAnsi="宋体" w:cs="宋体"/>
                <w:color w:val="auto"/>
                <w:sz w:val="18"/>
                <w:szCs w:val="18"/>
              </w:rPr>
            </w:pPr>
            <w:r>
              <w:rPr>
                <w:rFonts w:hint="eastAsia" w:ascii="宋体" w:hAnsi="宋体" w:cs="宋体"/>
                <w:color w:val="auto"/>
                <w:sz w:val="18"/>
                <w:szCs w:val="18"/>
              </w:rPr>
              <w:t>缺一项每次扣</w:t>
            </w:r>
            <w:r>
              <w:rPr>
                <w:rFonts w:ascii="宋体" w:hAnsi="宋体" w:cs="宋体"/>
                <w:color w:val="auto"/>
                <w:sz w:val="18"/>
                <w:szCs w:val="18"/>
              </w:rPr>
              <w:t>1分</w:t>
            </w:r>
          </w:p>
        </w:tc>
      </w:tr>
      <w:tr w14:paraId="440393DD">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BA55FDF">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A83F13A">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22E86237">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32230EEA">
            <w:pPr>
              <w:rPr>
                <w:rFonts w:ascii="宋体" w:hAnsi="宋体" w:cs="宋体"/>
                <w:color w:val="auto"/>
                <w:sz w:val="18"/>
                <w:szCs w:val="18"/>
              </w:rPr>
            </w:pPr>
            <w:r>
              <w:rPr>
                <w:rFonts w:ascii="宋体" w:hAnsi="宋体" w:cs="宋体"/>
                <w:color w:val="auto"/>
                <w:sz w:val="18"/>
                <w:szCs w:val="18"/>
              </w:rPr>
              <w:t>2.应建有卫生与安全责任制度和责任追究制度</w:t>
            </w:r>
          </w:p>
        </w:tc>
        <w:tc>
          <w:tcPr>
            <w:tcW w:w="709" w:type="dxa"/>
            <w:tcBorders>
              <w:top w:val="single" w:color="auto" w:sz="4" w:space="0"/>
              <w:left w:val="single" w:color="auto" w:sz="4" w:space="0"/>
              <w:bottom w:val="single" w:color="auto" w:sz="4" w:space="0"/>
              <w:right w:val="single" w:color="auto" w:sz="4" w:space="0"/>
            </w:tcBorders>
            <w:vAlign w:val="center"/>
          </w:tcPr>
          <w:p w14:paraId="531248A2">
            <w:pPr>
              <w:rPr>
                <w:rFonts w:ascii="宋体" w:hAnsi="宋体" w:cs="宋体"/>
                <w:color w:val="auto"/>
                <w:sz w:val="18"/>
                <w:szCs w:val="18"/>
              </w:rPr>
            </w:pPr>
            <w:r>
              <w:rPr>
                <w:rFonts w:hint="eastAsia" w:ascii="宋体" w:hAnsi="宋体" w:cs="宋体"/>
                <w:color w:val="auto"/>
                <w:sz w:val="18"/>
                <w:szCs w:val="18"/>
              </w:rPr>
              <w:t>查看制度</w:t>
            </w:r>
          </w:p>
        </w:tc>
        <w:tc>
          <w:tcPr>
            <w:tcW w:w="2693" w:type="dxa"/>
            <w:tcBorders>
              <w:top w:val="single" w:color="auto" w:sz="4" w:space="0"/>
              <w:left w:val="single" w:color="auto" w:sz="4" w:space="0"/>
              <w:bottom w:val="single" w:color="auto" w:sz="4" w:space="0"/>
              <w:right w:val="single" w:color="auto" w:sz="4" w:space="0"/>
            </w:tcBorders>
            <w:vAlign w:val="center"/>
          </w:tcPr>
          <w:p w14:paraId="5F8A3703">
            <w:pPr>
              <w:rPr>
                <w:rFonts w:ascii="宋体" w:hAnsi="宋体" w:cs="宋体"/>
                <w:color w:val="auto"/>
                <w:sz w:val="18"/>
                <w:szCs w:val="18"/>
              </w:rPr>
            </w:pPr>
            <w:r>
              <w:rPr>
                <w:rFonts w:hint="eastAsia" w:ascii="宋体" w:hAnsi="宋体" w:cs="宋体"/>
                <w:color w:val="auto"/>
                <w:sz w:val="18"/>
                <w:szCs w:val="18"/>
              </w:rPr>
              <w:t>缺一项制度每次支付违约金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7DB8794E">
            <w:pPr>
              <w:rPr>
                <w:rFonts w:ascii="宋体" w:hAnsi="宋体" w:cs="宋体"/>
                <w:color w:val="auto"/>
                <w:sz w:val="18"/>
                <w:szCs w:val="18"/>
              </w:rPr>
            </w:pPr>
            <w:r>
              <w:rPr>
                <w:rFonts w:hint="eastAsia" w:ascii="宋体" w:hAnsi="宋体" w:cs="宋体"/>
                <w:color w:val="auto"/>
                <w:sz w:val="18"/>
                <w:szCs w:val="18"/>
              </w:rPr>
              <w:t>缺一项每次扣</w:t>
            </w:r>
            <w:r>
              <w:rPr>
                <w:rFonts w:ascii="宋体" w:hAnsi="宋体" w:cs="宋体"/>
                <w:color w:val="auto"/>
                <w:sz w:val="18"/>
                <w:szCs w:val="18"/>
              </w:rPr>
              <w:t>1分</w:t>
            </w:r>
          </w:p>
        </w:tc>
      </w:tr>
      <w:tr w14:paraId="6F30E576">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E8393DD">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5C920F9">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6C7FB49C">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1C54312C">
            <w:pPr>
              <w:rPr>
                <w:rFonts w:ascii="宋体" w:hAnsi="宋体" w:cs="宋体"/>
                <w:color w:val="auto"/>
                <w:sz w:val="18"/>
                <w:szCs w:val="18"/>
              </w:rPr>
            </w:pPr>
            <w:r>
              <w:rPr>
                <w:rFonts w:ascii="宋体" w:hAnsi="宋体" w:cs="宋体"/>
                <w:color w:val="auto"/>
                <w:sz w:val="18"/>
                <w:szCs w:val="18"/>
              </w:rPr>
              <w:t>3.应持有效证件经营</w:t>
            </w:r>
          </w:p>
        </w:tc>
        <w:tc>
          <w:tcPr>
            <w:tcW w:w="709" w:type="dxa"/>
            <w:tcBorders>
              <w:top w:val="single" w:color="auto" w:sz="4" w:space="0"/>
              <w:left w:val="single" w:color="auto" w:sz="4" w:space="0"/>
              <w:bottom w:val="single" w:color="auto" w:sz="4" w:space="0"/>
              <w:right w:val="single" w:color="auto" w:sz="4" w:space="0"/>
            </w:tcBorders>
            <w:vAlign w:val="center"/>
          </w:tcPr>
          <w:p w14:paraId="1594B52E">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2514417">
            <w:pPr>
              <w:rPr>
                <w:rFonts w:ascii="宋体" w:hAnsi="宋体" w:cs="宋体"/>
                <w:color w:val="auto"/>
                <w:sz w:val="18"/>
                <w:szCs w:val="18"/>
              </w:rPr>
            </w:pPr>
            <w:r>
              <w:rPr>
                <w:rFonts w:hint="eastAsia" w:ascii="宋体" w:hAnsi="宋体" w:cs="宋体"/>
                <w:color w:val="auto"/>
                <w:sz w:val="18"/>
                <w:szCs w:val="18"/>
              </w:rPr>
              <w:t>无证经营或证件无效除由经营者支付相关主管部门的罚款外，学校将按</w:t>
            </w:r>
            <w:r>
              <w:rPr>
                <w:rFonts w:ascii="宋体" w:hAnsi="宋体" w:cs="宋体"/>
                <w:color w:val="auto"/>
                <w:sz w:val="18"/>
                <w:szCs w:val="18"/>
              </w:rPr>
              <w:t>5000—50000元进行处罚并有权解除经营管理合同</w:t>
            </w:r>
          </w:p>
        </w:tc>
        <w:tc>
          <w:tcPr>
            <w:tcW w:w="1559" w:type="dxa"/>
            <w:tcBorders>
              <w:top w:val="single" w:color="auto" w:sz="4" w:space="0"/>
              <w:left w:val="single" w:color="auto" w:sz="4" w:space="0"/>
              <w:bottom w:val="single" w:color="auto" w:sz="4" w:space="0"/>
              <w:right w:val="single" w:color="auto" w:sz="4" w:space="0"/>
            </w:tcBorders>
            <w:vAlign w:val="center"/>
          </w:tcPr>
          <w:p w14:paraId="47FB6E5A">
            <w:pPr>
              <w:rPr>
                <w:rFonts w:ascii="宋体" w:hAnsi="宋体" w:cs="宋体"/>
                <w:color w:val="auto"/>
                <w:sz w:val="18"/>
                <w:szCs w:val="18"/>
              </w:rPr>
            </w:pPr>
            <w:r>
              <w:rPr>
                <w:rFonts w:hint="eastAsia" w:ascii="宋体" w:hAnsi="宋体" w:cs="宋体"/>
                <w:color w:val="auto"/>
                <w:sz w:val="18"/>
                <w:szCs w:val="18"/>
              </w:rPr>
              <w:t>无证经营或证件无效扣</w:t>
            </w:r>
            <w:r>
              <w:rPr>
                <w:rFonts w:ascii="宋体" w:hAnsi="宋体" w:cs="宋体"/>
                <w:color w:val="auto"/>
                <w:sz w:val="18"/>
                <w:szCs w:val="18"/>
              </w:rPr>
              <w:t>5分</w:t>
            </w:r>
          </w:p>
        </w:tc>
      </w:tr>
      <w:tr w14:paraId="0A4E9BD9">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351AE5F">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EADECD0">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1E12E72">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6F61497F">
            <w:pPr>
              <w:rPr>
                <w:rFonts w:ascii="宋体" w:hAnsi="宋体" w:cs="宋体"/>
                <w:color w:val="auto"/>
                <w:sz w:val="18"/>
                <w:szCs w:val="18"/>
              </w:rPr>
            </w:pPr>
            <w:r>
              <w:rPr>
                <w:rFonts w:ascii="宋体" w:hAnsi="宋体" w:cs="宋体"/>
                <w:color w:val="auto"/>
                <w:sz w:val="18"/>
                <w:szCs w:val="18"/>
              </w:rPr>
              <w:t>4．建立并执行从业人员资格审查和健康管理制度。从业人员入职时应提供真实有效的无犯罪记录证明、心理健康测试报告和健康证。入职后，按要求开展资格审查和健康管理。</w:t>
            </w:r>
          </w:p>
        </w:tc>
        <w:tc>
          <w:tcPr>
            <w:tcW w:w="709" w:type="dxa"/>
            <w:tcBorders>
              <w:top w:val="single" w:color="auto" w:sz="4" w:space="0"/>
              <w:left w:val="single" w:color="auto" w:sz="4" w:space="0"/>
              <w:bottom w:val="single" w:color="auto" w:sz="4" w:space="0"/>
              <w:right w:val="single" w:color="auto" w:sz="4" w:space="0"/>
            </w:tcBorders>
            <w:vAlign w:val="center"/>
          </w:tcPr>
          <w:p w14:paraId="3F242C01">
            <w:pPr>
              <w:rPr>
                <w:rFonts w:ascii="宋体" w:hAnsi="宋体" w:cs="宋体"/>
                <w:color w:val="auto"/>
                <w:sz w:val="18"/>
                <w:szCs w:val="18"/>
              </w:rPr>
            </w:pPr>
            <w:r>
              <w:rPr>
                <w:rFonts w:hint="eastAsia" w:ascii="宋体" w:hAnsi="宋体" w:cs="宋体"/>
                <w:color w:val="auto"/>
                <w:sz w:val="18"/>
                <w:szCs w:val="18"/>
              </w:rPr>
              <w:t>现场</w:t>
            </w:r>
          </w:p>
          <w:p w14:paraId="5AEE1461">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vAlign w:val="center"/>
          </w:tcPr>
          <w:p w14:paraId="1E9199B7">
            <w:pPr>
              <w:rPr>
                <w:rFonts w:ascii="宋体" w:hAnsi="宋体" w:cs="宋体"/>
                <w:color w:val="auto"/>
                <w:sz w:val="18"/>
                <w:szCs w:val="18"/>
              </w:rPr>
            </w:pPr>
            <w:r>
              <w:rPr>
                <w:rFonts w:hint="eastAsia" w:ascii="宋体" w:hAnsi="宋体" w:cs="宋体"/>
                <w:color w:val="auto"/>
                <w:sz w:val="18"/>
                <w:szCs w:val="18"/>
              </w:rPr>
              <w:t>缺制度的支付违约金</w:t>
            </w:r>
            <w:r>
              <w:rPr>
                <w:rFonts w:ascii="宋体" w:hAnsi="宋体" w:cs="宋体"/>
                <w:color w:val="auto"/>
                <w:sz w:val="18"/>
                <w:szCs w:val="18"/>
              </w:rPr>
              <w:t>1000元/项/次，制度未落实到位支付违约金2000元/人次</w:t>
            </w:r>
          </w:p>
        </w:tc>
        <w:tc>
          <w:tcPr>
            <w:tcW w:w="1559" w:type="dxa"/>
            <w:tcBorders>
              <w:top w:val="single" w:color="auto" w:sz="4" w:space="0"/>
              <w:left w:val="single" w:color="auto" w:sz="4" w:space="0"/>
              <w:bottom w:val="single" w:color="auto" w:sz="4" w:space="0"/>
              <w:right w:val="single" w:color="auto" w:sz="4" w:space="0"/>
            </w:tcBorders>
            <w:vAlign w:val="center"/>
          </w:tcPr>
          <w:p w14:paraId="733AD2E1">
            <w:pPr>
              <w:rPr>
                <w:rFonts w:ascii="宋体" w:hAnsi="宋体" w:cs="宋体"/>
                <w:color w:val="auto"/>
                <w:sz w:val="18"/>
                <w:szCs w:val="18"/>
              </w:rPr>
            </w:pPr>
            <w:r>
              <w:rPr>
                <w:rFonts w:hint="eastAsia" w:ascii="宋体" w:hAnsi="宋体" w:cs="宋体"/>
                <w:color w:val="auto"/>
                <w:sz w:val="18"/>
                <w:szCs w:val="18"/>
              </w:rPr>
              <w:t>未建有相应制度扣</w:t>
            </w:r>
            <w:r>
              <w:rPr>
                <w:rFonts w:ascii="宋体" w:hAnsi="宋体" w:cs="宋体"/>
                <w:color w:val="auto"/>
                <w:sz w:val="18"/>
                <w:szCs w:val="18"/>
              </w:rPr>
              <w:t>0.5分/次；制度未落实到位的扣1分/次</w:t>
            </w:r>
          </w:p>
        </w:tc>
      </w:tr>
      <w:tr w14:paraId="1CF0EB19">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189132A">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BEB07D6">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10AEFD0D">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23F30D2A">
            <w:pPr>
              <w:rPr>
                <w:rFonts w:ascii="宋体" w:hAnsi="宋体" w:cs="宋体"/>
                <w:color w:val="auto"/>
                <w:sz w:val="18"/>
                <w:szCs w:val="18"/>
              </w:rPr>
            </w:pPr>
            <w:r>
              <w:rPr>
                <w:rFonts w:ascii="宋体" w:hAnsi="宋体" w:cs="宋体"/>
                <w:color w:val="auto"/>
                <w:sz w:val="18"/>
                <w:szCs w:val="18"/>
              </w:rPr>
              <w:t>5.应严格执行食品卫生法律、法规，无投毒或食物中毒事故或肠道传染病发生</w:t>
            </w:r>
          </w:p>
        </w:tc>
        <w:tc>
          <w:tcPr>
            <w:tcW w:w="709" w:type="dxa"/>
            <w:tcBorders>
              <w:top w:val="single" w:color="auto" w:sz="4" w:space="0"/>
              <w:left w:val="single" w:color="auto" w:sz="4" w:space="0"/>
              <w:bottom w:val="single" w:color="auto" w:sz="4" w:space="0"/>
              <w:right w:val="single" w:color="auto" w:sz="4" w:space="0"/>
            </w:tcBorders>
            <w:vAlign w:val="center"/>
          </w:tcPr>
          <w:p w14:paraId="3C5F07A1">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1EDD5B6C">
            <w:pPr>
              <w:rPr>
                <w:rFonts w:ascii="宋体" w:hAnsi="宋体" w:cs="宋体"/>
                <w:color w:val="auto"/>
                <w:sz w:val="18"/>
                <w:szCs w:val="18"/>
              </w:rPr>
            </w:pPr>
            <w:r>
              <w:rPr>
                <w:rFonts w:hint="eastAsia" w:ascii="宋体" w:hAnsi="宋体" w:cs="宋体"/>
                <w:color w:val="auto"/>
                <w:sz w:val="18"/>
                <w:szCs w:val="18"/>
              </w:rPr>
              <w:t>发生投毒或食物中毒或肠道传染病事件，情节严重者，采购人除不退还履约保证金外，还应承担</w:t>
            </w:r>
            <w:r>
              <w:rPr>
                <w:rFonts w:ascii="宋体" w:hAnsi="宋体" w:cs="宋体"/>
                <w:color w:val="auto"/>
                <w:sz w:val="18"/>
                <w:szCs w:val="18"/>
              </w:rPr>
              <w:t>50000元/次的合同违约金，由此造成的所有责任</w:t>
            </w:r>
            <w:r>
              <w:rPr>
                <w:rFonts w:hint="eastAsia" w:ascii="宋体" w:hAnsi="宋体" w:cs="宋体"/>
                <w:color w:val="auto"/>
                <w:sz w:val="18"/>
                <w:szCs w:val="18"/>
              </w:rPr>
              <w:t>由成交商承担（包括对采购人相关管理人员的经济处罚），且采购人有权解除合同</w:t>
            </w:r>
          </w:p>
        </w:tc>
        <w:tc>
          <w:tcPr>
            <w:tcW w:w="1559" w:type="dxa"/>
            <w:tcBorders>
              <w:top w:val="single" w:color="auto" w:sz="4" w:space="0"/>
              <w:left w:val="single" w:color="auto" w:sz="4" w:space="0"/>
              <w:bottom w:val="single" w:color="auto" w:sz="4" w:space="0"/>
              <w:right w:val="single" w:color="auto" w:sz="4" w:space="0"/>
            </w:tcBorders>
            <w:vAlign w:val="center"/>
          </w:tcPr>
          <w:p w14:paraId="1E9669F9">
            <w:pPr>
              <w:rPr>
                <w:rFonts w:ascii="宋体" w:hAnsi="宋体" w:cs="宋体"/>
                <w:color w:val="auto"/>
                <w:sz w:val="18"/>
                <w:szCs w:val="18"/>
              </w:rPr>
            </w:pPr>
            <w:r>
              <w:rPr>
                <w:rFonts w:hint="eastAsia" w:ascii="宋体" w:hAnsi="宋体" w:cs="宋体"/>
                <w:color w:val="auto"/>
                <w:sz w:val="18"/>
                <w:szCs w:val="18"/>
              </w:rPr>
              <w:t>发生投毒或食物中毒或肠道传染病事件，涉事当学期考核直接为不合格</w:t>
            </w:r>
          </w:p>
        </w:tc>
      </w:tr>
      <w:tr w14:paraId="5932067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79A62CD">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E0CB2E9">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2A897A7">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712F6C10">
            <w:pPr>
              <w:rPr>
                <w:rFonts w:ascii="宋体" w:hAnsi="宋体" w:cs="宋体"/>
                <w:color w:val="auto"/>
                <w:sz w:val="18"/>
                <w:szCs w:val="18"/>
              </w:rPr>
            </w:pPr>
            <w:r>
              <w:rPr>
                <w:rFonts w:ascii="宋体" w:hAnsi="宋体" w:cs="宋体"/>
                <w:color w:val="auto"/>
                <w:sz w:val="18"/>
                <w:szCs w:val="18"/>
              </w:rPr>
              <w:t>6.应坚持《食品及食品原辅材料进货检查验收制度》，建立出入库电子与纸质双台账，如实准确记录名称、规格、数量、生产日期或者生产批号、保质期、进货日期以及供货者名称、地址、联系方式等内容，并保留载有上述信息的相关凭证。</w:t>
            </w:r>
          </w:p>
        </w:tc>
        <w:tc>
          <w:tcPr>
            <w:tcW w:w="709" w:type="dxa"/>
            <w:tcBorders>
              <w:top w:val="single" w:color="auto" w:sz="4" w:space="0"/>
              <w:left w:val="single" w:color="auto" w:sz="4" w:space="0"/>
              <w:bottom w:val="single" w:color="auto" w:sz="4" w:space="0"/>
              <w:right w:val="single" w:color="auto" w:sz="4" w:space="0"/>
            </w:tcBorders>
            <w:vAlign w:val="center"/>
          </w:tcPr>
          <w:p w14:paraId="00C41ED5">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08B82B3">
            <w:pPr>
              <w:rPr>
                <w:rFonts w:ascii="宋体" w:hAnsi="宋体" w:cs="宋体"/>
                <w:color w:val="auto"/>
                <w:sz w:val="18"/>
                <w:szCs w:val="18"/>
              </w:rPr>
            </w:pPr>
            <w:r>
              <w:rPr>
                <w:rFonts w:hint="eastAsia" w:ascii="宋体" w:hAnsi="宋体" w:cs="宋体"/>
                <w:color w:val="auto"/>
                <w:sz w:val="18"/>
                <w:szCs w:val="18"/>
              </w:rPr>
              <w:t>进货未查验每次支付违约金</w:t>
            </w:r>
            <w:r>
              <w:rPr>
                <w:rFonts w:ascii="宋体" w:hAnsi="宋体" w:cs="宋体"/>
                <w:color w:val="auto"/>
                <w:sz w:val="18"/>
                <w:szCs w:val="18"/>
              </w:rPr>
              <w:t>1000元，无台账或台账不全每次支付违约金10000元</w:t>
            </w:r>
          </w:p>
        </w:tc>
        <w:tc>
          <w:tcPr>
            <w:tcW w:w="1559" w:type="dxa"/>
            <w:tcBorders>
              <w:top w:val="single" w:color="auto" w:sz="4" w:space="0"/>
              <w:left w:val="single" w:color="auto" w:sz="4" w:space="0"/>
              <w:bottom w:val="single" w:color="auto" w:sz="4" w:space="0"/>
              <w:right w:val="single" w:color="auto" w:sz="4" w:space="0"/>
            </w:tcBorders>
            <w:vAlign w:val="center"/>
          </w:tcPr>
          <w:p w14:paraId="2A55B962">
            <w:pPr>
              <w:rPr>
                <w:rFonts w:ascii="宋体" w:hAnsi="宋体" w:cs="宋体"/>
                <w:color w:val="auto"/>
                <w:sz w:val="18"/>
                <w:szCs w:val="18"/>
              </w:rPr>
            </w:pPr>
            <w:r>
              <w:rPr>
                <w:rFonts w:hint="eastAsia" w:ascii="宋体" w:hAnsi="宋体" w:cs="宋体"/>
                <w:color w:val="auto"/>
                <w:sz w:val="18"/>
                <w:szCs w:val="18"/>
              </w:rPr>
              <w:t>未查验每次扣</w:t>
            </w:r>
            <w:r>
              <w:rPr>
                <w:rFonts w:ascii="宋体" w:hAnsi="宋体" w:cs="宋体"/>
                <w:color w:val="auto"/>
                <w:sz w:val="18"/>
                <w:szCs w:val="18"/>
              </w:rPr>
              <w:t>1分，无台账或台帐不全每次扣1分</w:t>
            </w:r>
          </w:p>
        </w:tc>
      </w:tr>
      <w:tr w14:paraId="6064F26D">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9E5DFF0">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4B28A901">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675DBD37">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772FFA64">
            <w:pPr>
              <w:rPr>
                <w:rFonts w:ascii="宋体" w:hAnsi="宋体" w:cs="宋体"/>
                <w:color w:val="auto"/>
                <w:sz w:val="18"/>
                <w:szCs w:val="18"/>
              </w:rPr>
            </w:pPr>
            <w:r>
              <w:rPr>
                <w:rFonts w:ascii="宋体" w:hAnsi="宋体" w:cs="宋体"/>
                <w:color w:val="auto"/>
                <w:sz w:val="18"/>
                <w:szCs w:val="18"/>
              </w:rPr>
              <w:t>7.建立食品安全自查制度，定期对食品安全状况进行检查评价。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3888E82">
            <w:pPr>
              <w:rPr>
                <w:rFonts w:ascii="宋体" w:hAnsi="宋体" w:cs="宋体"/>
                <w:color w:val="auto"/>
                <w:sz w:val="18"/>
                <w:szCs w:val="18"/>
              </w:rPr>
            </w:pPr>
            <w:r>
              <w:rPr>
                <w:rFonts w:hint="eastAsia" w:ascii="宋体" w:hAnsi="宋体" w:cs="宋体"/>
                <w:color w:val="auto"/>
                <w:sz w:val="18"/>
                <w:szCs w:val="18"/>
              </w:rPr>
              <w:t>现场</w:t>
            </w:r>
          </w:p>
          <w:p w14:paraId="34E870AE">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5CA67E7">
            <w:pPr>
              <w:rPr>
                <w:rFonts w:ascii="宋体" w:hAnsi="宋体" w:cs="宋体"/>
                <w:color w:val="auto"/>
                <w:sz w:val="18"/>
                <w:szCs w:val="18"/>
              </w:rPr>
            </w:pPr>
            <w:r>
              <w:rPr>
                <w:rFonts w:hint="eastAsia" w:ascii="宋体" w:hAnsi="宋体" w:cs="宋体"/>
                <w:color w:val="auto"/>
                <w:sz w:val="18"/>
                <w:szCs w:val="18"/>
              </w:rPr>
              <w:t>缺制度的支付违约金</w:t>
            </w:r>
            <w:r>
              <w:rPr>
                <w:rFonts w:ascii="宋体" w:hAnsi="宋体" w:cs="宋体"/>
                <w:color w:val="auto"/>
                <w:sz w:val="18"/>
                <w:szCs w:val="18"/>
              </w:rPr>
              <w:t>1000元/次，制度未落实到位支付违约金2000元/次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F563D9A">
            <w:pPr>
              <w:rPr>
                <w:rFonts w:ascii="宋体" w:hAnsi="宋体" w:cs="宋体"/>
                <w:color w:val="auto"/>
                <w:sz w:val="18"/>
                <w:szCs w:val="18"/>
              </w:rPr>
            </w:pPr>
            <w:r>
              <w:rPr>
                <w:rFonts w:hint="eastAsia" w:ascii="宋体" w:hAnsi="宋体" w:cs="宋体"/>
                <w:color w:val="auto"/>
                <w:sz w:val="18"/>
                <w:szCs w:val="18"/>
              </w:rPr>
              <w:t>未建有相应制度扣</w:t>
            </w:r>
            <w:r>
              <w:rPr>
                <w:rFonts w:ascii="宋体" w:hAnsi="宋体" w:cs="宋体"/>
                <w:color w:val="auto"/>
                <w:sz w:val="18"/>
                <w:szCs w:val="18"/>
              </w:rPr>
              <w:t>1分/次；制度未落实到位的扣1分/次</w:t>
            </w:r>
          </w:p>
        </w:tc>
      </w:tr>
      <w:tr w14:paraId="7F11176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67D80C3A">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6BB87F9">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06FDAC2">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26D2A11B">
            <w:pPr>
              <w:rPr>
                <w:rFonts w:ascii="宋体" w:hAnsi="宋体" w:cs="宋体"/>
                <w:color w:val="auto"/>
                <w:sz w:val="18"/>
                <w:szCs w:val="18"/>
              </w:rPr>
            </w:pPr>
            <w:r>
              <w:rPr>
                <w:rFonts w:ascii="宋体" w:hAnsi="宋体" w:cs="宋体"/>
                <w:color w:val="auto"/>
                <w:sz w:val="18"/>
                <w:szCs w:val="18"/>
              </w:rPr>
              <w:t>8.建立健全食品安全管理制度，依法从事生产经营活动。应配备食品安全总监和食品安全员，经考核不具备食品安全管理能力的，不得上岗。实施危害分析与关键控制点体系，提高食品安全管理水平。</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82D211B">
            <w:pPr>
              <w:rPr>
                <w:rFonts w:ascii="宋体" w:hAnsi="宋体" w:cs="宋体"/>
                <w:color w:val="auto"/>
                <w:sz w:val="18"/>
                <w:szCs w:val="18"/>
              </w:rPr>
            </w:pPr>
            <w:r>
              <w:rPr>
                <w:rFonts w:ascii="宋体" w:hAnsi="宋体" w:cs="宋体"/>
                <w:color w:val="auto"/>
                <w:sz w:val="18"/>
                <w:szCs w:val="18"/>
              </w:rPr>
              <w:t>现场</w:t>
            </w:r>
          </w:p>
          <w:p w14:paraId="1A76580C">
            <w:pPr>
              <w:rPr>
                <w:rFonts w:ascii="宋体" w:hAnsi="宋体" w:cs="宋体"/>
                <w:color w:val="auto"/>
                <w:sz w:val="18"/>
                <w:szCs w:val="18"/>
              </w:rPr>
            </w:pPr>
            <w:r>
              <w:rPr>
                <w:rFonts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22EB761">
            <w:pPr>
              <w:rPr>
                <w:rFonts w:ascii="宋体" w:hAnsi="宋体" w:cs="宋体"/>
                <w:color w:val="auto"/>
                <w:sz w:val="18"/>
                <w:szCs w:val="18"/>
              </w:rPr>
            </w:pPr>
            <w:r>
              <w:rPr>
                <w:rFonts w:ascii="宋体" w:hAnsi="宋体" w:cs="宋体"/>
                <w:color w:val="auto"/>
                <w:sz w:val="18"/>
                <w:szCs w:val="18"/>
              </w:rPr>
              <w:t>未建有相应制度</w:t>
            </w:r>
            <w:r>
              <w:rPr>
                <w:rFonts w:hint="eastAsia" w:ascii="宋体" w:hAnsi="宋体" w:cs="宋体"/>
                <w:color w:val="auto"/>
                <w:sz w:val="18"/>
                <w:szCs w:val="18"/>
              </w:rPr>
              <w:t>或制度建立不全</w:t>
            </w:r>
            <w:r>
              <w:rPr>
                <w:rFonts w:ascii="宋体" w:hAnsi="宋体" w:cs="宋体"/>
                <w:color w:val="auto"/>
                <w:sz w:val="18"/>
                <w:szCs w:val="18"/>
              </w:rPr>
              <w:t>的</w:t>
            </w:r>
            <w:r>
              <w:rPr>
                <w:rFonts w:hint="eastAsia" w:ascii="宋体" w:hAnsi="宋体" w:cs="宋体"/>
                <w:color w:val="auto"/>
                <w:sz w:val="18"/>
                <w:szCs w:val="18"/>
              </w:rPr>
              <w:t>支付违约金</w:t>
            </w:r>
            <w:r>
              <w:rPr>
                <w:rFonts w:ascii="宋体" w:hAnsi="宋体" w:cs="宋体"/>
                <w:color w:val="auto"/>
                <w:sz w:val="18"/>
                <w:szCs w:val="18"/>
              </w:rPr>
              <w:t>2000元/次，制度未落实到位</w:t>
            </w:r>
            <w:r>
              <w:rPr>
                <w:rFonts w:hint="eastAsia" w:ascii="宋体" w:hAnsi="宋体" w:cs="宋体"/>
                <w:color w:val="auto"/>
                <w:sz w:val="18"/>
                <w:szCs w:val="18"/>
              </w:rPr>
              <w:t>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3B565DC">
            <w:pPr>
              <w:rPr>
                <w:rFonts w:ascii="宋体" w:hAnsi="宋体" w:cs="宋体"/>
                <w:color w:val="auto"/>
                <w:sz w:val="18"/>
                <w:szCs w:val="18"/>
              </w:rPr>
            </w:pPr>
            <w:r>
              <w:rPr>
                <w:rFonts w:ascii="宋体" w:hAnsi="宋体" w:cs="宋体"/>
                <w:color w:val="auto"/>
                <w:sz w:val="18"/>
                <w:szCs w:val="18"/>
              </w:rPr>
              <w:t>未建有相应制度</w:t>
            </w:r>
            <w:r>
              <w:rPr>
                <w:rFonts w:hint="eastAsia" w:ascii="宋体" w:hAnsi="宋体" w:cs="宋体"/>
                <w:color w:val="auto"/>
                <w:sz w:val="18"/>
                <w:szCs w:val="18"/>
              </w:rPr>
              <w:t>或制度建立不全</w:t>
            </w:r>
            <w:r>
              <w:rPr>
                <w:rFonts w:ascii="宋体" w:hAnsi="宋体" w:cs="宋体"/>
                <w:color w:val="auto"/>
                <w:sz w:val="18"/>
                <w:szCs w:val="18"/>
              </w:rPr>
              <w:t>扣2分/次；制度未落实到位的扣1分/次</w:t>
            </w:r>
          </w:p>
        </w:tc>
      </w:tr>
      <w:tr w14:paraId="5D5FF067">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2F2E6D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C38678A">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1CECB5C">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6D71F324">
            <w:pPr>
              <w:rPr>
                <w:rFonts w:ascii="宋体" w:hAnsi="宋体" w:cs="宋体"/>
                <w:color w:val="auto"/>
                <w:sz w:val="18"/>
                <w:szCs w:val="18"/>
              </w:rPr>
            </w:pPr>
            <w:r>
              <w:rPr>
                <w:rFonts w:ascii="宋体" w:hAnsi="宋体" w:cs="宋体"/>
                <w:color w:val="auto"/>
                <w:sz w:val="18"/>
                <w:szCs w:val="18"/>
              </w:rPr>
              <w:t>9.项目管理班子成员配置齐全，并明确职责。</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054A54">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F5FDD41">
            <w:pPr>
              <w:rPr>
                <w:rFonts w:ascii="宋体" w:hAnsi="宋体" w:cs="宋体"/>
                <w:color w:val="auto"/>
                <w:sz w:val="18"/>
                <w:szCs w:val="18"/>
              </w:rPr>
            </w:pPr>
            <w:r>
              <w:rPr>
                <w:rFonts w:hint="eastAsia" w:ascii="宋体" w:hAnsi="宋体" w:cs="宋体"/>
                <w:color w:val="auto"/>
                <w:sz w:val="18"/>
                <w:szCs w:val="18"/>
              </w:rPr>
              <w:t>未配置齐全或擅自更换项目管理班子成员每次支付违约金</w:t>
            </w:r>
            <w:r>
              <w:rPr>
                <w:rFonts w:ascii="宋体" w:hAnsi="宋体" w:cs="宋体"/>
                <w:color w:val="auto"/>
                <w:sz w:val="18"/>
                <w:szCs w:val="18"/>
              </w:rPr>
              <w:t>50000元/人</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D7CAB15">
            <w:pPr>
              <w:rPr>
                <w:rFonts w:ascii="宋体" w:hAnsi="宋体" w:cs="宋体"/>
                <w:color w:val="auto"/>
                <w:sz w:val="18"/>
                <w:szCs w:val="18"/>
              </w:rPr>
            </w:pPr>
            <w:r>
              <w:rPr>
                <w:rFonts w:hint="eastAsia" w:ascii="宋体" w:hAnsi="宋体" w:cs="宋体"/>
                <w:color w:val="auto"/>
                <w:sz w:val="18"/>
                <w:szCs w:val="18"/>
              </w:rPr>
              <w:t>未配置齐全或擅自更换项目管理班子成员每次扣</w:t>
            </w:r>
            <w:r>
              <w:rPr>
                <w:rFonts w:ascii="宋体" w:hAnsi="宋体" w:cs="宋体"/>
                <w:color w:val="auto"/>
                <w:sz w:val="18"/>
                <w:szCs w:val="18"/>
              </w:rPr>
              <w:t>5分/人</w:t>
            </w:r>
          </w:p>
        </w:tc>
      </w:tr>
      <w:tr w14:paraId="3D04192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27EF9B3">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B8D72C8">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vAlign w:val="center"/>
          </w:tcPr>
          <w:p w14:paraId="4C53A96B">
            <w:pPr>
              <w:rPr>
                <w:rFonts w:ascii="宋体" w:hAnsi="宋体" w:cs="宋体"/>
                <w:color w:val="auto"/>
                <w:sz w:val="18"/>
                <w:szCs w:val="18"/>
              </w:rPr>
            </w:pPr>
            <w:r>
              <w:rPr>
                <w:rFonts w:hint="eastAsia" w:ascii="宋体" w:hAnsi="宋体" w:cs="宋体"/>
                <w:color w:val="auto"/>
                <w:sz w:val="18"/>
                <w:szCs w:val="18"/>
              </w:rPr>
              <w:t>消防安全</w:t>
            </w:r>
          </w:p>
        </w:tc>
        <w:tc>
          <w:tcPr>
            <w:tcW w:w="3350" w:type="dxa"/>
            <w:tcBorders>
              <w:top w:val="single" w:color="auto" w:sz="4" w:space="0"/>
              <w:left w:val="single" w:color="auto" w:sz="4" w:space="0"/>
              <w:bottom w:val="single" w:color="auto" w:sz="4" w:space="0"/>
              <w:right w:val="single" w:color="auto" w:sz="4" w:space="0"/>
            </w:tcBorders>
            <w:vAlign w:val="center"/>
          </w:tcPr>
          <w:p w14:paraId="7CB76FC6">
            <w:pPr>
              <w:rPr>
                <w:rFonts w:ascii="宋体" w:hAnsi="宋体" w:cs="宋体"/>
                <w:color w:val="auto"/>
                <w:sz w:val="18"/>
                <w:szCs w:val="18"/>
              </w:rPr>
            </w:pPr>
            <w:r>
              <w:rPr>
                <w:rFonts w:ascii="宋体" w:hAnsi="宋体" w:cs="宋体"/>
                <w:color w:val="auto"/>
                <w:sz w:val="18"/>
                <w:szCs w:val="18"/>
              </w:rPr>
              <w:t>10.应保障食堂各项消防设施齐全、完好，每天进行检查并作好检查记录。</w:t>
            </w:r>
          </w:p>
        </w:tc>
        <w:tc>
          <w:tcPr>
            <w:tcW w:w="709" w:type="dxa"/>
            <w:tcBorders>
              <w:top w:val="single" w:color="auto" w:sz="4" w:space="0"/>
              <w:left w:val="single" w:color="auto" w:sz="4" w:space="0"/>
              <w:bottom w:val="single" w:color="auto" w:sz="4" w:space="0"/>
              <w:right w:val="single" w:color="auto" w:sz="4" w:space="0"/>
            </w:tcBorders>
            <w:vAlign w:val="center"/>
          </w:tcPr>
          <w:p w14:paraId="73C6FC64">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00AF2C53">
            <w:pPr>
              <w:rPr>
                <w:rFonts w:ascii="宋体" w:hAnsi="宋体" w:cs="宋体"/>
                <w:color w:val="auto"/>
                <w:sz w:val="18"/>
                <w:szCs w:val="18"/>
              </w:rPr>
            </w:pPr>
            <w:r>
              <w:rPr>
                <w:rFonts w:hint="eastAsia" w:ascii="宋体" w:hAnsi="宋体" w:cs="宋体"/>
                <w:color w:val="auto"/>
                <w:sz w:val="18"/>
                <w:szCs w:val="18"/>
              </w:rPr>
              <w:t>设施损坏或无检查记录或记录不全支付违约金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vAlign w:val="center"/>
          </w:tcPr>
          <w:p w14:paraId="7B83DCDB">
            <w:pPr>
              <w:rPr>
                <w:rFonts w:ascii="宋体" w:hAnsi="宋体" w:cs="宋体"/>
                <w:color w:val="auto"/>
                <w:sz w:val="18"/>
                <w:szCs w:val="18"/>
              </w:rPr>
            </w:pPr>
            <w:r>
              <w:rPr>
                <w:rFonts w:hint="eastAsia" w:ascii="宋体" w:hAnsi="宋体" w:cs="宋体"/>
                <w:color w:val="auto"/>
                <w:sz w:val="18"/>
                <w:szCs w:val="18"/>
              </w:rPr>
              <w:t>设施损坏或无检查记录或记录不全扣</w:t>
            </w:r>
            <w:r>
              <w:rPr>
                <w:rFonts w:ascii="宋体" w:hAnsi="宋体" w:cs="宋体"/>
                <w:color w:val="auto"/>
                <w:sz w:val="18"/>
                <w:szCs w:val="18"/>
              </w:rPr>
              <w:t>1分/次</w:t>
            </w:r>
          </w:p>
        </w:tc>
      </w:tr>
      <w:tr w14:paraId="13E954D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ACACBD6">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0E72FAD">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1EEDBDA0">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20D21054">
            <w:pPr>
              <w:rPr>
                <w:rFonts w:ascii="宋体" w:hAnsi="宋体" w:cs="宋体"/>
                <w:color w:val="auto"/>
                <w:sz w:val="18"/>
                <w:szCs w:val="18"/>
              </w:rPr>
            </w:pPr>
            <w:r>
              <w:rPr>
                <w:rFonts w:ascii="宋体" w:hAnsi="宋体" w:cs="宋体"/>
                <w:color w:val="auto"/>
                <w:sz w:val="18"/>
                <w:szCs w:val="18"/>
              </w:rPr>
              <w:t>11.应规范、安全用电，严禁私拉电线</w:t>
            </w:r>
          </w:p>
        </w:tc>
        <w:tc>
          <w:tcPr>
            <w:tcW w:w="709" w:type="dxa"/>
            <w:tcBorders>
              <w:top w:val="single" w:color="auto" w:sz="4" w:space="0"/>
              <w:left w:val="single" w:color="auto" w:sz="4" w:space="0"/>
              <w:bottom w:val="single" w:color="auto" w:sz="4" w:space="0"/>
              <w:right w:val="single" w:color="auto" w:sz="4" w:space="0"/>
            </w:tcBorders>
            <w:vAlign w:val="center"/>
          </w:tcPr>
          <w:p w14:paraId="5B5F9B7B">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30409B8A">
            <w:pPr>
              <w:rPr>
                <w:rFonts w:ascii="宋体" w:hAnsi="宋体" w:cs="宋体"/>
                <w:color w:val="auto"/>
                <w:sz w:val="18"/>
                <w:szCs w:val="18"/>
              </w:rPr>
            </w:pPr>
            <w:r>
              <w:rPr>
                <w:rFonts w:hint="eastAsia" w:ascii="宋体" w:hAnsi="宋体" w:cs="宋体"/>
                <w:color w:val="auto"/>
                <w:sz w:val="18"/>
                <w:szCs w:val="18"/>
              </w:rPr>
              <w:t>私拉电线每次支付违约金</w:t>
            </w:r>
            <w:r>
              <w:rPr>
                <w:rFonts w:ascii="宋体" w:hAnsi="宋体" w:cs="宋体"/>
                <w:color w:val="auto"/>
                <w:sz w:val="18"/>
                <w:szCs w:val="18"/>
              </w:rPr>
              <w:t>1000元/处</w:t>
            </w:r>
          </w:p>
        </w:tc>
        <w:tc>
          <w:tcPr>
            <w:tcW w:w="1559" w:type="dxa"/>
            <w:tcBorders>
              <w:top w:val="single" w:color="auto" w:sz="4" w:space="0"/>
              <w:left w:val="single" w:color="auto" w:sz="4" w:space="0"/>
              <w:bottom w:val="single" w:color="auto" w:sz="4" w:space="0"/>
              <w:right w:val="single" w:color="auto" w:sz="4" w:space="0"/>
            </w:tcBorders>
            <w:vAlign w:val="center"/>
          </w:tcPr>
          <w:p w14:paraId="00571DC1">
            <w:pPr>
              <w:rPr>
                <w:rFonts w:ascii="宋体" w:hAnsi="宋体" w:cs="宋体"/>
                <w:color w:val="auto"/>
                <w:sz w:val="18"/>
                <w:szCs w:val="18"/>
              </w:rPr>
            </w:pPr>
            <w:r>
              <w:rPr>
                <w:rFonts w:hint="eastAsia" w:ascii="宋体" w:hAnsi="宋体" w:cs="宋体"/>
                <w:color w:val="auto"/>
                <w:sz w:val="18"/>
                <w:szCs w:val="18"/>
              </w:rPr>
              <w:t>私拉电线每次扣</w:t>
            </w:r>
            <w:r>
              <w:rPr>
                <w:rFonts w:ascii="宋体" w:hAnsi="宋体" w:cs="宋体"/>
                <w:color w:val="auto"/>
                <w:sz w:val="18"/>
                <w:szCs w:val="18"/>
              </w:rPr>
              <w:t>1分/处</w:t>
            </w:r>
          </w:p>
        </w:tc>
      </w:tr>
      <w:tr w14:paraId="230E26D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27AB493">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FF4799F">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3BAE4FD">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4D7D50FC">
            <w:pPr>
              <w:rPr>
                <w:rFonts w:ascii="宋体" w:hAnsi="宋体" w:cs="宋体"/>
                <w:color w:val="auto"/>
                <w:sz w:val="18"/>
                <w:szCs w:val="18"/>
              </w:rPr>
            </w:pPr>
            <w:r>
              <w:rPr>
                <w:rFonts w:ascii="宋体" w:hAnsi="宋体" w:cs="宋体"/>
                <w:color w:val="auto"/>
                <w:sz w:val="18"/>
                <w:szCs w:val="18"/>
              </w:rPr>
              <w:t>12.应培训员工掌握正确使用天然气的方法，注意防漏、防爆、防火，使用后关好气阀，确保安全</w:t>
            </w:r>
          </w:p>
        </w:tc>
        <w:tc>
          <w:tcPr>
            <w:tcW w:w="709" w:type="dxa"/>
            <w:tcBorders>
              <w:top w:val="single" w:color="auto" w:sz="4" w:space="0"/>
              <w:left w:val="single" w:color="auto" w:sz="4" w:space="0"/>
              <w:bottom w:val="single" w:color="auto" w:sz="4" w:space="0"/>
              <w:right w:val="single" w:color="auto" w:sz="4" w:space="0"/>
            </w:tcBorders>
            <w:vAlign w:val="center"/>
          </w:tcPr>
          <w:p w14:paraId="30020C8B">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88A09FA">
            <w:pPr>
              <w:rPr>
                <w:rFonts w:ascii="宋体" w:hAnsi="宋体" w:cs="宋体"/>
                <w:color w:val="auto"/>
                <w:sz w:val="18"/>
                <w:szCs w:val="18"/>
              </w:rPr>
            </w:pPr>
            <w:r>
              <w:rPr>
                <w:rFonts w:hint="eastAsia" w:ascii="宋体" w:hAnsi="宋体" w:cs="宋体"/>
                <w:color w:val="auto"/>
                <w:sz w:val="18"/>
                <w:szCs w:val="18"/>
              </w:rPr>
              <w:t>食堂出现用气安全事故一次支付违约金不低于</w:t>
            </w:r>
            <w:r>
              <w:rPr>
                <w:rFonts w:ascii="宋体" w:hAnsi="宋体" w:cs="宋体"/>
                <w:color w:val="auto"/>
                <w:sz w:val="18"/>
                <w:szCs w:val="18"/>
              </w:rPr>
              <w:t>10000元，食堂出现一般起火一次支付违约金10000元。出现较大消防安全事故的，</w:t>
            </w:r>
            <w:r>
              <w:rPr>
                <w:rFonts w:hint="eastAsia" w:ascii="宋体" w:hAnsi="宋体" w:cs="宋体"/>
                <w:color w:val="auto"/>
                <w:sz w:val="18"/>
                <w:szCs w:val="18"/>
              </w:rPr>
              <w:t>成交商受到政府职能部门行政处罚的，应向采购人支付</w:t>
            </w:r>
            <w:r>
              <w:rPr>
                <w:rFonts w:ascii="宋体" w:hAnsi="宋体" w:cs="宋体"/>
                <w:color w:val="auto"/>
                <w:sz w:val="18"/>
                <w:szCs w:val="18"/>
              </w:rPr>
              <w:t>10000元/次的合同违约金；若同时受到经济处罚的，应向采购人支付同等金额的合同违约金。还应再承担违约金20000元/次，采购人有权追究相关责任人经济和法律责任。</w:t>
            </w:r>
          </w:p>
        </w:tc>
        <w:tc>
          <w:tcPr>
            <w:tcW w:w="1559" w:type="dxa"/>
            <w:tcBorders>
              <w:top w:val="single" w:color="auto" w:sz="4" w:space="0"/>
              <w:left w:val="single" w:color="auto" w:sz="4" w:space="0"/>
              <w:bottom w:val="single" w:color="auto" w:sz="4" w:space="0"/>
              <w:right w:val="single" w:color="auto" w:sz="4" w:space="0"/>
            </w:tcBorders>
            <w:vAlign w:val="center"/>
          </w:tcPr>
          <w:p w14:paraId="1D17E7C0">
            <w:pPr>
              <w:rPr>
                <w:rFonts w:ascii="宋体" w:hAnsi="宋体" w:cs="宋体"/>
                <w:color w:val="auto"/>
                <w:sz w:val="18"/>
                <w:szCs w:val="18"/>
              </w:rPr>
            </w:pPr>
            <w:r>
              <w:rPr>
                <w:rFonts w:hint="eastAsia" w:ascii="宋体" w:hAnsi="宋体" w:cs="宋体"/>
                <w:color w:val="auto"/>
                <w:sz w:val="18"/>
                <w:szCs w:val="18"/>
              </w:rPr>
              <w:t>一般起火：未造成损失且未出动消防部门每次扣</w:t>
            </w:r>
            <w:r>
              <w:rPr>
                <w:rFonts w:ascii="宋体" w:hAnsi="宋体" w:cs="宋体"/>
                <w:color w:val="auto"/>
                <w:sz w:val="18"/>
                <w:szCs w:val="18"/>
              </w:rPr>
              <w:t>5分。</w:t>
            </w:r>
          </w:p>
          <w:p w14:paraId="0AF5F591">
            <w:pPr>
              <w:rPr>
                <w:rFonts w:ascii="宋体" w:hAnsi="宋体" w:cs="宋体"/>
                <w:color w:val="auto"/>
                <w:sz w:val="18"/>
                <w:szCs w:val="18"/>
              </w:rPr>
            </w:pPr>
            <w:r>
              <w:rPr>
                <w:rFonts w:hint="eastAsia" w:ascii="宋体" w:hAnsi="宋体" w:cs="宋体"/>
                <w:color w:val="auto"/>
                <w:sz w:val="18"/>
                <w:szCs w:val="18"/>
              </w:rPr>
              <w:t>较大消防安全事故：造成损失或出动消防部门，涉事当学期考核直接为不合格。</w:t>
            </w:r>
          </w:p>
        </w:tc>
      </w:tr>
      <w:tr w14:paraId="1DEB6E9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73C9FF4">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99DB80C">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76EC52C5">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63C3EF6A">
            <w:pPr>
              <w:rPr>
                <w:rFonts w:ascii="宋体" w:hAnsi="宋体" w:cs="宋体"/>
                <w:color w:val="auto"/>
                <w:sz w:val="18"/>
                <w:szCs w:val="18"/>
              </w:rPr>
            </w:pPr>
            <w:r>
              <w:rPr>
                <w:rFonts w:ascii="宋体" w:hAnsi="宋体" w:cs="宋体"/>
                <w:color w:val="auto"/>
                <w:sz w:val="18"/>
                <w:szCs w:val="18"/>
              </w:rPr>
              <w:t>13、应组织员工培训消防自防自救常识和安全逃生技能，不断提升员工消防应</w:t>
            </w:r>
            <w:r>
              <w:rPr>
                <w:rFonts w:hint="eastAsia" w:ascii="宋体" w:hAnsi="宋体" w:cs="宋体"/>
                <w:color w:val="auto"/>
                <w:sz w:val="18"/>
                <w:szCs w:val="18"/>
              </w:rPr>
              <w:t>急处置能力，每学期应至少组织一次消防实战演练和考核。</w:t>
            </w:r>
          </w:p>
        </w:tc>
        <w:tc>
          <w:tcPr>
            <w:tcW w:w="709" w:type="dxa"/>
            <w:tcBorders>
              <w:top w:val="single" w:color="auto" w:sz="4" w:space="0"/>
              <w:left w:val="single" w:color="auto" w:sz="4" w:space="0"/>
              <w:bottom w:val="single" w:color="auto" w:sz="4" w:space="0"/>
              <w:right w:val="single" w:color="auto" w:sz="4" w:space="0"/>
            </w:tcBorders>
            <w:vAlign w:val="center"/>
          </w:tcPr>
          <w:p w14:paraId="3E56200D">
            <w:pPr>
              <w:rPr>
                <w:rFonts w:ascii="宋体" w:hAnsi="宋体" w:cs="宋体"/>
                <w:color w:val="auto"/>
                <w:sz w:val="18"/>
                <w:szCs w:val="18"/>
              </w:rPr>
            </w:pPr>
            <w:r>
              <w:rPr>
                <w:rFonts w:hint="eastAsia" w:ascii="宋体" w:hAnsi="宋体" w:cs="宋体"/>
                <w:color w:val="auto"/>
                <w:sz w:val="18"/>
                <w:szCs w:val="18"/>
              </w:rPr>
              <w:t>查看记录</w:t>
            </w:r>
          </w:p>
        </w:tc>
        <w:tc>
          <w:tcPr>
            <w:tcW w:w="2693" w:type="dxa"/>
            <w:tcBorders>
              <w:top w:val="single" w:color="auto" w:sz="4" w:space="0"/>
              <w:left w:val="single" w:color="auto" w:sz="4" w:space="0"/>
              <w:bottom w:val="single" w:color="auto" w:sz="4" w:space="0"/>
              <w:right w:val="single" w:color="auto" w:sz="4" w:space="0"/>
            </w:tcBorders>
            <w:vAlign w:val="center"/>
          </w:tcPr>
          <w:p w14:paraId="3366351D">
            <w:pPr>
              <w:rPr>
                <w:rFonts w:ascii="宋体" w:hAnsi="宋体" w:cs="宋体"/>
                <w:color w:val="auto"/>
                <w:sz w:val="18"/>
                <w:szCs w:val="18"/>
              </w:rPr>
            </w:pPr>
            <w:r>
              <w:rPr>
                <w:rFonts w:hint="eastAsia" w:ascii="宋体" w:hAnsi="宋体" w:cs="宋体"/>
                <w:color w:val="auto"/>
                <w:sz w:val="18"/>
                <w:szCs w:val="18"/>
              </w:rPr>
              <w:t>无培训记录的支付违约金</w:t>
            </w:r>
            <w:r>
              <w:rPr>
                <w:rFonts w:ascii="宋体" w:hAnsi="宋体" w:cs="宋体"/>
                <w:color w:val="auto"/>
                <w:sz w:val="18"/>
                <w:szCs w:val="18"/>
              </w:rPr>
              <w:t>1000元，无消防演练材料支付违约金5000元</w:t>
            </w:r>
          </w:p>
        </w:tc>
        <w:tc>
          <w:tcPr>
            <w:tcW w:w="1559" w:type="dxa"/>
            <w:tcBorders>
              <w:top w:val="single" w:color="auto" w:sz="4" w:space="0"/>
              <w:left w:val="single" w:color="auto" w:sz="4" w:space="0"/>
              <w:bottom w:val="single" w:color="auto" w:sz="4" w:space="0"/>
              <w:right w:val="single" w:color="auto" w:sz="4" w:space="0"/>
            </w:tcBorders>
            <w:vAlign w:val="center"/>
          </w:tcPr>
          <w:p w14:paraId="0E77AF38">
            <w:pPr>
              <w:rPr>
                <w:rFonts w:ascii="宋体" w:hAnsi="宋体" w:cs="宋体"/>
                <w:color w:val="auto"/>
                <w:sz w:val="18"/>
                <w:szCs w:val="18"/>
              </w:rPr>
            </w:pPr>
            <w:r>
              <w:rPr>
                <w:rFonts w:hint="eastAsia" w:ascii="宋体" w:hAnsi="宋体" w:cs="宋体"/>
                <w:color w:val="auto"/>
                <w:sz w:val="18"/>
                <w:szCs w:val="18"/>
              </w:rPr>
              <w:t>无培训记录或记录不全每次扣</w:t>
            </w:r>
            <w:r>
              <w:rPr>
                <w:rFonts w:ascii="宋体" w:hAnsi="宋体" w:cs="宋体"/>
                <w:color w:val="auto"/>
                <w:sz w:val="18"/>
                <w:szCs w:val="18"/>
              </w:rPr>
              <w:t>1</w:t>
            </w:r>
            <w:r>
              <w:rPr>
                <w:rFonts w:hint="eastAsia" w:ascii="宋体" w:hAnsi="宋体" w:cs="宋体"/>
                <w:color w:val="auto"/>
                <w:sz w:val="18"/>
                <w:szCs w:val="18"/>
              </w:rPr>
              <w:t>分，无消防演练材料或消防演练材料不全每次扣</w:t>
            </w:r>
            <w:r>
              <w:rPr>
                <w:rFonts w:ascii="宋体" w:hAnsi="宋体" w:cs="宋体"/>
                <w:color w:val="auto"/>
                <w:sz w:val="18"/>
                <w:szCs w:val="18"/>
              </w:rPr>
              <w:t>5分</w:t>
            </w:r>
          </w:p>
        </w:tc>
      </w:tr>
      <w:tr w14:paraId="3D722288">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ADE6BAD">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76BEA88">
            <w:pPr>
              <w:rPr>
                <w:rFonts w:ascii="宋体" w:hAnsi="宋体" w:cs="宋体"/>
                <w:color w:val="auto"/>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14:paraId="36F92712">
            <w:pPr>
              <w:rPr>
                <w:rFonts w:ascii="宋体" w:hAnsi="宋体" w:cs="宋体"/>
                <w:color w:val="auto"/>
                <w:sz w:val="18"/>
                <w:szCs w:val="18"/>
              </w:rPr>
            </w:pPr>
            <w:r>
              <w:rPr>
                <w:rFonts w:hint="eastAsia" w:ascii="宋体" w:hAnsi="宋体" w:cs="宋体"/>
                <w:color w:val="auto"/>
                <w:sz w:val="18"/>
                <w:szCs w:val="18"/>
              </w:rPr>
              <w:t>其他安全</w:t>
            </w:r>
          </w:p>
        </w:tc>
        <w:tc>
          <w:tcPr>
            <w:tcW w:w="3350" w:type="dxa"/>
            <w:tcBorders>
              <w:top w:val="single" w:color="auto" w:sz="4" w:space="0"/>
              <w:left w:val="single" w:color="auto" w:sz="4" w:space="0"/>
              <w:bottom w:val="single" w:color="auto" w:sz="4" w:space="0"/>
              <w:right w:val="single" w:color="auto" w:sz="4" w:space="0"/>
            </w:tcBorders>
            <w:vAlign w:val="center"/>
          </w:tcPr>
          <w:p w14:paraId="5363E7B4">
            <w:pPr>
              <w:rPr>
                <w:rFonts w:ascii="宋体" w:hAnsi="宋体" w:cs="宋体"/>
                <w:color w:val="auto"/>
                <w:sz w:val="18"/>
                <w:szCs w:val="18"/>
              </w:rPr>
            </w:pPr>
            <w:r>
              <w:rPr>
                <w:rFonts w:ascii="宋体" w:hAnsi="宋体" w:cs="宋体"/>
                <w:color w:val="auto"/>
                <w:sz w:val="18"/>
                <w:szCs w:val="18"/>
              </w:rPr>
              <w:t>14.应安排专人管理和保护好学校固定资产的安全</w:t>
            </w:r>
          </w:p>
        </w:tc>
        <w:tc>
          <w:tcPr>
            <w:tcW w:w="709" w:type="dxa"/>
            <w:tcBorders>
              <w:top w:val="single" w:color="auto" w:sz="4" w:space="0"/>
              <w:left w:val="single" w:color="auto" w:sz="4" w:space="0"/>
              <w:bottom w:val="single" w:color="auto" w:sz="4" w:space="0"/>
              <w:right w:val="single" w:color="auto" w:sz="4" w:space="0"/>
            </w:tcBorders>
            <w:vAlign w:val="center"/>
          </w:tcPr>
          <w:p w14:paraId="771FFA99">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726EC85E">
            <w:pPr>
              <w:rPr>
                <w:rFonts w:ascii="宋体" w:hAnsi="宋体" w:cs="宋体"/>
                <w:color w:val="auto"/>
                <w:sz w:val="18"/>
                <w:szCs w:val="18"/>
              </w:rPr>
            </w:pPr>
            <w:r>
              <w:rPr>
                <w:rFonts w:hint="eastAsia" w:ascii="宋体" w:hAnsi="宋体" w:cs="宋体"/>
                <w:color w:val="auto"/>
                <w:sz w:val="18"/>
                <w:szCs w:val="18"/>
              </w:rPr>
              <w:t>资产损坏未及时修复的支付违约金</w:t>
            </w:r>
            <w:r>
              <w:rPr>
                <w:rFonts w:ascii="宋体" w:hAnsi="宋体" w:cs="宋体"/>
                <w:color w:val="auto"/>
                <w:sz w:val="18"/>
                <w:szCs w:val="18"/>
              </w:rPr>
              <w:t>1000元/件</w:t>
            </w:r>
          </w:p>
          <w:p w14:paraId="50866F6E">
            <w:pPr>
              <w:rPr>
                <w:rFonts w:ascii="宋体" w:hAnsi="宋体" w:cs="宋体"/>
                <w:color w:val="auto"/>
                <w:sz w:val="18"/>
                <w:szCs w:val="18"/>
              </w:rPr>
            </w:pPr>
            <w:r>
              <w:rPr>
                <w:rFonts w:hint="eastAsia" w:ascii="宋体" w:hAnsi="宋体" w:cs="宋体"/>
                <w:color w:val="auto"/>
                <w:sz w:val="18"/>
                <w:szCs w:val="18"/>
              </w:rPr>
              <w:t>按照学校有关固定资产的相关规定除赔偿损失外，另支付违约金</w:t>
            </w:r>
            <w:r>
              <w:rPr>
                <w:rFonts w:ascii="宋体" w:hAnsi="宋体" w:cs="宋体"/>
                <w:color w:val="auto"/>
                <w:sz w:val="18"/>
                <w:szCs w:val="18"/>
              </w:rPr>
              <w:t>2000元/件</w:t>
            </w:r>
          </w:p>
        </w:tc>
        <w:tc>
          <w:tcPr>
            <w:tcW w:w="1559" w:type="dxa"/>
            <w:tcBorders>
              <w:top w:val="single" w:color="auto" w:sz="4" w:space="0"/>
              <w:left w:val="single" w:color="auto" w:sz="4" w:space="0"/>
              <w:bottom w:val="single" w:color="auto" w:sz="4" w:space="0"/>
              <w:right w:val="single" w:color="auto" w:sz="4" w:space="0"/>
            </w:tcBorders>
            <w:vAlign w:val="center"/>
          </w:tcPr>
          <w:p w14:paraId="7D67DD27">
            <w:pPr>
              <w:rPr>
                <w:rFonts w:ascii="宋体" w:hAnsi="宋体" w:cs="宋体"/>
                <w:color w:val="auto"/>
                <w:sz w:val="18"/>
                <w:szCs w:val="18"/>
              </w:rPr>
            </w:pPr>
            <w:r>
              <w:rPr>
                <w:rFonts w:hint="eastAsia" w:ascii="宋体" w:hAnsi="宋体" w:cs="宋体"/>
                <w:color w:val="auto"/>
                <w:sz w:val="18"/>
                <w:szCs w:val="18"/>
              </w:rPr>
              <w:t>资产损坏未及时修复的扣</w:t>
            </w:r>
            <w:r>
              <w:rPr>
                <w:rFonts w:ascii="宋体" w:hAnsi="宋体" w:cs="宋体"/>
                <w:color w:val="auto"/>
                <w:sz w:val="18"/>
                <w:szCs w:val="18"/>
              </w:rPr>
              <w:t xml:space="preserve">1分/件，资产遗失的扣2分/件 </w:t>
            </w:r>
          </w:p>
        </w:tc>
      </w:tr>
      <w:tr w14:paraId="0C15D61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3444A4B">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ADF3E6B">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vAlign w:val="center"/>
          </w:tcPr>
          <w:p w14:paraId="0A6317DA">
            <w:pPr>
              <w:rPr>
                <w:rFonts w:ascii="宋体" w:hAnsi="宋体" w:cs="宋体"/>
                <w:color w:val="auto"/>
                <w:sz w:val="18"/>
                <w:szCs w:val="18"/>
              </w:rPr>
            </w:pPr>
            <w:r>
              <w:rPr>
                <w:rFonts w:hint="eastAsia" w:ascii="宋体" w:hAnsi="宋体" w:cs="宋体"/>
                <w:color w:val="auto"/>
                <w:sz w:val="18"/>
                <w:szCs w:val="18"/>
              </w:rPr>
              <w:t>事故预防制度</w:t>
            </w:r>
          </w:p>
        </w:tc>
        <w:tc>
          <w:tcPr>
            <w:tcW w:w="3350" w:type="dxa"/>
            <w:tcBorders>
              <w:top w:val="single" w:color="auto" w:sz="4" w:space="0"/>
              <w:left w:val="single" w:color="auto" w:sz="4" w:space="0"/>
              <w:bottom w:val="single" w:color="auto" w:sz="4" w:space="0"/>
              <w:right w:val="single" w:color="auto" w:sz="4" w:space="0"/>
            </w:tcBorders>
            <w:vAlign w:val="center"/>
          </w:tcPr>
          <w:p w14:paraId="4F2C022F">
            <w:pPr>
              <w:rPr>
                <w:rFonts w:ascii="宋体" w:hAnsi="宋体" w:cs="宋体"/>
                <w:color w:val="auto"/>
                <w:sz w:val="18"/>
                <w:szCs w:val="18"/>
              </w:rPr>
            </w:pPr>
            <w:r>
              <w:rPr>
                <w:rFonts w:ascii="宋体" w:hAnsi="宋体" w:cs="宋体"/>
                <w:color w:val="auto"/>
                <w:sz w:val="18"/>
                <w:szCs w:val="18"/>
              </w:rPr>
              <w:t>15.应对从业人员进行卫生安全知识培训，建有预防食物中毒事故预案及突发安全事件预案</w:t>
            </w:r>
          </w:p>
        </w:tc>
        <w:tc>
          <w:tcPr>
            <w:tcW w:w="709" w:type="dxa"/>
            <w:tcBorders>
              <w:top w:val="single" w:color="auto" w:sz="4" w:space="0"/>
              <w:left w:val="single" w:color="auto" w:sz="4" w:space="0"/>
              <w:bottom w:val="single" w:color="auto" w:sz="4" w:space="0"/>
              <w:right w:val="single" w:color="auto" w:sz="4" w:space="0"/>
            </w:tcBorders>
            <w:vAlign w:val="center"/>
          </w:tcPr>
          <w:p w14:paraId="42462296">
            <w:pPr>
              <w:rPr>
                <w:rFonts w:ascii="宋体" w:hAnsi="宋体" w:cs="宋体"/>
                <w:color w:val="auto"/>
                <w:sz w:val="18"/>
                <w:szCs w:val="18"/>
              </w:rPr>
            </w:pPr>
            <w:r>
              <w:rPr>
                <w:rFonts w:hint="eastAsia" w:ascii="宋体" w:hAnsi="宋体" w:cs="宋体"/>
                <w:color w:val="auto"/>
                <w:sz w:val="18"/>
                <w:szCs w:val="18"/>
              </w:rPr>
              <w:t>查看制度</w:t>
            </w:r>
          </w:p>
        </w:tc>
        <w:tc>
          <w:tcPr>
            <w:tcW w:w="2693" w:type="dxa"/>
            <w:tcBorders>
              <w:top w:val="single" w:color="auto" w:sz="4" w:space="0"/>
              <w:left w:val="single" w:color="auto" w:sz="4" w:space="0"/>
              <w:bottom w:val="single" w:color="auto" w:sz="4" w:space="0"/>
              <w:right w:val="single" w:color="auto" w:sz="4" w:space="0"/>
            </w:tcBorders>
            <w:vAlign w:val="center"/>
          </w:tcPr>
          <w:p w14:paraId="6600178A">
            <w:pPr>
              <w:rPr>
                <w:rFonts w:ascii="宋体" w:hAnsi="宋体" w:cs="宋体"/>
                <w:color w:val="auto"/>
                <w:sz w:val="18"/>
                <w:szCs w:val="18"/>
              </w:rPr>
            </w:pPr>
            <w:r>
              <w:rPr>
                <w:rFonts w:hint="eastAsia" w:ascii="宋体" w:hAnsi="宋体" w:cs="宋体"/>
                <w:color w:val="auto"/>
                <w:sz w:val="18"/>
                <w:szCs w:val="18"/>
              </w:rPr>
              <w:t>缺预案、未按要求开展培训和培训不到位的支付违约金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vAlign w:val="center"/>
          </w:tcPr>
          <w:p w14:paraId="69F5D288">
            <w:pPr>
              <w:rPr>
                <w:rFonts w:ascii="宋体" w:hAnsi="宋体" w:cs="宋体"/>
                <w:color w:val="auto"/>
                <w:sz w:val="18"/>
                <w:szCs w:val="18"/>
              </w:rPr>
            </w:pPr>
            <w:r>
              <w:rPr>
                <w:rFonts w:hint="eastAsia" w:ascii="宋体" w:hAnsi="宋体" w:cs="宋体"/>
                <w:color w:val="auto"/>
                <w:sz w:val="18"/>
                <w:szCs w:val="18"/>
              </w:rPr>
              <w:t>缺预案、未按要求开展培训和培训不到位扣</w:t>
            </w:r>
            <w:r>
              <w:rPr>
                <w:rFonts w:ascii="宋体" w:hAnsi="宋体" w:cs="宋体"/>
                <w:color w:val="auto"/>
                <w:sz w:val="18"/>
                <w:szCs w:val="18"/>
              </w:rPr>
              <w:t>1分/次</w:t>
            </w:r>
          </w:p>
        </w:tc>
      </w:tr>
      <w:tr w14:paraId="7D2E6FE6">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65A7D2CE">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D36B48C">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02220C24">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5BEAA02B">
            <w:pPr>
              <w:rPr>
                <w:rFonts w:ascii="宋体" w:hAnsi="宋体" w:cs="宋体"/>
                <w:color w:val="auto"/>
                <w:sz w:val="18"/>
                <w:szCs w:val="18"/>
              </w:rPr>
            </w:pPr>
            <w:r>
              <w:rPr>
                <w:rFonts w:ascii="宋体" w:hAnsi="宋体" w:cs="宋体"/>
                <w:color w:val="auto"/>
                <w:sz w:val="18"/>
                <w:szCs w:val="18"/>
              </w:rPr>
              <w:t>16.应对从业人员进行消防安全知识培训，建有因电气、燃气、油锅着火应急处理机制及预案</w:t>
            </w:r>
          </w:p>
        </w:tc>
        <w:tc>
          <w:tcPr>
            <w:tcW w:w="709" w:type="dxa"/>
            <w:tcBorders>
              <w:top w:val="single" w:color="auto" w:sz="4" w:space="0"/>
              <w:left w:val="single" w:color="auto" w:sz="4" w:space="0"/>
              <w:bottom w:val="single" w:color="auto" w:sz="4" w:space="0"/>
              <w:right w:val="single" w:color="auto" w:sz="4" w:space="0"/>
            </w:tcBorders>
            <w:vAlign w:val="center"/>
          </w:tcPr>
          <w:p w14:paraId="715F7957">
            <w:pPr>
              <w:rPr>
                <w:rFonts w:ascii="宋体" w:hAnsi="宋体" w:cs="宋体"/>
                <w:color w:val="auto"/>
                <w:sz w:val="18"/>
                <w:szCs w:val="18"/>
              </w:rPr>
            </w:pPr>
            <w:r>
              <w:rPr>
                <w:rFonts w:hint="eastAsia" w:ascii="宋体" w:hAnsi="宋体" w:cs="宋体"/>
                <w:color w:val="auto"/>
                <w:sz w:val="18"/>
                <w:szCs w:val="18"/>
              </w:rPr>
              <w:t>查看制度</w:t>
            </w:r>
          </w:p>
        </w:tc>
        <w:tc>
          <w:tcPr>
            <w:tcW w:w="2693" w:type="dxa"/>
            <w:tcBorders>
              <w:top w:val="single" w:color="auto" w:sz="4" w:space="0"/>
              <w:left w:val="single" w:color="auto" w:sz="4" w:space="0"/>
              <w:bottom w:val="single" w:color="auto" w:sz="4" w:space="0"/>
              <w:right w:val="single" w:color="auto" w:sz="4" w:space="0"/>
            </w:tcBorders>
            <w:vAlign w:val="center"/>
          </w:tcPr>
          <w:p w14:paraId="400AF657">
            <w:pPr>
              <w:rPr>
                <w:rFonts w:ascii="宋体" w:hAnsi="宋体" w:cs="宋体"/>
                <w:color w:val="auto"/>
                <w:sz w:val="18"/>
                <w:szCs w:val="18"/>
              </w:rPr>
            </w:pPr>
            <w:r>
              <w:rPr>
                <w:rFonts w:hint="eastAsia" w:ascii="宋体" w:hAnsi="宋体" w:cs="宋体"/>
                <w:color w:val="auto"/>
                <w:sz w:val="18"/>
                <w:szCs w:val="18"/>
              </w:rPr>
              <w:t>缺一项预案支付违约金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vAlign w:val="center"/>
          </w:tcPr>
          <w:p w14:paraId="27129818">
            <w:pPr>
              <w:rPr>
                <w:rFonts w:ascii="宋体" w:hAnsi="宋体" w:cs="宋体"/>
                <w:color w:val="auto"/>
                <w:sz w:val="18"/>
                <w:szCs w:val="18"/>
              </w:rPr>
            </w:pPr>
            <w:r>
              <w:rPr>
                <w:rFonts w:hint="eastAsia" w:ascii="宋体" w:hAnsi="宋体" w:cs="宋体"/>
                <w:color w:val="auto"/>
                <w:sz w:val="18"/>
                <w:szCs w:val="18"/>
              </w:rPr>
              <w:t>缺一项预案扣</w:t>
            </w:r>
            <w:r>
              <w:rPr>
                <w:rFonts w:ascii="宋体" w:hAnsi="宋体" w:cs="宋体"/>
                <w:color w:val="auto"/>
                <w:sz w:val="18"/>
                <w:szCs w:val="18"/>
              </w:rPr>
              <w:t>1分/次</w:t>
            </w:r>
          </w:p>
        </w:tc>
      </w:tr>
      <w:tr w14:paraId="6D4B68FD">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8528C28">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20524CB">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4C1BED0">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7EB01BDD">
            <w:pPr>
              <w:rPr>
                <w:rFonts w:ascii="宋体" w:hAnsi="宋体" w:cs="宋体"/>
                <w:color w:val="auto"/>
                <w:sz w:val="18"/>
                <w:szCs w:val="18"/>
              </w:rPr>
            </w:pPr>
            <w:r>
              <w:rPr>
                <w:rFonts w:ascii="宋体" w:hAnsi="宋体" w:cs="宋体"/>
                <w:color w:val="auto"/>
                <w:sz w:val="18"/>
                <w:szCs w:val="18"/>
              </w:rPr>
              <w:t>17.应对从业人员进行设备使用培训，建有机械设备、用电、用气(汽)安全操作规程</w:t>
            </w:r>
          </w:p>
        </w:tc>
        <w:tc>
          <w:tcPr>
            <w:tcW w:w="709" w:type="dxa"/>
            <w:tcBorders>
              <w:top w:val="single" w:color="auto" w:sz="4" w:space="0"/>
              <w:left w:val="single" w:color="auto" w:sz="4" w:space="0"/>
              <w:bottom w:val="single" w:color="auto" w:sz="4" w:space="0"/>
              <w:right w:val="single" w:color="auto" w:sz="4" w:space="0"/>
            </w:tcBorders>
            <w:vAlign w:val="center"/>
          </w:tcPr>
          <w:p w14:paraId="3B59D83C">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A1DC396">
            <w:pPr>
              <w:rPr>
                <w:rFonts w:ascii="宋体" w:hAnsi="宋体" w:cs="宋体"/>
                <w:color w:val="auto"/>
                <w:sz w:val="18"/>
                <w:szCs w:val="18"/>
              </w:rPr>
            </w:pPr>
            <w:r>
              <w:rPr>
                <w:rFonts w:hint="eastAsia" w:ascii="宋体" w:hAnsi="宋体" w:cs="宋体"/>
                <w:color w:val="auto"/>
                <w:sz w:val="18"/>
                <w:szCs w:val="18"/>
              </w:rPr>
              <w:t>缺一项操作规程支付违约金</w:t>
            </w:r>
            <w:r>
              <w:rPr>
                <w:rFonts w:ascii="宋体" w:hAnsi="宋体" w:cs="宋体"/>
                <w:color w:val="auto"/>
                <w:sz w:val="18"/>
                <w:szCs w:val="18"/>
              </w:rPr>
              <w:t>1000元/次</w:t>
            </w:r>
          </w:p>
          <w:p w14:paraId="0AC352D2">
            <w:pPr>
              <w:rPr>
                <w:rFonts w:ascii="宋体" w:hAnsi="宋体" w:cs="宋体"/>
                <w:color w:val="auto"/>
                <w:sz w:val="18"/>
                <w:szCs w:val="18"/>
              </w:rPr>
            </w:pPr>
            <w:r>
              <w:rPr>
                <w:rFonts w:hint="eastAsia" w:ascii="宋体" w:hAnsi="宋体" w:cs="宋体"/>
                <w:color w:val="auto"/>
                <w:sz w:val="18"/>
                <w:szCs w:val="18"/>
              </w:rPr>
              <w:t>违规操作支付违约金</w:t>
            </w:r>
            <w:r>
              <w:rPr>
                <w:rFonts w:ascii="宋体" w:hAnsi="宋体" w:cs="宋体"/>
                <w:color w:val="auto"/>
                <w:sz w:val="18"/>
                <w:szCs w:val="18"/>
              </w:rPr>
              <w:t>5000元/次</w:t>
            </w:r>
          </w:p>
        </w:tc>
        <w:tc>
          <w:tcPr>
            <w:tcW w:w="1559" w:type="dxa"/>
            <w:tcBorders>
              <w:top w:val="single" w:color="auto" w:sz="4" w:space="0"/>
              <w:left w:val="single" w:color="auto" w:sz="4" w:space="0"/>
              <w:bottom w:val="single" w:color="auto" w:sz="4" w:space="0"/>
              <w:right w:val="single" w:color="auto" w:sz="4" w:space="0"/>
            </w:tcBorders>
            <w:vAlign w:val="center"/>
          </w:tcPr>
          <w:p w14:paraId="5B8DFAED">
            <w:pPr>
              <w:rPr>
                <w:rFonts w:ascii="宋体" w:hAnsi="宋体" w:cs="宋体"/>
                <w:color w:val="auto"/>
                <w:sz w:val="18"/>
                <w:szCs w:val="18"/>
              </w:rPr>
            </w:pPr>
            <w:r>
              <w:rPr>
                <w:rFonts w:hint="eastAsia" w:ascii="宋体" w:hAnsi="宋体" w:cs="宋体"/>
                <w:color w:val="auto"/>
                <w:sz w:val="18"/>
                <w:szCs w:val="18"/>
              </w:rPr>
              <w:t>缺一项操作规程扣</w:t>
            </w:r>
            <w:r>
              <w:rPr>
                <w:rFonts w:ascii="宋体" w:hAnsi="宋体" w:cs="宋体"/>
                <w:color w:val="auto"/>
                <w:sz w:val="18"/>
                <w:szCs w:val="18"/>
              </w:rPr>
              <w:t>1分/次</w:t>
            </w:r>
          </w:p>
          <w:p w14:paraId="7DAEF77A">
            <w:pPr>
              <w:rPr>
                <w:rFonts w:ascii="宋体" w:hAnsi="宋体" w:cs="宋体"/>
                <w:color w:val="auto"/>
                <w:sz w:val="18"/>
                <w:szCs w:val="18"/>
              </w:rPr>
            </w:pPr>
            <w:r>
              <w:rPr>
                <w:rFonts w:hint="eastAsia" w:ascii="宋体" w:hAnsi="宋体" w:cs="宋体"/>
                <w:color w:val="auto"/>
                <w:sz w:val="18"/>
                <w:szCs w:val="18"/>
              </w:rPr>
              <w:t>违规操作扣</w:t>
            </w:r>
            <w:r>
              <w:rPr>
                <w:rFonts w:ascii="宋体" w:hAnsi="宋体" w:cs="宋体"/>
                <w:color w:val="auto"/>
                <w:sz w:val="18"/>
                <w:szCs w:val="18"/>
              </w:rPr>
              <w:t>2分/次</w:t>
            </w:r>
          </w:p>
        </w:tc>
      </w:tr>
      <w:tr w14:paraId="78929F2D">
        <w:tblPrEx>
          <w:tblCellMar>
            <w:top w:w="0" w:type="dxa"/>
            <w:left w:w="108" w:type="dxa"/>
            <w:bottom w:w="0" w:type="dxa"/>
            <w:right w:w="108" w:type="dxa"/>
          </w:tblCellMar>
        </w:tblPrEx>
        <w:trPr>
          <w:trHeight w:val="960"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678FCB6D">
            <w:pPr>
              <w:rPr>
                <w:rFonts w:ascii="宋体" w:hAnsi="宋体" w:cs="宋体"/>
                <w:color w:val="auto"/>
                <w:sz w:val="18"/>
                <w:szCs w:val="18"/>
              </w:rPr>
            </w:pPr>
            <w:r>
              <w:rPr>
                <w:rFonts w:hint="eastAsia" w:ascii="宋体" w:hAnsi="宋体" w:cs="宋体"/>
                <w:color w:val="auto"/>
                <w:sz w:val="18"/>
                <w:szCs w:val="18"/>
              </w:rPr>
              <w:t>二</w:t>
            </w:r>
          </w:p>
        </w:tc>
        <w:tc>
          <w:tcPr>
            <w:tcW w:w="636"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093C5B4C">
            <w:pPr>
              <w:rPr>
                <w:rFonts w:ascii="宋体" w:hAnsi="宋体" w:cs="宋体"/>
                <w:color w:val="auto"/>
                <w:sz w:val="18"/>
                <w:szCs w:val="18"/>
              </w:rPr>
            </w:pPr>
            <w:r>
              <w:rPr>
                <w:rFonts w:hint="eastAsia" w:ascii="宋体" w:hAnsi="宋体" w:cs="宋体"/>
                <w:color w:val="auto"/>
                <w:sz w:val="18"/>
                <w:szCs w:val="18"/>
              </w:rPr>
              <w:t>食品管理</w:t>
            </w: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791BC34F">
            <w:pPr>
              <w:jc w:val="center"/>
              <w:rPr>
                <w:rFonts w:ascii="宋体" w:hAnsi="宋体" w:cs="宋体"/>
                <w:color w:val="auto"/>
                <w:sz w:val="18"/>
                <w:szCs w:val="18"/>
              </w:rPr>
            </w:pPr>
            <w:r>
              <w:rPr>
                <w:rFonts w:hint="eastAsia" w:ascii="宋体" w:hAnsi="宋体" w:cs="宋体"/>
                <w:color w:val="auto"/>
                <w:sz w:val="18"/>
                <w:szCs w:val="18"/>
              </w:rPr>
              <w:t>采购</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6E644ABE">
            <w:pPr>
              <w:rPr>
                <w:rFonts w:ascii="宋体" w:hAnsi="宋体" w:cs="宋体"/>
                <w:color w:val="auto"/>
                <w:sz w:val="18"/>
                <w:szCs w:val="18"/>
              </w:rPr>
            </w:pPr>
            <w:r>
              <w:rPr>
                <w:rFonts w:ascii="宋体" w:hAnsi="宋体" w:cs="宋体"/>
                <w:color w:val="auto"/>
                <w:sz w:val="18"/>
                <w:szCs w:val="18"/>
              </w:rPr>
              <w:t>18.建立食品安全追溯体系，保证食品可追溯。必须落实原材料公司统一、集中定点采购制度，食品原材料采购应符合国家有关规定以及学校要求，不得采购临期和过期食品。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CA2D66">
            <w:pPr>
              <w:rPr>
                <w:rFonts w:ascii="宋体" w:hAnsi="宋体" w:cs="宋体"/>
                <w:color w:val="auto"/>
                <w:sz w:val="18"/>
                <w:szCs w:val="18"/>
              </w:rPr>
            </w:pPr>
            <w:r>
              <w:rPr>
                <w:rFonts w:hint="eastAsia" w:ascii="宋体" w:hAnsi="宋体" w:cs="宋体"/>
                <w:color w:val="auto"/>
                <w:sz w:val="18"/>
                <w:szCs w:val="18"/>
              </w:rPr>
              <w:t>现场</w:t>
            </w:r>
          </w:p>
          <w:p w14:paraId="75CC3E3B">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D83B06E">
            <w:pPr>
              <w:rPr>
                <w:rFonts w:ascii="宋体" w:hAnsi="宋体" w:cs="宋体"/>
                <w:color w:val="auto"/>
                <w:sz w:val="18"/>
                <w:szCs w:val="18"/>
              </w:rPr>
            </w:pPr>
            <w:r>
              <w:rPr>
                <w:rFonts w:hint="eastAsia" w:ascii="宋体" w:hAnsi="宋体" w:cs="宋体"/>
                <w:color w:val="auto"/>
                <w:sz w:val="18"/>
                <w:szCs w:val="18"/>
              </w:rPr>
              <w:t>违规采购的支付违约金</w:t>
            </w:r>
            <w:r>
              <w:rPr>
                <w:rFonts w:ascii="宋体" w:hAnsi="宋体" w:cs="宋体"/>
                <w:color w:val="auto"/>
                <w:sz w:val="18"/>
                <w:szCs w:val="18"/>
              </w:rPr>
              <w:t>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4392C9D">
            <w:pPr>
              <w:rPr>
                <w:rFonts w:ascii="宋体" w:hAnsi="宋体" w:cs="宋体"/>
                <w:color w:val="auto"/>
                <w:sz w:val="18"/>
                <w:szCs w:val="18"/>
              </w:rPr>
            </w:pPr>
            <w:r>
              <w:rPr>
                <w:rFonts w:hint="eastAsia" w:ascii="宋体" w:hAnsi="宋体" w:cs="宋体"/>
                <w:color w:val="auto"/>
                <w:sz w:val="18"/>
                <w:szCs w:val="18"/>
              </w:rPr>
              <w:t>违规采购的扣</w:t>
            </w:r>
            <w:r>
              <w:rPr>
                <w:rFonts w:ascii="宋体" w:hAnsi="宋体" w:cs="宋体"/>
                <w:color w:val="auto"/>
                <w:sz w:val="18"/>
                <w:szCs w:val="18"/>
              </w:rPr>
              <w:t>5分/次</w:t>
            </w:r>
          </w:p>
        </w:tc>
      </w:tr>
      <w:tr w14:paraId="41B4B0DF">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95901B9">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0119314B">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textDirection w:val="tbRlV"/>
            <w:vAlign w:val="center"/>
          </w:tcPr>
          <w:p w14:paraId="6B2188BF">
            <w:pPr>
              <w:jc w:val="cente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312796A3">
            <w:pPr>
              <w:rPr>
                <w:rFonts w:ascii="宋体" w:hAnsi="宋体" w:cs="宋体"/>
                <w:color w:val="auto"/>
                <w:sz w:val="18"/>
                <w:szCs w:val="18"/>
              </w:rPr>
            </w:pPr>
            <w:r>
              <w:rPr>
                <w:rFonts w:ascii="宋体" w:hAnsi="宋体" w:cs="宋体"/>
                <w:color w:val="auto"/>
                <w:sz w:val="18"/>
                <w:szCs w:val="18"/>
              </w:rPr>
              <w:t>19.主要原材料应建立定点供货单位及采购品种备案制度，供货单位必须持有营业执照、卫生许可证、动植物检疫合格证等相关证件并建立台帐。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13AB486">
            <w:pPr>
              <w:rPr>
                <w:rFonts w:ascii="宋体" w:hAnsi="宋体" w:cs="宋体"/>
                <w:color w:val="auto"/>
                <w:sz w:val="18"/>
                <w:szCs w:val="18"/>
              </w:rPr>
            </w:pPr>
            <w:r>
              <w:rPr>
                <w:rFonts w:hint="eastAsia" w:ascii="宋体" w:hAnsi="宋体" w:cs="宋体"/>
                <w:color w:val="auto"/>
                <w:sz w:val="18"/>
                <w:szCs w:val="18"/>
              </w:rPr>
              <w:t>查看证件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9469D97">
            <w:pPr>
              <w:rPr>
                <w:rFonts w:ascii="宋体" w:hAnsi="宋体" w:cs="宋体"/>
                <w:color w:val="auto"/>
                <w:sz w:val="18"/>
                <w:szCs w:val="18"/>
              </w:rPr>
            </w:pPr>
            <w:r>
              <w:rPr>
                <w:rFonts w:hint="eastAsia" w:ascii="宋体" w:hAnsi="宋体" w:cs="宋体"/>
                <w:color w:val="auto"/>
                <w:sz w:val="18"/>
                <w:szCs w:val="18"/>
              </w:rPr>
              <w:t>无采购合同备案及相关证件的每缺一项支付违约金</w:t>
            </w:r>
            <w:r>
              <w:rPr>
                <w:rFonts w:ascii="宋体" w:hAnsi="宋体" w:cs="宋体"/>
                <w:color w:val="auto"/>
                <w:sz w:val="18"/>
                <w:szCs w:val="18"/>
              </w:rPr>
              <w:t>10000元/次</w:t>
            </w:r>
          </w:p>
        </w:tc>
        <w:tc>
          <w:tcPr>
            <w:tcW w:w="1559" w:type="dxa"/>
            <w:tcBorders>
              <w:top w:val="single" w:color="auto" w:sz="4" w:space="0"/>
              <w:left w:val="single" w:color="auto" w:sz="4" w:space="0"/>
              <w:bottom w:val="single" w:color="auto" w:sz="4" w:space="0"/>
              <w:right w:val="single" w:color="auto" w:sz="4" w:space="0"/>
            </w:tcBorders>
            <w:vAlign w:val="center"/>
          </w:tcPr>
          <w:p w14:paraId="065A2E29">
            <w:pPr>
              <w:rPr>
                <w:rFonts w:ascii="宋体" w:hAnsi="宋体" w:cs="宋体"/>
                <w:color w:val="auto"/>
                <w:sz w:val="18"/>
                <w:szCs w:val="18"/>
              </w:rPr>
            </w:pPr>
            <w:r>
              <w:rPr>
                <w:rFonts w:hint="eastAsia" w:ascii="宋体" w:hAnsi="宋体" w:cs="宋体"/>
                <w:color w:val="auto"/>
                <w:sz w:val="18"/>
                <w:szCs w:val="18"/>
              </w:rPr>
              <w:t>无采购合同备案及相关证件的每缺一项扣</w:t>
            </w:r>
            <w:r>
              <w:rPr>
                <w:rFonts w:ascii="宋体" w:hAnsi="宋体" w:cs="宋体"/>
                <w:color w:val="auto"/>
                <w:sz w:val="18"/>
                <w:szCs w:val="18"/>
              </w:rPr>
              <w:t>5分</w:t>
            </w:r>
          </w:p>
        </w:tc>
      </w:tr>
      <w:tr w14:paraId="238064F3">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5620F2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F10706A">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69A6564">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128494B2">
            <w:pPr>
              <w:rPr>
                <w:rFonts w:ascii="宋体" w:hAnsi="宋体" w:cs="宋体"/>
                <w:color w:val="auto"/>
                <w:sz w:val="18"/>
                <w:szCs w:val="18"/>
              </w:rPr>
            </w:pPr>
            <w:r>
              <w:rPr>
                <w:rFonts w:ascii="宋体" w:hAnsi="宋体" w:cs="宋体"/>
                <w:color w:val="auto"/>
                <w:sz w:val="18"/>
                <w:szCs w:val="18"/>
              </w:rPr>
              <w:t>20.建立落实采购登记台账制度（电子与纸质）和食品原材料索证（肉类品质检验合格证、动植物检疫合格证等）、索票制度，每批次物品应有生产厂家、产地、生产日期、保质期及QS认证等标识。</w:t>
            </w:r>
          </w:p>
        </w:tc>
        <w:tc>
          <w:tcPr>
            <w:tcW w:w="709" w:type="dxa"/>
            <w:tcBorders>
              <w:top w:val="single" w:color="auto" w:sz="4" w:space="0"/>
              <w:left w:val="single" w:color="auto" w:sz="4" w:space="0"/>
              <w:bottom w:val="single" w:color="auto" w:sz="4" w:space="0"/>
              <w:right w:val="single" w:color="auto" w:sz="4" w:space="0"/>
            </w:tcBorders>
            <w:vAlign w:val="center"/>
          </w:tcPr>
          <w:p w14:paraId="0261FEC7">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787D1B2C">
            <w:pPr>
              <w:rPr>
                <w:rFonts w:ascii="宋体" w:hAnsi="宋体" w:cs="宋体"/>
                <w:color w:val="auto"/>
                <w:sz w:val="18"/>
                <w:szCs w:val="18"/>
              </w:rPr>
            </w:pPr>
            <w:r>
              <w:rPr>
                <w:rFonts w:hint="eastAsia" w:ascii="宋体" w:hAnsi="宋体" w:cs="宋体"/>
                <w:color w:val="auto"/>
                <w:sz w:val="18"/>
                <w:szCs w:val="18"/>
              </w:rPr>
              <w:t>每缺一项支付违约金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vAlign w:val="center"/>
          </w:tcPr>
          <w:p w14:paraId="7E8202BE">
            <w:pPr>
              <w:rPr>
                <w:rFonts w:ascii="宋体" w:hAnsi="宋体" w:cs="宋体"/>
                <w:color w:val="auto"/>
                <w:sz w:val="18"/>
                <w:szCs w:val="18"/>
              </w:rPr>
            </w:pPr>
            <w:r>
              <w:rPr>
                <w:rFonts w:hint="eastAsia" w:ascii="宋体" w:hAnsi="宋体" w:cs="宋体"/>
                <w:color w:val="auto"/>
                <w:sz w:val="18"/>
                <w:szCs w:val="18"/>
              </w:rPr>
              <w:t>缺项的扣</w:t>
            </w:r>
            <w:r>
              <w:rPr>
                <w:rFonts w:ascii="宋体" w:hAnsi="宋体" w:cs="宋体"/>
                <w:color w:val="auto"/>
                <w:sz w:val="18"/>
                <w:szCs w:val="18"/>
              </w:rPr>
              <w:t>1分/项/次</w:t>
            </w:r>
          </w:p>
        </w:tc>
      </w:tr>
      <w:tr w14:paraId="5965C6E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03939F9">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3445724">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D328FFB">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6B18B941">
            <w:pPr>
              <w:rPr>
                <w:rFonts w:ascii="宋体" w:hAnsi="宋体" w:cs="宋体"/>
                <w:color w:val="auto"/>
                <w:sz w:val="18"/>
                <w:szCs w:val="18"/>
              </w:rPr>
            </w:pPr>
            <w:r>
              <w:rPr>
                <w:rFonts w:ascii="宋体" w:hAnsi="宋体" w:cs="宋体"/>
                <w:color w:val="auto"/>
                <w:sz w:val="18"/>
                <w:szCs w:val="18"/>
              </w:rPr>
              <w:t>21.采购的原材料应符合国家有关标准和本合同规定</w:t>
            </w:r>
          </w:p>
        </w:tc>
        <w:tc>
          <w:tcPr>
            <w:tcW w:w="709" w:type="dxa"/>
            <w:tcBorders>
              <w:top w:val="single" w:color="auto" w:sz="4" w:space="0"/>
              <w:left w:val="single" w:color="auto" w:sz="4" w:space="0"/>
              <w:bottom w:val="single" w:color="auto" w:sz="4" w:space="0"/>
              <w:right w:val="single" w:color="auto" w:sz="4" w:space="0"/>
            </w:tcBorders>
            <w:vAlign w:val="center"/>
          </w:tcPr>
          <w:p w14:paraId="21998E42">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E938EC0">
            <w:pPr>
              <w:rPr>
                <w:rFonts w:ascii="宋体" w:hAnsi="宋体" w:cs="宋体"/>
                <w:color w:val="auto"/>
                <w:sz w:val="18"/>
                <w:szCs w:val="18"/>
              </w:rPr>
            </w:pPr>
            <w:r>
              <w:rPr>
                <w:rFonts w:hint="eastAsia" w:ascii="宋体" w:hAnsi="宋体" w:cs="宋体"/>
                <w:color w:val="auto"/>
                <w:sz w:val="18"/>
                <w:szCs w:val="18"/>
              </w:rPr>
              <w:t>每违规采购一次支付违约金</w:t>
            </w:r>
            <w:r>
              <w:rPr>
                <w:rFonts w:ascii="宋体" w:hAnsi="宋体" w:cs="宋体"/>
                <w:color w:val="auto"/>
                <w:sz w:val="18"/>
                <w:szCs w:val="18"/>
              </w:rPr>
              <w:t>10000元</w:t>
            </w:r>
          </w:p>
        </w:tc>
        <w:tc>
          <w:tcPr>
            <w:tcW w:w="1559" w:type="dxa"/>
            <w:tcBorders>
              <w:top w:val="single" w:color="auto" w:sz="4" w:space="0"/>
              <w:left w:val="single" w:color="auto" w:sz="4" w:space="0"/>
              <w:bottom w:val="single" w:color="auto" w:sz="4" w:space="0"/>
              <w:right w:val="single" w:color="auto" w:sz="4" w:space="0"/>
            </w:tcBorders>
            <w:vAlign w:val="center"/>
          </w:tcPr>
          <w:p w14:paraId="33368D0E">
            <w:pPr>
              <w:rPr>
                <w:rFonts w:ascii="宋体" w:hAnsi="宋体" w:cs="宋体"/>
                <w:color w:val="auto"/>
                <w:sz w:val="18"/>
                <w:szCs w:val="18"/>
              </w:rPr>
            </w:pPr>
            <w:r>
              <w:rPr>
                <w:rFonts w:hint="eastAsia" w:ascii="宋体" w:hAnsi="宋体" w:cs="宋体"/>
                <w:color w:val="auto"/>
                <w:sz w:val="18"/>
                <w:szCs w:val="18"/>
              </w:rPr>
              <w:t>违规采购扣</w:t>
            </w:r>
            <w:r>
              <w:rPr>
                <w:rFonts w:ascii="宋体" w:hAnsi="宋体" w:cs="宋体"/>
                <w:color w:val="auto"/>
                <w:sz w:val="18"/>
                <w:szCs w:val="18"/>
              </w:rPr>
              <w:t>5分/次</w:t>
            </w:r>
          </w:p>
        </w:tc>
      </w:tr>
      <w:tr w14:paraId="01983CF8">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8F163E4">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715E207">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2D2E8D21">
            <w:pPr>
              <w:jc w:val="center"/>
              <w:rPr>
                <w:rFonts w:ascii="宋体" w:hAnsi="宋体" w:cs="宋体"/>
                <w:color w:val="auto"/>
                <w:sz w:val="18"/>
                <w:szCs w:val="18"/>
              </w:rPr>
            </w:pPr>
            <w:r>
              <w:rPr>
                <w:rFonts w:hint="eastAsia" w:ascii="宋体" w:hAnsi="宋体" w:cs="宋体"/>
                <w:color w:val="auto"/>
                <w:sz w:val="18"/>
                <w:szCs w:val="18"/>
              </w:rPr>
              <w:t>存储</w:t>
            </w:r>
          </w:p>
        </w:tc>
        <w:tc>
          <w:tcPr>
            <w:tcW w:w="3350" w:type="dxa"/>
            <w:tcBorders>
              <w:top w:val="single" w:color="auto" w:sz="4" w:space="0"/>
              <w:left w:val="single" w:color="auto" w:sz="4" w:space="0"/>
              <w:bottom w:val="single" w:color="auto" w:sz="4" w:space="0"/>
              <w:right w:val="single" w:color="auto" w:sz="4" w:space="0"/>
            </w:tcBorders>
            <w:vAlign w:val="center"/>
          </w:tcPr>
          <w:p w14:paraId="56B31FFB">
            <w:pPr>
              <w:rPr>
                <w:rFonts w:ascii="宋体" w:hAnsi="宋体" w:cs="宋体"/>
                <w:color w:val="auto"/>
                <w:sz w:val="18"/>
                <w:szCs w:val="18"/>
              </w:rPr>
            </w:pPr>
            <w:r>
              <w:rPr>
                <w:rFonts w:ascii="宋体" w:hAnsi="宋体" w:cs="宋体"/>
                <w:color w:val="auto"/>
                <w:sz w:val="18"/>
                <w:szCs w:val="18"/>
              </w:rPr>
              <w:t>22.仓库管理规范，物资分类存放，食品贮藏应做到原料、半成品、成品严格分开，做到生、熟分开，植物性食品、动物性食品和水产品分类摆放，冷藏柜(库)存放食品有标志。散装食品应标</w:t>
            </w:r>
            <w:r>
              <w:rPr>
                <w:rFonts w:hint="eastAsia" w:ascii="宋体" w:hAnsi="宋体" w:cs="宋体"/>
                <w:color w:val="auto"/>
                <w:sz w:val="18"/>
                <w:szCs w:val="18"/>
              </w:rPr>
              <w:t>明食品的名称、生产日期或生产批号、使用期限等内容，装入密闭容器或使用保鲜膜等无污染覆盖贮存。</w:t>
            </w:r>
          </w:p>
        </w:tc>
        <w:tc>
          <w:tcPr>
            <w:tcW w:w="709" w:type="dxa"/>
            <w:tcBorders>
              <w:top w:val="single" w:color="auto" w:sz="4" w:space="0"/>
              <w:left w:val="single" w:color="auto" w:sz="4" w:space="0"/>
              <w:bottom w:val="single" w:color="auto" w:sz="4" w:space="0"/>
              <w:right w:val="single" w:color="auto" w:sz="4" w:space="0"/>
            </w:tcBorders>
            <w:vAlign w:val="center"/>
          </w:tcPr>
          <w:p w14:paraId="141D58D8">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18CC7297">
            <w:pPr>
              <w:rPr>
                <w:rFonts w:ascii="宋体" w:hAnsi="宋体" w:cs="宋体"/>
                <w:color w:val="auto"/>
                <w:sz w:val="18"/>
                <w:szCs w:val="18"/>
              </w:rPr>
            </w:pPr>
            <w:r>
              <w:rPr>
                <w:rFonts w:hint="eastAsia" w:ascii="宋体" w:hAnsi="宋体" w:cs="宋体"/>
                <w:color w:val="auto"/>
                <w:sz w:val="18"/>
                <w:szCs w:val="18"/>
              </w:rPr>
              <w:t>不符合要求每次支付违约金</w:t>
            </w:r>
            <w:r>
              <w:rPr>
                <w:rFonts w:ascii="宋体" w:hAnsi="宋体" w:cs="宋体"/>
                <w:color w:val="auto"/>
                <w:sz w:val="18"/>
                <w:szCs w:val="18"/>
              </w:rPr>
              <w:t>2000元</w:t>
            </w:r>
          </w:p>
        </w:tc>
        <w:tc>
          <w:tcPr>
            <w:tcW w:w="1559" w:type="dxa"/>
            <w:tcBorders>
              <w:top w:val="single" w:color="auto" w:sz="4" w:space="0"/>
              <w:left w:val="single" w:color="auto" w:sz="4" w:space="0"/>
              <w:bottom w:val="single" w:color="auto" w:sz="4" w:space="0"/>
              <w:right w:val="single" w:color="auto" w:sz="4" w:space="0"/>
            </w:tcBorders>
            <w:vAlign w:val="center"/>
          </w:tcPr>
          <w:p w14:paraId="67C745C6">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2分/次；</w:t>
            </w:r>
          </w:p>
        </w:tc>
      </w:tr>
      <w:tr w14:paraId="41E43407">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0EBE8FB">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4DCB9C32">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812EC44">
            <w:pPr>
              <w:jc w:val="cente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3A40E5E0">
            <w:pPr>
              <w:rPr>
                <w:rFonts w:ascii="宋体" w:hAnsi="宋体" w:cs="宋体"/>
                <w:color w:val="auto"/>
                <w:sz w:val="18"/>
                <w:szCs w:val="18"/>
              </w:rPr>
            </w:pPr>
            <w:r>
              <w:rPr>
                <w:rFonts w:ascii="宋体" w:hAnsi="宋体" w:cs="宋体"/>
                <w:color w:val="auto"/>
                <w:sz w:val="18"/>
                <w:szCs w:val="18"/>
              </w:rPr>
              <w:t>23.建立严格记录制度，定期清理腐败变质等感官性状异常食品、超过保质期等的相关产品。食品库无过期、变质及非食品物资</w:t>
            </w:r>
          </w:p>
        </w:tc>
        <w:tc>
          <w:tcPr>
            <w:tcW w:w="709" w:type="dxa"/>
            <w:tcBorders>
              <w:top w:val="single" w:color="auto" w:sz="4" w:space="0"/>
              <w:left w:val="single" w:color="auto" w:sz="4" w:space="0"/>
              <w:bottom w:val="single" w:color="auto" w:sz="4" w:space="0"/>
              <w:right w:val="single" w:color="auto" w:sz="4" w:space="0"/>
            </w:tcBorders>
            <w:vAlign w:val="center"/>
          </w:tcPr>
          <w:p w14:paraId="6A5CA06C">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2E52CAFD">
            <w:pPr>
              <w:rPr>
                <w:rFonts w:ascii="宋体" w:hAnsi="宋体" w:cs="宋体"/>
                <w:color w:val="auto"/>
                <w:sz w:val="18"/>
                <w:szCs w:val="18"/>
              </w:rPr>
            </w:pPr>
            <w:r>
              <w:rPr>
                <w:rFonts w:hint="eastAsia" w:ascii="宋体" w:hAnsi="宋体" w:cs="宋体"/>
                <w:color w:val="auto"/>
                <w:sz w:val="18"/>
                <w:szCs w:val="18"/>
              </w:rPr>
              <w:t>发现感官性状异常食品的支付违约金</w:t>
            </w:r>
            <w:r>
              <w:rPr>
                <w:rFonts w:ascii="宋体" w:hAnsi="宋体" w:cs="宋体"/>
                <w:color w:val="auto"/>
                <w:sz w:val="18"/>
                <w:szCs w:val="18"/>
              </w:rPr>
              <w:t>5000元/次，发现腐败变质或超过保质期的相关产品的支付违约金10000元/次</w:t>
            </w:r>
          </w:p>
        </w:tc>
        <w:tc>
          <w:tcPr>
            <w:tcW w:w="1559" w:type="dxa"/>
            <w:tcBorders>
              <w:top w:val="single" w:color="auto" w:sz="4" w:space="0"/>
              <w:left w:val="single" w:color="auto" w:sz="4" w:space="0"/>
              <w:bottom w:val="single" w:color="auto" w:sz="4" w:space="0"/>
              <w:right w:val="single" w:color="auto" w:sz="4" w:space="0"/>
            </w:tcBorders>
            <w:vAlign w:val="center"/>
          </w:tcPr>
          <w:p w14:paraId="51744805">
            <w:pPr>
              <w:rPr>
                <w:rFonts w:ascii="宋体" w:hAnsi="宋体" w:cs="宋体"/>
                <w:color w:val="auto"/>
                <w:sz w:val="18"/>
                <w:szCs w:val="18"/>
              </w:rPr>
            </w:pPr>
            <w:r>
              <w:rPr>
                <w:rFonts w:hint="eastAsia" w:ascii="宋体" w:hAnsi="宋体" w:cs="宋体"/>
                <w:color w:val="auto"/>
                <w:sz w:val="18"/>
                <w:szCs w:val="18"/>
              </w:rPr>
              <w:t>发现感官性状异常或腐败变质或超过保质期的相关产品的，涉事当学期考核直接为不合格</w:t>
            </w:r>
          </w:p>
        </w:tc>
      </w:tr>
      <w:tr w14:paraId="0C82580B">
        <w:tblPrEx>
          <w:tblCellMar>
            <w:top w:w="0" w:type="dxa"/>
            <w:left w:w="108" w:type="dxa"/>
            <w:bottom w:w="0" w:type="dxa"/>
            <w:right w:w="108" w:type="dxa"/>
          </w:tblCellMar>
        </w:tblPrEx>
        <w:trPr>
          <w:trHeight w:val="469"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2C846CF">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87E0904">
            <w:pPr>
              <w:rPr>
                <w:rFonts w:ascii="宋体" w:hAnsi="宋体" w:cs="宋体"/>
                <w:color w:val="auto"/>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14:paraId="4F42A12B">
            <w:pPr>
              <w:rPr>
                <w:rFonts w:ascii="宋体" w:hAnsi="宋体" w:cs="宋体"/>
                <w:color w:val="auto"/>
                <w:sz w:val="18"/>
                <w:szCs w:val="18"/>
              </w:rPr>
            </w:pPr>
            <w:r>
              <w:rPr>
                <w:rFonts w:hint="eastAsia" w:ascii="宋体" w:hAnsi="宋体" w:cs="宋体"/>
                <w:color w:val="auto"/>
                <w:sz w:val="18"/>
                <w:szCs w:val="18"/>
              </w:rPr>
              <w:t>包装</w:t>
            </w: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77DE46A9">
            <w:pPr>
              <w:rPr>
                <w:rFonts w:ascii="宋体" w:hAnsi="宋体" w:cs="宋体"/>
                <w:color w:val="auto"/>
                <w:sz w:val="18"/>
                <w:szCs w:val="18"/>
              </w:rPr>
            </w:pPr>
            <w:r>
              <w:rPr>
                <w:rFonts w:ascii="宋体" w:hAnsi="宋体" w:cs="宋体"/>
                <w:color w:val="auto"/>
                <w:sz w:val="18"/>
                <w:szCs w:val="18"/>
              </w:rPr>
              <w:t>24.盛放食品（含半成品和成品）的容器、包装材料应符合食品安全相关规定。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79F22CE">
            <w:pPr>
              <w:rPr>
                <w:rFonts w:ascii="宋体" w:hAnsi="宋体" w:cs="宋体"/>
                <w:color w:val="auto"/>
                <w:sz w:val="18"/>
                <w:szCs w:val="18"/>
              </w:rPr>
            </w:pPr>
            <w:r>
              <w:rPr>
                <w:rFonts w:hint="eastAsia" w:ascii="宋体" w:hAnsi="宋体" w:cs="宋体"/>
                <w:color w:val="auto"/>
                <w:sz w:val="18"/>
                <w:szCs w:val="18"/>
              </w:rPr>
              <w:t>现场</w:t>
            </w:r>
          </w:p>
          <w:p w14:paraId="4FC0E452">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38C4F8C">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37811DA">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6347DC8A">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AD80A1A">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0EBC7C9">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7484966">
            <w:pPr>
              <w:jc w:val="center"/>
              <w:rPr>
                <w:rFonts w:ascii="宋体" w:hAnsi="宋体" w:cs="宋体"/>
                <w:color w:val="auto"/>
                <w:sz w:val="18"/>
                <w:szCs w:val="18"/>
              </w:rPr>
            </w:pPr>
            <w:r>
              <w:rPr>
                <w:rFonts w:hint="eastAsia" w:ascii="宋体" w:hAnsi="宋体" w:cs="宋体"/>
                <w:color w:val="auto"/>
                <w:sz w:val="18"/>
                <w:szCs w:val="18"/>
              </w:rPr>
              <w:t>加工</w:t>
            </w:r>
          </w:p>
        </w:tc>
        <w:tc>
          <w:tcPr>
            <w:tcW w:w="3350" w:type="dxa"/>
            <w:tcBorders>
              <w:top w:val="single" w:color="auto" w:sz="4" w:space="0"/>
              <w:left w:val="single" w:color="auto" w:sz="4" w:space="0"/>
              <w:bottom w:val="single" w:color="auto" w:sz="4" w:space="0"/>
              <w:right w:val="single" w:color="auto" w:sz="4" w:space="0"/>
            </w:tcBorders>
            <w:vAlign w:val="center"/>
          </w:tcPr>
          <w:p w14:paraId="02D757B5">
            <w:pPr>
              <w:rPr>
                <w:rFonts w:ascii="宋体" w:hAnsi="宋体" w:cs="宋体"/>
                <w:color w:val="auto"/>
                <w:sz w:val="18"/>
                <w:szCs w:val="18"/>
              </w:rPr>
            </w:pPr>
            <w:r>
              <w:rPr>
                <w:rFonts w:ascii="宋体" w:hAnsi="宋体" w:cs="宋体"/>
                <w:color w:val="auto"/>
                <w:sz w:val="18"/>
                <w:szCs w:val="18"/>
              </w:rPr>
              <w:t>25.食品加工应做到流程合理，操作规范。食品加工、存放、陈列、转运等设施设备应当定期维护、清洗、消毒；保温、冷藏和冷冻设施应当定期清洗、校验。食堂应当设置专用操作区，制定并在显著位置公示加工制作操作规范；备餐操作时应当避免食品受到污染。</w:t>
            </w:r>
          </w:p>
        </w:tc>
        <w:tc>
          <w:tcPr>
            <w:tcW w:w="709" w:type="dxa"/>
            <w:tcBorders>
              <w:top w:val="single" w:color="auto" w:sz="4" w:space="0"/>
              <w:left w:val="single" w:color="auto" w:sz="4" w:space="0"/>
              <w:bottom w:val="single" w:color="auto" w:sz="4" w:space="0"/>
              <w:right w:val="single" w:color="auto" w:sz="4" w:space="0"/>
            </w:tcBorders>
            <w:vAlign w:val="center"/>
          </w:tcPr>
          <w:p w14:paraId="26EE48A5">
            <w:pPr>
              <w:rPr>
                <w:rFonts w:ascii="宋体" w:hAnsi="宋体" w:cs="宋体"/>
                <w:color w:val="auto"/>
                <w:sz w:val="18"/>
                <w:szCs w:val="18"/>
              </w:rPr>
            </w:pPr>
            <w:r>
              <w:rPr>
                <w:rFonts w:hint="eastAsia" w:ascii="宋体" w:hAnsi="宋体" w:cs="宋体"/>
                <w:color w:val="auto"/>
                <w:sz w:val="18"/>
                <w:szCs w:val="18"/>
              </w:rPr>
              <w:t>现场查看</w:t>
            </w:r>
          </w:p>
        </w:tc>
        <w:tc>
          <w:tcPr>
            <w:tcW w:w="2693" w:type="dxa"/>
            <w:tcBorders>
              <w:top w:val="single" w:color="auto" w:sz="4" w:space="0"/>
              <w:left w:val="single" w:color="auto" w:sz="4" w:space="0"/>
              <w:bottom w:val="single" w:color="auto" w:sz="4" w:space="0"/>
              <w:right w:val="single" w:color="auto" w:sz="4" w:space="0"/>
            </w:tcBorders>
            <w:vAlign w:val="center"/>
          </w:tcPr>
          <w:p w14:paraId="1C7DD419">
            <w:pPr>
              <w:rPr>
                <w:rFonts w:ascii="宋体" w:hAnsi="宋体" w:cs="宋体"/>
                <w:color w:val="auto"/>
                <w:sz w:val="18"/>
                <w:szCs w:val="18"/>
              </w:rPr>
            </w:pPr>
            <w:r>
              <w:rPr>
                <w:rFonts w:hint="eastAsia" w:ascii="宋体" w:hAnsi="宋体" w:cs="宋体"/>
                <w:color w:val="auto"/>
                <w:sz w:val="18"/>
                <w:szCs w:val="18"/>
              </w:rPr>
              <w:t>不符合要求的每次支付违约金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54F804EE">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244FAF97">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FFEC614">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E356F24">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3CCFF1B">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41850CED">
            <w:pPr>
              <w:rPr>
                <w:rFonts w:ascii="宋体" w:hAnsi="宋体" w:cs="宋体"/>
                <w:color w:val="auto"/>
                <w:sz w:val="18"/>
                <w:szCs w:val="18"/>
              </w:rPr>
            </w:pPr>
            <w:r>
              <w:rPr>
                <w:rFonts w:ascii="宋体" w:hAnsi="宋体" w:cs="宋体"/>
                <w:color w:val="auto"/>
                <w:sz w:val="18"/>
                <w:szCs w:val="18"/>
              </w:rPr>
              <w:t>26.</w:t>
            </w:r>
            <w:r>
              <w:rPr>
                <w:rFonts w:hint="eastAsia" w:ascii="宋体" w:hAnsi="宋体" w:cs="宋体"/>
                <w:color w:val="auto"/>
                <w:sz w:val="18"/>
                <w:szCs w:val="18"/>
              </w:rPr>
              <w:t>各类主副食应按照规范的配比标准加工（具体配比标准按照学校相关要求执行），菜品主辅料用量应符合学校相关要求或食堂报备标准。</w:t>
            </w:r>
          </w:p>
        </w:tc>
        <w:tc>
          <w:tcPr>
            <w:tcW w:w="709" w:type="dxa"/>
            <w:tcBorders>
              <w:top w:val="single" w:color="auto" w:sz="4" w:space="0"/>
              <w:left w:val="single" w:color="auto" w:sz="4" w:space="0"/>
              <w:bottom w:val="single" w:color="auto" w:sz="4" w:space="0"/>
              <w:right w:val="single" w:color="auto" w:sz="4" w:space="0"/>
            </w:tcBorders>
            <w:vAlign w:val="center"/>
          </w:tcPr>
          <w:p w14:paraId="24E7A300">
            <w:pPr>
              <w:rPr>
                <w:rFonts w:ascii="宋体" w:hAnsi="宋体" w:cs="宋体"/>
                <w:color w:val="auto"/>
                <w:sz w:val="18"/>
                <w:szCs w:val="18"/>
              </w:rPr>
            </w:pPr>
            <w:r>
              <w:rPr>
                <w:rFonts w:hint="eastAsia" w:ascii="宋体" w:hAnsi="宋体" w:cs="宋体"/>
                <w:color w:val="auto"/>
                <w:sz w:val="18"/>
                <w:szCs w:val="18"/>
              </w:rPr>
              <w:t>现场抽检</w:t>
            </w:r>
          </w:p>
        </w:tc>
        <w:tc>
          <w:tcPr>
            <w:tcW w:w="2693" w:type="dxa"/>
            <w:tcBorders>
              <w:top w:val="single" w:color="auto" w:sz="4" w:space="0"/>
              <w:left w:val="single" w:color="auto" w:sz="4" w:space="0"/>
              <w:bottom w:val="single" w:color="auto" w:sz="4" w:space="0"/>
              <w:right w:val="single" w:color="auto" w:sz="4" w:space="0"/>
            </w:tcBorders>
            <w:vAlign w:val="center"/>
          </w:tcPr>
          <w:p w14:paraId="623617C7">
            <w:pPr>
              <w:rPr>
                <w:rFonts w:ascii="宋体" w:hAnsi="宋体" w:cs="宋体"/>
                <w:color w:val="auto"/>
                <w:sz w:val="18"/>
                <w:szCs w:val="18"/>
              </w:rPr>
            </w:pPr>
            <w:r>
              <w:rPr>
                <w:rFonts w:hint="eastAsia" w:ascii="宋体" w:hAnsi="宋体" w:cs="宋体"/>
                <w:color w:val="auto"/>
                <w:sz w:val="18"/>
                <w:szCs w:val="18"/>
              </w:rPr>
              <w:t>不符合要求的每一品种支付违约金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32FD9669">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74569B79">
        <w:tblPrEx>
          <w:tblCellMar>
            <w:top w:w="0" w:type="dxa"/>
            <w:left w:w="108" w:type="dxa"/>
            <w:bottom w:w="0" w:type="dxa"/>
            <w:right w:w="108" w:type="dxa"/>
          </w:tblCellMar>
        </w:tblPrEx>
        <w:trPr>
          <w:trHeight w:val="7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C497CA9">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362ABCD">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63E3A44A">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5D0DC873">
            <w:pPr>
              <w:rPr>
                <w:rFonts w:ascii="宋体" w:hAnsi="宋体" w:cs="宋体"/>
                <w:color w:val="auto"/>
                <w:sz w:val="18"/>
                <w:szCs w:val="18"/>
              </w:rPr>
            </w:pPr>
            <w:r>
              <w:rPr>
                <w:rFonts w:ascii="宋体" w:hAnsi="宋体" w:cs="宋体"/>
                <w:color w:val="auto"/>
                <w:sz w:val="18"/>
                <w:szCs w:val="18"/>
              </w:rPr>
              <w:t>27.制售冷食类食品、生食类食品、裱花蛋糕、现</w:t>
            </w:r>
            <w:r>
              <w:rPr>
                <w:rFonts w:hint="eastAsia" w:ascii="宋体" w:hAnsi="宋体" w:cs="宋体"/>
                <w:color w:val="auto"/>
                <w:sz w:val="18"/>
                <w:szCs w:val="18"/>
              </w:rPr>
              <w:t>榨果蔬汁等，应当按照有关要求设置专间或者专用操作区，专间应当在加工制作前进行消毒，并由专人加工操作；凉菜应由专间、专人和专用设施设备加工，凉菜间应安装空调。</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48F7E74">
            <w:pPr>
              <w:rPr>
                <w:rFonts w:ascii="宋体" w:hAnsi="宋体" w:cs="宋体"/>
                <w:color w:val="auto"/>
                <w:sz w:val="18"/>
                <w:szCs w:val="18"/>
              </w:rPr>
            </w:pPr>
            <w:r>
              <w:rPr>
                <w:rFonts w:hint="eastAsia" w:ascii="宋体" w:hAnsi="宋体" w:cs="宋体"/>
                <w:color w:val="auto"/>
                <w:sz w:val="18"/>
                <w:szCs w:val="18"/>
              </w:rPr>
              <w:t>现场</w:t>
            </w:r>
          </w:p>
          <w:p w14:paraId="0EF0ACD7">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E040BBA">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2000元/项/次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25BB0E3">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2分/项/次</w:t>
            </w:r>
          </w:p>
        </w:tc>
      </w:tr>
      <w:tr w14:paraId="633C8B82">
        <w:tblPrEx>
          <w:tblCellMar>
            <w:top w:w="0" w:type="dxa"/>
            <w:left w:w="108" w:type="dxa"/>
            <w:bottom w:w="0" w:type="dxa"/>
            <w:right w:w="108" w:type="dxa"/>
          </w:tblCellMar>
        </w:tblPrEx>
        <w:trPr>
          <w:trHeight w:val="915"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610774A">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20F0B69">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4FB2E224">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1E6517B4">
            <w:pPr>
              <w:rPr>
                <w:rFonts w:ascii="宋体" w:hAnsi="宋体" w:cs="宋体"/>
                <w:color w:val="auto"/>
                <w:sz w:val="18"/>
                <w:szCs w:val="18"/>
              </w:rPr>
            </w:pPr>
            <w:r>
              <w:rPr>
                <w:rFonts w:ascii="宋体" w:hAnsi="宋体" w:cs="宋体"/>
                <w:color w:val="auto"/>
                <w:sz w:val="18"/>
                <w:szCs w:val="18"/>
              </w:rPr>
              <w:t>28.加工生、熟、荤、素食品应做到用具分开、整洁、消毒、摆放整齐；用于加工动物性食品原料、植物性食品原料、水产品原料、半成品或者成品等的容器、工具应当从形状、材质、颜色、标识上明显区分，做到分开使用，固定存放，用后洗净并保持清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F192EDA">
            <w:pPr>
              <w:rPr>
                <w:rFonts w:ascii="宋体" w:hAnsi="宋体" w:cs="宋体"/>
                <w:color w:val="auto"/>
                <w:sz w:val="18"/>
                <w:szCs w:val="18"/>
              </w:rPr>
            </w:pPr>
            <w:r>
              <w:rPr>
                <w:rFonts w:hint="eastAsia" w:ascii="宋体" w:hAnsi="宋体" w:cs="宋体"/>
                <w:color w:val="auto"/>
                <w:sz w:val="18"/>
                <w:szCs w:val="18"/>
              </w:rPr>
              <w:t>现场</w:t>
            </w:r>
          </w:p>
          <w:p w14:paraId="302DDC05">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FAB7512">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D47A753">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2分/次</w:t>
            </w:r>
          </w:p>
        </w:tc>
      </w:tr>
      <w:tr w14:paraId="781BD2D0">
        <w:tblPrEx>
          <w:tblCellMar>
            <w:top w:w="0" w:type="dxa"/>
            <w:left w:w="108" w:type="dxa"/>
            <w:bottom w:w="0" w:type="dxa"/>
            <w:right w:w="108" w:type="dxa"/>
          </w:tblCellMar>
        </w:tblPrEx>
        <w:trPr>
          <w:trHeight w:val="9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0CBB924">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A545C21">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FA58FF8">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2FC34E55">
            <w:pPr>
              <w:rPr>
                <w:rFonts w:ascii="宋体" w:hAnsi="宋体" w:cs="宋体"/>
                <w:color w:val="auto"/>
                <w:sz w:val="18"/>
                <w:szCs w:val="18"/>
              </w:rPr>
            </w:pPr>
            <w:r>
              <w:rPr>
                <w:rFonts w:ascii="宋体" w:hAnsi="宋体" w:cs="宋体"/>
                <w:color w:val="auto"/>
                <w:sz w:val="18"/>
                <w:szCs w:val="18"/>
              </w:rPr>
              <w:t>29.严格按照添加剂使用规范执行。不得采购、贮存、使用亚硝酸盐（包括亚硝酸钠、亚硝酸钾）和脱氢乙酸钠，食品添加剂应当专人专柜（位）保管，按照有关规定做到标识清晰、计量使用、专册记录。</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0642FB6">
            <w:pPr>
              <w:rPr>
                <w:rFonts w:ascii="宋体" w:hAnsi="宋体" w:cs="宋体"/>
                <w:color w:val="auto"/>
                <w:sz w:val="18"/>
                <w:szCs w:val="18"/>
              </w:rPr>
            </w:pPr>
            <w:r>
              <w:rPr>
                <w:rFonts w:hint="eastAsia" w:ascii="宋体" w:hAnsi="宋体" w:cs="宋体"/>
                <w:color w:val="auto"/>
                <w:sz w:val="18"/>
                <w:szCs w:val="18"/>
              </w:rPr>
              <w:t>现场</w:t>
            </w:r>
          </w:p>
          <w:p w14:paraId="3CECEC8A">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6C6B46">
            <w:pPr>
              <w:rPr>
                <w:rFonts w:ascii="宋体" w:hAnsi="宋体" w:cs="宋体"/>
                <w:color w:val="auto"/>
                <w:sz w:val="18"/>
                <w:szCs w:val="18"/>
              </w:rPr>
            </w:pPr>
            <w:r>
              <w:rPr>
                <w:rFonts w:hint="eastAsia" w:ascii="宋体" w:hAnsi="宋体" w:cs="宋体"/>
                <w:color w:val="auto"/>
                <w:sz w:val="18"/>
                <w:szCs w:val="18"/>
              </w:rPr>
              <w:t>不符合要求的首次支付违约金</w:t>
            </w:r>
            <w:r>
              <w:rPr>
                <w:rFonts w:ascii="宋体" w:hAnsi="宋体" w:cs="宋体"/>
                <w:color w:val="auto"/>
                <w:sz w:val="18"/>
                <w:szCs w:val="18"/>
              </w:rPr>
              <w:t>10000元，第二次及以后支付违约金50000元/次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5C21E56">
            <w:pPr>
              <w:rPr>
                <w:rFonts w:ascii="宋体" w:hAnsi="宋体" w:cs="宋体"/>
                <w:color w:val="auto"/>
                <w:sz w:val="18"/>
                <w:szCs w:val="18"/>
              </w:rPr>
            </w:pPr>
            <w:r>
              <w:rPr>
                <w:rFonts w:hint="eastAsia" w:ascii="宋体" w:hAnsi="宋体" w:cs="宋体"/>
                <w:color w:val="auto"/>
                <w:sz w:val="18"/>
                <w:szCs w:val="18"/>
              </w:rPr>
              <w:t>首次扣</w:t>
            </w:r>
            <w:r>
              <w:rPr>
                <w:rFonts w:ascii="宋体" w:hAnsi="宋体" w:cs="宋体"/>
                <w:color w:val="auto"/>
                <w:sz w:val="18"/>
                <w:szCs w:val="18"/>
              </w:rPr>
              <w:t>5分元，第二次及以后，涉事当学期考核不合格。</w:t>
            </w:r>
          </w:p>
        </w:tc>
      </w:tr>
      <w:tr w14:paraId="5FA9405F">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28114E10">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B1CA204">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3C4BF8B">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41652307">
            <w:pPr>
              <w:rPr>
                <w:rFonts w:ascii="宋体" w:hAnsi="宋体" w:cs="宋体"/>
                <w:color w:val="auto"/>
                <w:sz w:val="18"/>
                <w:szCs w:val="18"/>
              </w:rPr>
            </w:pPr>
            <w:r>
              <w:rPr>
                <w:rFonts w:ascii="宋体" w:hAnsi="宋体" w:cs="宋体"/>
                <w:color w:val="auto"/>
                <w:sz w:val="18"/>
                <w:szCs w:val="18"/>
              </w:rPr>
              <w:t xml:space="preserve">30.餐饮具、盛放或接触直接入口食品的容器和工具使用前应消毒，使用后应及时洗净。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524E229">
            <w:pPr>
              <w:rPr>
                <w:rFonts w:ascii="宋体" w:hAnsi="宋体" w:cs="宋体"/>
                <w:color w:val="auto"/>
                <w:sz w:val="18"/>
                <w:szCs w:val="18"/>
              </w:rPr>
            </w:pPr>
            <w:r>
              <w:rPr>
                <w:rFonts w:hint="eastAsia" w:ascii="宋体" w:hAnsi="宋体" w:cs="宋体"/>
                <w:color w:val="auto"/>
                <w:sz w:val="18"/>
                <w:szCs w:val="18"/>
              </w:rPr>
              <w:t>现场</w:t>
            </w:r>
          </w:p>
          <w:p w14:paraId="40AD76FF">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656F610">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BB05820">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2分/次</w:t>
            </w:r>
          </w:p>
        </w:tc>
      </w:tr>
      <w:tr w14:paraId="25127764">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605E7B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438481E">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BA5AEC4">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333892E2">
            <w:pPr>
              <w:rPr>
                <w:rFonts w:ascii="宋体" w:hAnsi="宋体" w:cs="宋体"/>
                <w:color w:val="auto"/>
                <w:sz w:val="18"/>
                <w:szCs w:val="18"/>
              </w:rPr>
            </w:pPr>
            <w:r>
              <w:rPr>
                <w:rFonts w:ascii="宋体" w:hAnsi="宋体" w:cs="宋体"/>
                <w:color w:val="auto"/>
                <w:sz w:val="18"/>
                <w:szCs w:val="18"/>
              </w:rPr>
              <w:t>31.清洗用水和使用的洗涤剂、消毒剂应当符合相关食品安全国家标准和有关规定。严格按照洗涤剂、消毒剂的使用说明进行操作。</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DDDC91C">
            <w:pPr>
              <w:rPr>
                <w:rFonts w:ascii="宋体" w:hAnsi="宋体" w:cs="宋体"/>
                <w:color w:val="auto"/>
                <w:sz w:val="18"/>
                <w:szCs w:val="18"/>
              </w:rPr>
            </w:pPr>
            <w:r>
              <w:rPr>
                <w:rFonts w:hint="eastAsia" w:ascii="宋体" w:hAnsi="宋体" w:cs="宋体"/>
                <w:color w:val="auto"/>
                <w:sz w:val="18"/>
                <w:szCs w:val="18"/>
              </w:rPr>
              <w:t>现场</w:t>
            </w:r>
          </w:p>
          <w:p w14:paraId="1E172D7C">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852E6A7">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9A9C76F">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5分/次</w:t>
            </w:r>
          </w:p>
        </w:tc>
      </w:tr>
      <w:tr w14:paraId="25F1B057">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06EE0BF">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E550DE7">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7F58010E">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6707A891">
            <w:pPr>
              <w:rPr>
                <w:rFonts w:ascii="宋体" w:hAnsi="宋体" w:cs="宋体"/>
                <w:color w:val="auto"/>
                <w:sz w:val="18"/>
                <w:szCs w:val="18"/>
              </w:rPr>
            </w:pPr>
            <w:r>
              <w:rPr>
                <w:rFonts w:ascii="宋体" w:hAnsi="宋体" w:cs="宋体"/>
                <w:color w:val="auto"/>
                <w:sz w:val="18"/>
                <w:szCs w:val="18"/>
              </w:rPr>
              <w:t>32.按规定进行菜品留样，由专人管理，做好留样及销毁记录，记录内容包括留样食品名称、留样时间（月、日、时、分）、留样人员、留样重量(不少于125克)、销毁时间、销毁人，在专用冷藏设备中冷藏存放48小时以上。食堂批量加工制售的热食、非即</w:t>
            </w:r>
            <w:r>
              <w:rPr>
                <w:rFonts w:hint="eastAsia" w:ascii="宋体" w:hAnsi="宋体" w:cs="宋体"/>
                <w:color w:val="auto"/>
                <w:sz w:val="18"/>
                <w:szCs w:val="18"/>
              </w:rPr>
              <w:t>做即售的热食、冷食类食品、生食类食品、裱花蛋糕应当按照前款规定留样，其他加工食品根据相关规定留样。</w:t>
            </w:r>
          </w:p>
        </w:tc>
        <w:tc>
          <w:tcPr>
            <w:tcW w:w="709" w:type="dxa"/>
            <w:tcBorders>
              <w:top w:val="single" w:color="auto" w:sz="4" w:space="0"/>
              <w:left w:val="single" w:color="auto" w:sz="4" w:space="0"/>
              <w:bottom w:val="single" w:color="auto" w:sz="4" w:space="0"/>
              <w:right w:val="single" w:color="auto" w:sz="4" w:space="0"/>
            </w:tcBorders>
            <w:vAlign w:val="center"/>
          </w:tcPr>
          <w:p w14:paraId="551463E5">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452611C">
            <w:pPr>
              <w:rPr>
                <w:rFonts w:ascii="宋体" w:hAnsi="宋体" w:cs="宋体"/>
                <w:color w:val="auto"/>
                <w:sz w:val="18"/>
                <w:szCs w:val="18"/>
              </w:rPr>
            </w:pPr>
            <w:r>
              <w:rPr>
                <w:rFonts w:hint="eastAsia" w:ascii="宋体" w:hAnsi="宋体" w:cs="宋体"/>
                <w:color w:val="auto"/>
                <w:sz w:val="18"/>
                <w:szCs w:val="18"/>
              </w:rPr>
              <w:t>不符合要求的首次支付违约金</w:t>
            </w:r>
            <w:r>
              <w:rPr>
                <w:rFonts w:ascii="宋体" w:hAnsi="宋体" w:cs="宋体"/>
                <w:color w:val="auto"/>
                <w:sz w:val="18"/>
                <w:szCs w:val="18"/>
              </w:rPr>
              <w:t>10000元，第二次及以后支付违约金50000元/次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42EA996">
            <w:pPr>
              <w:rPr>
                <w:rFonts w:ascii="宋体" w:hAnsi="宋体" w:cs="宋体"/>
                <w:color w:val="auto"/>
                <w:sz w:val="18"/>
                <w:szCs w:val="18"/>
              </w:rPr>
            </w:pPr>
            <w:r>
              <w:rPr>
                <w:rFonts w:hint="eastAsia" w:ascii="宋体" w:hAnsi="宋体" w:cs="宋体"/>
                <w:color w:val="auto"/>
                <w:sz w:val="18"/>
                <w:szCs w:val="18"/>
              </w:rPr>
              <w:t>首次扣</w:t>
            </w:r>
            <w:r>
              <w:rPr>
                <w:rFonts w:ascii="宋体" w:hAnsi="宋体" w:cs="宋体"/>
                <w:color w:val="auto"/>
                <w:sz w:val="18"/>
                <w:szCs w:val="18"/>
              </w:rPr>
              <w:t>1分元，第二次及以后扣5分/次</w:t>
            </w:r>
          </w:p>
        </w:tc>
      </w:tr>
      <w:tr w14:paraId="77C25DF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3BD97D3">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FD4F319">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6F5BDB27">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5A4C61B2">
            <w:pPr>
              <w:rPr>
                <w:rFonts w:ascii="宋体" w:hAnsi="宋体" w:cs="宋体"/>
                <w:color w:val="auto"/>
                <w:sz w:val="18"/>
                <w:szCs w:val="18"/>
              </w:rPr>
            </w:pPr>
            <w:r>
              <w:rPr>
                <w:rFonts w:ascii="宋体" w:hAnsi="宋体" w:cs="宋体"/>
                <w:color w:val="auto"/>
                <w:sz w:val="18"/>
                <w:szCs w:val="18"/>
              </w:rPr>
              <w:t>33.食堂定期做好消毒工作，三防等设施设备能正常使用，并有设施设备维护记录。</w:t>
            </w:r>
          </w:p>
        </w:tc>
        <w:tc>
          <w:tcPr>
            <w:tcW w:w="709" w:type="dxa"/>
            <w:tcBorders>
              <w:top w:val="single" w:color="auto" w:sz="4" w:space="0"/>
              <w:left w:val="single" w:color="auto" w:sz="4" w:space="0"/>
              <w:bottom w:val="single" w:color="auto" w:sz="4" w:space="0"/>
              <w:right w:val="single" w:color="auto" w:sz="4" w:space="0"/>
            </w:tcBorders>
            <w:vAlign w:val="center"/>
          </w:tcPr>
          <w:p w14:paraId="36CBC75B">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0F367B52">
            <w:pPr>
              <w:rPr>
                <w:rFonts w:ascii="宋体" w:hAnsi="宋体" w:cs="宋体"/>
                <w:color w:val="auto"/>
                <w:sz w:val="18"/>
                <w:szCs w:val="18"/>
              </w:rPr>
            </w:pPr>
            <w:r>
              <w:rPr>
                <w:rFonts w:hint="eastAsia" w:ascii="宋体" w:hAnsi="宋体" w:cs="宋体"/>
                <w:color w:val="auto"/>
                <w:sz w:val="18"/>
                <w:szCs w:val="18"/>
              </w:rPr>
              <w:t>不符合要求的每次支付违约金</w:t>
            </w:r>
            <w:r>
              <w:rPr>
                <w:rFonts w:ascii="宋体" w:hAnsi="宋体" w:cs="宋体"/>
                <w:color w:val="auto"/>
                <w:sz w:val="18"/>
                <w:szCs w:val="18"/>
              </w:rPr>
              <w:t>2000元</w:t>
            </w:r>
          </w:p>
        </w:tc>
        <w:tc>
          <w:tcPr>
            <w:tcW w:w="1559" w:type="dxa"/>
            <w:tcBorders>
              <w:top w:val="single" w:color="auto" w:sz="4" w:space="0"/>
              <w:left w:val="single" w:color="auto" w:sz="4" w:space="0"/>
              <w:bottom w:val="single" w:color="auto" w:sz="4" w:space="0"/>
              <w:right w:val="single" w:color="auto" w:sz="4" w:space="0"/>
            </w:tcBorders>
            <w:vAlign w:val="center"/>
          </w:tcPr>
          <w:p w14:paraId="7065200C">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22F3C72B">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1A365D0">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F44E351">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6CAD63E">
            <w:pPr>
              <w:jc w:val="center"/>
              <w:rPr>
                <w:rFonts w:ascii="宋体" w:hAnsi="宋体" w:cs="宋体"/>
                <w:color w:val="auto"/>
                <w:sz w:val="18"/>
                <w:szCs w:val="18"/>
              </w:rPr>
            </w:pPr>
            <w:r>
              <w:rPr>
                <w:rFonts w:hint="eastAsia" w:ascii="宋体" w:hAnsi="宋体" w:cs="宋体"/>
                <w:color w:val="auto"/>
                <w:sz w:val="18"/>
                <w:szCs w:val="18"/>
              </w:rPr>
              <w:t>出售</w:t>
            </w:r>
          </w:p>
        </w:tc>
        <w:tc>
          <w:tcPr>
            <w:tcW w:w="3350" w:type="dxa"/>
            <w:tcBorders>
              <w:top w:val="single" w:color="auto" w:sz="4" w:space="0"/>
              <w:left w:val="single" w:color="auto" w:sz="4" w:space="0"/>
              <w:bottom w:val="single" w:color="auto" w:sz="4" w:space="0"/>
              <w:right w:val="single" w:color="auto" w:sz="4" w:space="0"/>
            </w:tcBorders>
            <w:vAlign w:val="center"/>
          </w:tcPr>
          <w:p w14:paraId="652AAC7E">
            <w:pPr>
              <w:rPr>
                <w:rFonts w:ascii="宋体" w:hAnsi="宋体" w:cs="宋体"/>
                <w:color w:val="auto"/>
                <w:sz w:val="18"/>
                <w:szCs w:val="18"/>
              </w:rPr>
            </w:pPr>
            <w:r>
              <w:rPr>
                <w:rFonts w:ascii="宋体" w:hAnsi="宋体" w:cs="宋体"/>
                <w:color w:val="auto"/>
                <w:sz w:val="18"/>
                <w:szCs w:val="18"/>
              </w:rPr>
              <w:t>34.在售饭菜应明码实价，价实相符，菜牌齐全</w:t>
            </w:r>
          </w:p>
        </w:tc>
        <w:tc>
          <w:tcPr>
            <w:tcW w:w="709" w:type="dxa"/>
            <w:tcBorders>
              <w:top w:val="single" w:color="auto" w:sz="4" w:space="0"/>
              <w:left w:val="single" w:color="auto" w:sz="4" w:space="0"/>
              <w:bottom w:val="single" w:color="auto" w:sz="4" w:space="0"/>
              <w:right w:val="single" w:color="auto" w:sz="4" w:space="0"/>
            </w:tcBorders>
            <w:vAlign w:val="center"/>
          </w:tcPr>
          <w:p w14:paraId="13389B4A">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31E301C5">
            <w:pPr>
              <w:rPr>
                <w:rFonts w:ascii="宋体" w:hAnsi="宋体" w:eastAsia="方正仿宋_GBK" w:cs="宋体"/>
                <w:color w:val="auto"/>
                <w:sz w:val="18"/>
                <w:szCs w:val="18"/>
              </w:rPr>
            </w:pPr>
            <w:r>
              <w:rPr>
                <w:rFonts w:hint="eastAsia" w:ascii="宋体" w:hAnsi="宋体" w:cs="宋体"/>
                <w:color w:val="auto"/>
                <w:sz w:val="18"/>
                <w:szCs w:val="18"/>
              </w:rPr>
              <w:t>不符合要求的首次每项支付违约金</w:t>
            </w:r>
            <w:r>
              <w:rPr>
                <w:rFonts w:ascii="宋体" w:hAnsi="宋体" w:cs="宋体"/>
                <w:color w:val="auto"/>
                <w:sz w:val="18"/>
                <w:szCs w:val="18"/>
              </w:rPr>
              <w:t>1000元/项/次，第二次及以后每项支付违约金2000元/项/次</w:t>
            </w:r>
          </w:p>
        </w:tc>
        <w:tc>
          <w:tcPr>
            <w:tcW w:w="1559" w:type="dxa"/>
            <w:tcBorders>
              <w:top w:val="single" w:color="auto" w:sz="4" w:space="0"/>
              <w:left w:val="single" w:color="auto" w:sz="4" w:space="0"/>
              <w:bottom w:val="single" w:color="auto" w:sz="4" w:space="0"/>
              <w:right w:val="single" w:color="auto" w:sz="4" w:space="0"/>
            </w:tcBorders>
            <w:vAlign w:val="center"/>
          </w:tcPr>
          <w:p w14:paraId="6EF254EA">
            <w:pPr>
              <w:rPr>
                <w:rFonts w:ascii="宋体" w:hAnsi="宋体" w:cs="宋体"/>
                <w:color w:val="auto"/>
                <w:sz w:val="18"/>
                <w:szCs w:val="18"/>
              </w:rPr>
            </w:pPr>
            <w:r>
              <w:rPr>
                <w:rFonts w:hint="eastAsia" w:ascii="宋体" w:hAnsi="宋体" w:cs="宋体"/>
                <w:color w:val="auto"/>
                <w:sz w:val="18"/>
                <w:szCs w:val="18"/>
              </w:rPr>
              <w:t>首次每项扣</w:t>
            </w:r>
            <w:r>
              <w:rPr>
                <w:rFonts w:ascii="宋体" w:hAnsi="宋体" w:cs="宋体"/>
                <w:color w:val="auto"/>
                <w:sz w:val="18"/>
                <w:szCs w:val="18"/>
              </w:rPr>
              <w:t>1分，第二次及以后扣1分/项/次</w:t>
            </w:r>
          </w:p>
        </w:tc>
      </w:tr>
      <w:tr w14:paraId="53BD4811">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4BC34F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058AC15">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28064D9">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4D58C4FF">
            <w:pPr>
              <w:rPr>
                <w:rFonts w:ascii="宋体" w:hAnsi="宋体" w:cs="宋体"/>
                <w:color w:val="auto"/>
                <w:sz w:val="18"/>
                <w:szCs w:val="18"/>
              </w:rPr>
            </w:pPr>
            <w:r>
              <w:rPr>
                <w:rFonts w:ascii="宋体" w:hAnsi="宋体" w:cs="宋体"/>
                <w:color w:val="auto"/>
                <w:sz w:val="18"/>
                <w:szCs w:val="18"/>
              </w:rPr>
              <w:t>35.饭菜售卖计量计价准确</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63EA73CD">
            <w:pPr>
              <w:rPr>
                <w:rFonts w:ascii="宋体" w:hAnsi="宋体" w:cs="宋体"/>
                <w:color w:val="auto"/>
                <w:sz w:val="18"/>
                <w:szCs w:val="18"/>
              </w:rPr>
            </w:pPr>
            <w:r>
              <w:rPr>
                <w:rFonts w:hint="eastAsia" w:ascii="宋体" w:hAnsi="宋体" w:cs="宋体"/>
                <w:color w:val="auto"/>
                <w:sz w:val="18"/>
                <w:szCs w:val="18"/>
              </w:rPr>
              <w:t>现场检查或投诉核实</w:t>
            </w:r>
          </w:p>
        </w:tc>
        <w:tc>
          <w:tcPr>
            <w:tcW w:w="2693" w:type="dxa"/>
            <w:tcBorders>
              <w:top w:val="single" w:color="auto" w:sz="4" w:space="0"/>
              <w:left w:val="single" w:color="auto" w:sz="4" w:space="0"/>
              <w:bottom w:val="single" w:color="auto" w:sz="4" w:space="0"/>
              <w:right w:val="single" w:color="auto" w:sz="4" w:space="0"/>
            </w:tcBorders>
            <w:vAlign w:val="center"/>
          </w:tcPr>
          <w:p w14:paraId="680A6E91">
            <w:pPr>
              <w:rPr>
                <w:rFonts w:ascii="宋体" w:hAnsi="宋体" w:cs="宋体"/>
                <w:color w:val="auto"/>
                <w:sz w:val="18"/>
                <w:szCs w:val="18"/>
              </w:rPr>
            </w:pPr>
            <w:r>
              <w:rPr>
                <w:rFonts w:hint="eastAsia" w:ascii="宋体" w:hAnsi="宋体" w:cs="宋体"/>
                <w:color w:val="auto"/>
                <w:sz w:val="18"/>
                <w:szCs w:val="18"/>
              </w:rPr>
              <w:t>不符合要求每次支付违约金</w:t>
            </w:r>
            <w:r>
              <w:rPr>
                <w:rFonts w:ascii="宋体" w:hAnsi="宋体" w:cs="宋体"/>
                <w:color w:val="auto"/>
                <w:sz w:val="18"/>
                <w:szCs w:val="18"/>
              </w:rPr>
              <w:t>2000元</w:t>
            </w:r>
          </w:p>
        </w:tc>
        <w:tc>
          <w:tcPr>
            <w:tcW w:w="1559" w:type="dxa"/>
            <w:tcBorders>
              <w:top w:val="single" w:color="auto" w:sz="4" w:space="0"/>
              <w:left w:val="single" w:color="auto" w:sz="4" w:space="0"/>
              <w:bottom w:val="single" w:color="auto" w:sz="4" w:space="0"/>
              <w:right w:val="single" w:color="auto" w:sz="4" w:space="0"/>
            </w:tcBorders>
            <w:vAlign w:val="center"/>
          </w:tcPr>
          <w:p w14:paraId="6097D5C2">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59CE98B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AD2CFE1">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7554E58">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CF8A5B7">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6F6ECB01">
            <w:pPr>
              <w:rPr>
                <w:rFonts w:ascii="宋体" w:hAnsi="宋体" w:cs="宋体"/>
                <w:color w:val="auto"/>
                <w:sz w:val="18"/>
                <w:szCs w:val="18"/>
              </w:rPr>
            </w:pPr>
            <w:r>
              <w:rPr>
                <w:rFonts w:ascii="宋体" w:hAnsi="宋体" w:cs="宋体"/>
                <w:color w:val="auto"/>
                <w:sz w:val="18"/>
                <w:szCs w:val="18"/>
              </w:rPr>
              <w:t>36.不应出售夹生、未熟食品，饭菜中应无泥沙、钢丝、虫子等异物</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4490659">
            <w:pPr>
              <w:rPr>
                <w:rFonts w:ascii="宋体" w:hAnsi="宋体" w:cs="宋体"/>
                <w:color w:val="auto"/>
                <w:sz w:val="18"/>
                <w:szCs w:val="18"/>
              </w:rPr>
            </w:pPr>
          </w:p>
        </w:tc>
        <w:tc>
          <w:tcPr>
            <w:tcW w:w="2693" w:type="dxa"/>
            <w:tcBorders>
              <w:top w:val="single" w:color="auto" w:sz="4" w:space="0"/>
              <w:left w:val="single" w:color="auto" w:sz="4" w:space="0"/>
              <w:bottom w:val="single" w:color="auto" w:sz="4" w:space="0"/>
              <w:right w:val="single" w:color="auto" w:sz="4" w:space="0"/>
            </w:tcBorders>
            <w:vAlign w:val="center"/>
          </w:tcPr>
          <w:p w14:paraId="54175D6E">
            <w:pPr>
              <w:rPr>
                <w:rFonts w:ascii="宋体" w:hAnsi="宋体" w:cs="宋体"/>
                <w:color w:val="auto"/>
                <w:sz w:val="18"/>
                <w:szCs w:val="18"/>
              </w:rPr>
            </w:pPr>
            <w:r>
              <w:rPr>
                <w:rFonts w:hint="eastAsia" w:ascii="宋体" w:hAnsi="宋体" w:cs="宋体"/>
                <w:color w:val="auto"/>
                <w:sz w:val="18"/>
                <w:szCs w:val="18"/>
              </w:rPr>
              <w:t>不符合要求每次支付违约金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36B10D7A">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3DCB6A24">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0B4D49E">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CB0BBB3">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3C1A7BDD">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564D32F0">
            <w:pPr>
              <w:rPr>
                <w:rFonts w:ascii="宋体" w:hAnsi="宋体" w:cs="宋体"/>
                <w:color w:val="auto"/>
                <w:sz w:val="18"/>
                <w:szCs w:val="18"/>
              </w:rPr>
            </w:pPr>
            <w:r>
              <w:rPr>
                <w:rFonts w:ascii="宋体" w:hAnsi="宋体" w:cs="宋体"/>
                <w:color w:val="auto"/>
                <w:sz w:val="18"/>
                <w:szCs w:val="18"/>
              </w:rPr>
              <w:t>37.不提供霉烂变质食物</w:t>
            </w:r>
          </w:p>
        </w:tc>
        <w:tc>
          <w:tcPr>
            <w:tcW w:w="709" w:type="dxa"/>
            <w:tcBorders>
              <w:top w:val="single" w:color="auto" w:sz="4" w:space="0"/>
              <w:left w:val="single" w:color="auto" w:sz="4" w:space="0"/>
              <w:bottom w:val="single" w:color="auto" w:sz="4" w:space="0"/>
              <w:right w:val="single" w:color="auto" w:sz="4" w:space="0"/>
            </w:tcBorders>
            <w:vAlign w:val="center"/>
          </w:tcPr>
          <w:p w14:paraId="304B9766">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07F850D3">
            <w:pPr>
              <w:rPr>
                <w:rFonts w:ascii="宋体" w:hAnsi="宋体" w:cs="宋体"/>
                <w:color w:val="auto"/>
                <w:sz w:val="18"/>
                <w:szCs w:val="18"/>
              </w:rPr>
            </w:pPr>
            <w:r>
              <w:rPr>
                <w:rFonts w:hint="eastAsia" w:ascii="宋体" w:hAnsi="宋体" w:cs="宋体"/>
                <w:color w:val="auto"/>
                <w:sz w:val="18"/>
                <w:szCs w:val="18"/>
              </w:rPr>
              <w:t>查实后每次支付违约金</w:t>
            </w:r>
            <w:r>
              <w:rPr>
                <w:rFonts w:ascii="宋体" w:hAnsi="宋体" w:cs="宋体"/>
                <w:color w:val="auto"/>
                <w:sz w:val="18"/>
                <w:szCs w:val="18"/>
              </w:rPr>
              <w:t>10000元</w:t>
            </w:r>
          </w:p>
        </w:tc>
        <w:tc>
          <w:tcPr>
            <w:tcW w:w="1559" w:type="dxa"/>
            <w:tcBorders>
              <w:top w:val="single" w:color="auto" w:sz="4" w:space="0"/>
              <w:left w:val="single" w:color="auto" w:sz="4" w:space="0"/>
              <w:bottom w:val="single" w:color="auto" w:sz="4" w:space="0"/>
              <w:right w:val="single" w:color="auto" w:sz="4" w:space="0"/>
            </w:tcBorders>
            <w:vAlign w:val="center"/>
          </w:tcPr>
          <w:p w14:paraId="6DF70913">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5分/次</w:t>
            </w:r>
          </w:p>
        </w:tc>
      </w:tr>
      <w:tr w14:paraId="3096DA5F">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8C3F8A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84E362F">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67CC38F">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vAlign w:val="center"/>
          </w:tcPr>
          <w:p w14:paraId="7322CA37">
            <w:pPr>
              <w:rPr>
                <w:rFonts w:ascii="宋体" w:hAnsi="宋体" w:cs="宋体"/>
                <w:color w:val="auto"/>
                <w:sz w:val="18"/>
                <w:szCs w:val="18"/>
              </w:rPr>
            </w:pPr>
            <w:r>
              <w:rPr>
                <w:rFonts w:ascii="宋体" w:hAnsi="宋体" w:cs="宋体"/>
                <w:color w:val="auto"/>
                <w:sz w:val="18"/>
                <w:szCs w:val="18"/>
              </w:rPr>
              <w:t>38.餐厅内外、厨房、操作间、库房等场所应保持卫生、整洁</w:t>
            </w:r>
          </w:p>
        </w:tc>
        <w:tc>
          <w:tcPr>
            <w:tcW w:w="709" w:type="dxa"/>
            <w:tcBorders>
              <w:top w:val="single" w:color="auto" w:sz="4" w:space="0"/>
              <w:left w:val="single" w:color="auto" w:sz="4" w:space="0"/>
              <w:bottom w:val="single" w:color="auto" w:sz="4" w:space="0"/>
              <w:right w:val="single" w:color="auto" w:sz="4" w:space="0"/>
            </w:tcBorders>
            <w:vAlign w:val="center"/>
          </w:tcPr>
          <w:p w14:paraId="7EDD8622">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74FFEB5B">
            <w:pPr>
              <w:rPr>
                <w:rFonts w:ascii="宋体" w:hAnsi="宋体" w:cs="宋体"/>
                <w:color w:val="auto"/>
                <w:sz w:val="18"/>
                <w:szCs w:val="18"/>
              </w:rPr>
            </w:pPr>
            <w:r>
              <w:rPr>
                <w:rFonts w:hint="eastAsia" w:ascii="宋体" w:hAnsi="宋体" w:cs="宋体"/>
                <w:color w:val="auto"/>
                <w:sz w:val="18"/>
                <w:szCs w:val="18"/>
              </w:rPr>
              <w:t>不符合要求的每项支付违约金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48EEB448">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517BC8D9">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5F0BF98">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4A44236">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vAlign w:val="center"/>
          </w:tcPr>
          <w:p w14:paraId="522317C5">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shd w:val="clear" w:color="auto" w:fill="auto"/>
            <w:vAlign w:val="center"/>
          </w:tcPr>
          <w:p w14:paraId="0D1DEB41">
            <w:pPr>
              <w:rPr>
                <w:rFonts w:ascii="宋体" w:hAnsi="宋体" w:cs="宋体"/>
                <w:color w:val="auto"/>
                <w:sz w:val="18"/>
                <w:szCs w:val="18"/>
              </w:rPr>
            </w:pPr>
            <w:r>
              <w:rPr>
                <w:rFonts w:ascii="宋体" w:hAnsi="宋体" w:cs="宋体"/>
                <w:color w:val="auto"/>
                <w:sz w:val="18"/>
                <w:szCs w:val="18"/>
              </w:rPr>
              <w:t>39.食堂内外按照垃圾分类要求设置垃圾桶。应当设置专门的餐厨废弃物收集设施并明显标识，按照规定收集、存放、回收餐厨废弃物、废弃油脂，并建立相</w:t>
            </w:r>
            <w:r>
              <w:rPr>
                <w:rFonts w:hint="eastAsia" w:ascii="宋体" w:hAnsi="宋体" w:cs="宋体"/>
                <w:color w:val="auto"/>
                <w:sz w:val="18"/>
                <w:szCs w:val="18"/>
              </w:rPr>
              <w:t>关制度及台账，及时按照相关规定处置餐厨垃圾，不得私自处理。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1EC46D0">
            <w:pPr>
              <w:rPr>
                <w:rFonts w:ascii="宋体" w:hAnsi="宋体" w:cs="宋体"/>
                <w:color w:val="auto"/>
                <w:sz w:val="18"/>
                <w:szCs w:val="18"/>
              </w:rPr>
            </w:pPr>
            <w:r>
              <w:rPr>
                <w:rFonts w:hint="eastAsia" w:ascii="宋体" w:hAnsi="宋体" w:cs="宋体"/>
                <w:color w:val="auto"/>
                <w:sz w:val="18"/>
                <w:szCs w:val="18"/>
              </w:rPr>
              <w:t>现场</w:t>
            </w:r>
          </w:p>
          <w:p w14:paraId="5D71696F">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A151D24">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1000元/项/次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2FAE149">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1分/项/次</w:t>
            </w:r>
          </w:p>
        </w:tc>
      </w:tr>
      <w:tr w14:paraId="5A6833F7">
        <w:tblPrEx>
          <w:tblCellMar>
            <w:top w:w="0" w:type="dxa"/>
            <w:left w:w="108" w:type="dxa"/>
            <w:bottom w:w="0" w:type="dxa"/>
            <w:right w:w="108" w:type="dxa"/>
          </w:tblCellMar>
        </w:tblPrEx>
        <w:trPr>
          <w:trHeight w:val="645"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70732265">
            <w:pPr>
              <w:rPr>
                <w:rFonts w:ascii="宋体" w:hAnsi="宋体" w:cs="宋体"/>
                <w:color w:val="auto"/>
                <w:sz w:val="18"/>
                <w:szCs w:val="18"/>
              </w:rPr>
            </w:pPr>
            <w:r>
              <w:rPr>
                <w:rFonts w:hint="eastAsia" w:ascii="宋体" w:hAnsi="宋体" w:cs="宋体"/>
                <w:color w:val="auto"/>
                <w:sz w:val="18"/>
                <w:szCs w:val="18"/>
              </w:rPr>
              <w:t>三</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07EC8694">
            <w:pPr>
              <w:rPr>
                <w:rFonts w:ascii="宋体" w:hAnsi="宋体" w:cs="宋体"/>
                <w:color w:val="auto"/>
                <w:sz w:val="18"/>
                <w:szCs w:val="18"/>
              </w:rPr>
            </w:pPr>
            <w:r>
              <w:rPr>
                <w:rFonts w:hint="eastAsia" w:ascii="宋体" w:hAnsi="宋体" w:cs="宋体"/>
                <w:color w:val="auto"/>
                <w:sz w:val="18"/>
                <w:szCs w:val="18"/>
              </w:rPr>
              <w:t>服务质量</w:t>
            </w:r>
          </w:p>
          <w:p w14:paraId="5B58C4A0">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A7BA1C">
            <w:pPr>
              <w:rPr>
                <w:rFonts w:ascii="宋体" w:hAnsi="宋体" w:cs="宋体"/>
                <w:color w:val="auto"/>
                <w:sz w:val="18"/>
                <w:szCs w:val="18"/>
              </w:rPr>
            </w:pPr>
            <w:r>
              <w:rPr>
                <w:rFonts w:ascii="宋体" w:hAnsi="宋体" w:cs="宋体"/>
                <w:color w:val="auto"/>
                <w:sz w:val="18"/>
                <w:szCs w:val="18"/>
              </w:rPr>
              <w:t>40.食堂从业人员应掌握有关食品安全、生产安全基本知识和相关法律法规要求；食堂对员工进行安全、消防、卫生、服务等方面知识进行培训和考核。</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8194FC9">
            <w:pPr>
              <w:rPr>
                <w:rFonts w:ascii="宋体" w:hAnsi="宋体" w:cs="宋体"/>
                <w:color w:val="auto"/>
                <w:sz w:val="18"/>
                <w:szCs w:val="18"/>
              </w:rPr>
            </w:pPr>
            <w:r>
              <w:rPr>
                <w:rFonts w:hint="eastAsia" w:ascii="宋体" w:hAnsi="宋体" w:cs="宋体"/>
                <w:color w:val="auto"/>
                <w:sz w:val="18"/>
                <w:szCs w:val="18"/>
              </w:rPr>
              <w:t>现场</w:t>
            </w:r>
          </w:p>
          <w:p w14:paraId="201A59FD">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37792B4">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1000元/人次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284DA72">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1分/人次</w:t>
            </w:r>
          </w:p>
        </w:tc>
      </w:tr>
      <w:tr w14:paraId="58EE0F77">
        <w:tblPrEx>
          <w:tblCellMar>
            <w:top w:w="0" w:type="dxa"/>
            <w:left w:w="108" w:type="dxa"/>
            <w:bottom w:w="0" w:type="dxa"/>
            <w:right w:w="108" w:type="dxa"/>
          </w:tblCellMar>
        </w:tblPrEx>
        <w:trPr>
          <w:trHeight w:val="645"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32E8428">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32DEBBF">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A20D6B">
            <w:pPr>
              <w:rPr>
                <w:rFonts w:ascii="宋体" w:hAnsi="宋体" w:cs="宋体"/>
                <w:color w:val="auto"/>
                <w:sz w:val="18"/>
                <w:szCs w:val="18"/>
              </w:rPr>
            </w:pPr>
            <w:r>
              <w:rPr>
                <w:rFonts w:ascii="宋体" w:hAnsi="宋体" w:cs="宋体"/>
                <w:color w:val="auto"/>
                <w:sz w:val="18"/>
                <w:szCs w:val="18"/>
              </w:rPr>
              <w:t>41.食堂从业人员应养成良好卫生习惯，工作场所不吸烟，</w:t>
            </w:r>
            <w:r>
              <w:rPr>
                <w:rFonts w:hint="eastAsia" w:ascii="宋体" w:hAnsi="宋体" w:cs="宋体"/>
                <w:color w:val="auto"/>
                <w:sz w:val="18"/>
                <w:szCs w:val="18"/>
              </w:rPr>
              <w:t>不随地吐痰，不戴首饰上岗，长发不外露；所有人员必须穿食堂标志的工作服、仪表端庄，并佩戴工号牌、口罩及厨帽上岗。工作服不得穿到食堂之外的区域。</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474466">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FAEC986">
            <w:pPr>
              <w:rPr>
                <w:rFonts w:ascii="宋体" w:hAnsi="宋体" w:cs="宋体"/>
                <w:color w:val="auto"/>
                <w:sz w:val="18"/>
                <w:szCs w:val="18"/>
              </w:rPr>
            </w:pPr>
            <w:r>
              <w:rPr>
                <w:rFonts w:hint="eastAsia" w:ascii="宋体" w:hAnsi="宋体" w:cs="宋体"/>
                <w:color w:val="auto"/>
                <w:sz w:val="18"/>
                <w:szCs w:val="18"/>
              </w:rPr>
              <w:t>不符合要求每人次支付违约金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299A0052">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1分/人次</w:t>
            </w:r>
          </w:p>
        </w:tc>
      </w:tr>
      <w:tr w14:paraId="0AE51DD3">
        <w:tblPrEx>
          <w:tblCellMar>
            <w:top w:w="0" w:type="dxa"/>
            <w:left w:w="108" w:type="dxa"/>
            <w:bottom w:w="0" w:type="dxa"/>
            <w:right w:w="108" w:type="dxa"/>
          </w:tblCellMar>
        </w:tblPrEx>
        <w:trPr>
          <w:trHeight w:val="555"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1AC6448">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BF45B12">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EC51171">
            <w:pPr>
              <w:rPr>
                <w:rFonts w:ascii="宋体" w:hAnsi="宋体" w:cs="宋体"/>
                <w:color w:val="auto"/>
                <w:sz w:val="18"/>
                <w:szCs w:val="18"/>
              </w:rPr>
            </w:pPr>
            <w:r>
              <w:rPr>
                <w:rFonts w:ascii="宋体" w:hAnsi="宋体" w:cs="宋体"/>
                <w:color w:val="auto"/>
                <w:sz w:val="18"/>
                <w:szCs w:val="18"/>
              </w:rPr>
              <w:t>42.应做到服务及操作程序规范，态度端正，主动热情，文明用语，不和他人发生争吵及正面冲突，上岗期间不做与工作无关的事。</w:t>
            </w:r>
          </w:p>
        </w:tc>
        <w:tc>
          <w:tcPr>
            <w:tcW w:w="709" w:type="dxa"/>
            <w:tcBorders>
              <w:top w:val="single" w:color="auto" w:sz="4" w:space="0"/>
              <w:left w:val="single" w:color="auto" w:sz="4" w:space="0"/>
              <w:bottom w:val="single" w:color="auto" w:sz="4" w:space="0"/>
              <w:right w:val="single" w:color="auto" w:sz="4" w:space="0"/>
            </w:tcBorders>
            <w:vAlign w:val="bottom"/>
          </w:tcPr>
          <w:p w14:paraId="52DB61F7">
            <w:pPr>
              <w:rPr>
                <w:rFonts w:ascii="宋体" w:hAnsi="宋体" w:cs="宋体"/>
                <w:color w:val="auto"/>
                <w:sz w:val="18"/>
                <w:szCs w:val="18"/>
              </w:rPr>
            </w:pPr>
            <w:r>
              <w:rPr>
                <w:rFonts w:hint="eastAsia" w:ascii="宋体" w:hAnsi="宋体" w:cs="宋体"/>
                <w:color w:val="auto"/>
                <w:sz w:val="18"/>
                <w:szCs w:val="18"/>
              </w:rPr>
              <w:t>核实投诉</w:t>
            </w:r>
          </w:p>
        </w:tc>
        <w:tc>
          <w:tcPr>
            <w:tcW w:w="2693" w:type="dxa"/>
            <w:tcBorders>
              <w:top w:val="single" w:color="auto" w:sz="4" w:space="0"/>
              <w:left w:val="single" w:color="auto" w:sz="4" w:space="0"/>
              <w:bottom w:val="single" w:color="auto" w:sz="4" w:space="0"/>
              <w:right w:val="single" w:color="auto" w:sz="4" w:space="0"/>
            </w:tcBorders>
            <w:vAlign w:val="center"/>
          </w:tcPr>
          <w:p w14:paraId="77A68F24">
            <w:pPr>
              <w:rPr>
                <w:rFonts w:ascii="宋体" w:hAnsi="宋体" w:cs="宋体"/>
                <w:color w:val="auto"/>
                <w:sz w:val="18"/>
                <w:szCs w:val="18"/>
              </w:rPr>
            </w:pPr>
            <w:r>
              <w:rPr>
                <w:rFonts w:hint="eastAsia" w:ascii="宋体" w:hAnsi="宋体" w:cs="宋体"/>
                <w:color w:val="auto"/>
                <w:sz w:val="18"/>
                <w:szCs w:val="18"/>
              </w:rPr>
              <w:t>查实后每次支付违约金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79037D71">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1分/人次</w:t>
            </w:r>
          </w:p>
        </w:tc>
      </w:tr>
      <w:tr w14:paraId="5D8F4F76">
        <w:tblPrEx>
          <w:tblCellMar>
            <w:top w:w="0" w:type="dxa"/>
            <w:left w:w="108" w:type="dxa"/>
            <w:bottom w:w="0" w:type="dxa"/>
            <w:right w:w="108" w:type="dxa"/>
          </w:tblCellMar>
        </w:tblPrEx>
        <w:trPr>
          <w:trHeight w:val="51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8874D32">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AA6CC7E">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9FACF6F">
            <w:pPr>
              <w:rPr>
                <w:rFonts w:ascii="宋体" w:hAnsi="宋体" w:cs="宋体"/>
                <w:color w:val="auto"/>
                <w:sz w:val="18"/>
                <w:szCs w:val="18"/>
              </w:rPr>
            </w:pPr>
            <w:r>
              <w:rPr>
                <w:rFonts w:ascii="宋体" w:hAnsi="宋体" w:cs="宋体"/>
                <w:color w:val="auto"/>
                <w:sz w:val="18"/>
                <w:szCs w:val="18"/>
              </w:rPr>
              <w:t>43.应在食堂明显位置设有就餐投诉台(或设立意见箱、意见薄)、餐饮张贴信息化意见反馈系统二维码、失物招领台，及时处理就餐者投诉意见、建议，意见处理和失物招领过程记录清晰。</w:t>
            </w:r>
          </w:p>
        </w:tc>
        <w:tc>
          <w:tcPr>
            <w:tcW w:w="709" w:type="dxa"/>
            <w:tcBorders>
              <w:top w:val="single" w:color="auto" w:sz="4" w:space="0"/>
              <w:left w:val="single" w:color="auto" w:sz="4" w:space="0"/>
              <w:bottom w:val="single" w:color="auto" w:sz="4" w:space="0"/>
              <w:right w:val="single" w:color="auto" w:sz="4" w:space="0"/>
            </w:tcBorders>
            <w:vAlign w:val="center"/>
          </w:tcPr>
          <w:p w14:paraId="401BE141">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E1963E3">
            <w:pPr>
              <w:rPr>
                <w:rFonts w:ascii="宋体" w:hAnsi="宋体" w:cs="宋体"/>
                <w:color w:val="auto"/>
                <w:sz w:val="18"/>
                <w:szCs w:val="18"/>
              </w:rPr>
            </w:pPr>
            <w:r>
              <w:rPr>
                <w:rFonts w:hint="eastAsia" w:ascii="宋体" w:hAnsi="宋体" w:cs="宋体"/>
                <w:color w:val="auto"/>
                <w:sz w:val="18"/>
                <w:szCs w:val="18"/>
              </w:rPr>
              <w:t>不符合要求每次每件支付违约金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57D273A3">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2452D314">
        <w:tblPrEx>
          <w:tblCellMar>
            <w:top w:w="0" w:type="dxa"/>
            <w:left w:w="108" w:type="dxa"/>
            <w:bottom w:w="0" w:type="dxa"/>
            <w:right w:w="108" w:type="dxa"/>
          </w:tblCellMar>
        </w:tblPrEx>
        <w:trPr>
          <w:trHeight w:val="645"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6128DBB5">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B6EFD81">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5D1DE12">
            <w:pPr>
              <w:rPr>
                <w:rFonts w:ascii="宋体" w:hAnsi="宋体" w:cs="宋体"/>
                <w:color w:val="auto"/>
                <w:sz w:val="18"/>
                <w:szCs w:val="18"/>
              </w:rPr>
            </w:pPr>
            <w:r>
              <w:rPr>
                <w:rFonts w:ascii="宋体" w:hAnsi="宋体" w:cs="宋体"/>
                <w:color w:val="auto"/>
                <w:sz w:val="18"/>
                <w:szCs w:val="18"/>
              </w:rPr>
              <w:t>44.应在中、晚餐供应期间向就餐者提供免费汤，并派专人负责管理。</w:t>
            </w:r>
          </w:p>
        </w:tc>
        <w:tc>
          <w:tcPr>
            <w:tcW w:w="709" w:type="dxa"/>
            <w:tcBorders>
              <w:top w:val="single" w:color="auto" w:sz="4" w:space="0"/>
              <w:left w:val="single" w:color="auto" w:sz="4" w:space="0"/>
              <w:bottom w:val="single" w:color="auto" w:sz="4" w:space="0"/>
              <w:right w:val="single" w:color="auto" w:sz="4" w:space="0"/>
            </w:tcBorders>
            <w:vAlign w:val="center"/>
          </w:tcPr>
          <w:p w14:paraId="17244051">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3AED824">
            <w:pPr>
              <w:rPr>
                <w:rFonts w:ascii="宋体" w:hAnsi="宋体" w:cs="宋体"/>
                <w:color w:val="auto"/>
                <w:sz w:val="18"/>
                <w:szCs w:val="18"/>
              </w:rPr>
            </w:pPr>
            <w:r>
              <w:rPr>
                <w:rFonts w:hint="eastAsia" w:ascii="宋体" w:hAnsi="宋体" w:cs="宋体"/>
                <w:color w:val="auto"/>
                <w:sz w:val="18"/>
                <w:szCs w:val="18"/>
              </w:rPr>
              <w:t>不符合要求的每项支付违约金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683F5BD4">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6D8A6B9A">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53EB75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492EF07B">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9276D1">
            <w:pPr>
              <w:rPr>
                <w:rFonts w:ascii="宋体" w:hAnsi="宋体" w:cs="宋体"/>
                <w:color w:val="auto"/>
                <w:sz w:val="18"/>
                <w:szCs w:val="18"/>
              </w:rPr>
            </w:pPr>
            <w:r>
              <w:rPr>
                <w:rFonts w:ascii="宋体" w:hAnsi="宋体" w:cs="宋体"/>
                <w:color w:val="auto"/>
                <w:sz w:val="18"/>
                <w:szCs w:val="18"/>
              </w:rPr>
              <w:t>45.严禁使用非“校园一卡通”刷卡消费模式，严禁使用现金、微信、支付宝等个人或私自收费方式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244654A">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D57788C">
            <w:pPr>
              <w:rPr>
                <w:rFonts w:ascii="宋体" w:hAnsi="宋体" w:cs="宋体"/>
                <w:color w:val="auto"/>
                <w:sz w:val="18"/>
                <w:szCs w:val="18"/>
              </w:rPr>
            </w:pPr>
            <w:r>
              <w:rPr>
                <w:rFonts w:hint="eastAsia" w:ascii="宋体" w:hAnsi="宋体" w:cs="宋体"/>
                <w:color w:val="auto"/>
                <w:sz w:val="18"/>
                <w:szCs w:val="18"/>
              </w:rPr>
              <w:t>经查实后每次支付违约金</w:t>
            </w:r>
            <w:r>
              <w:rPr>
                <w:rFonts w:ascii="宋体" w:hAnsi="宋体" w:cs="宋体"/>
                <w:color w:val="auto"/>
                <w:sz w:val="18"/>
                <w:szCs w:val="18"/>
              </w:rPr>
              <w:t>20000元，若当月发现三次及以上违规交易的情况，按当月营业额的20%支付违约金。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5DCE840">
            <w:pPr>
              <w:rPr>
                <w:rFonts w:ascii="宋体" w:hAnsi="宋体" w:cs="宋体"/>
                <w:color w:val="auto"/>
                <w:sz w:val="18"/>
                <w:szCs w:val="18"/>
              </w:rPr>
            </w:pPr>
            <w:r>
              <w:rPr>
                <w:rFonts w:hint="eastAsia" w:ascii="宋体" w:hAnsi="宋体" w:cs="宋体"/>
                <w:color w:val="auto"/>
                <w:sz w:val="18"/>
                <w:szCs w:val="18"/>
              </w:rPr>
              <w:t>不符合要求前两次</w:t>
            </w:r>
            <w:r>
              <w:rPr>
                <w:rFonts w:ascii="宋体" w:hAnsi="宋体" w:cs="宋体"/>
                <w:color w:val="auto"/>
                <w:sz w:val="18"/>
                <w:szCs w:val="18"/>
              </w:rPr>
              <w:t>5分/次，第三次起当学期考核等次直接为不合格</w:t>
            </w:r>
          </w:p>
        </w:tc>
      </w:tr>
      <w:tr w14:paraId="6936AF21">
        <w:tblPrEx>
          <w:tblCellMar>
            <w:top w:w="0" w:type="dxa"/>
            <w:left w:w="108" w:type="dxa"/>
            <w:bottom w:w="0" w:type="dxa"/>
            <w:right w:w="108" w:type="dxa"/>
          </w:tblCellMar>
        </w:tblPrEx>
        <w:trPr>
          <w:trHeight w:val="780"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4731BDB6">
            <w:pPr>
              <w:rPr>
                <w:rFonts w:ascii="宋体" w:hAnsi="宋体" w:cs="宋体"/>
                <w:color w:val="auto"/>
                <w:sz w:val="18"/>
                <w:szCs w:val="18"/>
              </w:rPr>
            </w:pPr>
            <w:r>
              <w:rPr>
                <w:rFonts w:hint="eastAsia" w:ascii="宋体" w:hAnsi="宋体" w:cs="宋体"/>
                <w:color w:val="auto"/>
                <w:sz w:val="18"/>
                <w:szCs w:val="18"/>
              </w:rPr>
              <w:t>四</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5262C0C4">
            <w:pPr>
              <w:rPr>
                <w:rFonts w:ascii="宋体" w:hAnsi="宋体" w:cs="宋体"/>
                <w:color w:val="auto"/>
                <w:sz w:val="18"/>
                <w:szCs w:val="18"/>
              </w:rPr>
            </w:pPr>
            <w:r>
              <w:rPr>
                <w:rFonts w:hint="eastAsia" w:ascii="宋体" w:hAnsi="宋体" w:cs="宋体"/>
                <w:color w:val="auto"/>
                <w:sz w:val="18"/>
                <w:szCs w:val="18"/>
              </w:rPr>
              <w:t>经营秩序</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8653052">
            <w:pPr>
              <w:rPr>
                <w:rFonts w:ascii="宋体" w:hAnsi="宋体" w:cs="宋体"/>
                <w:color w:val="auto"/>
                <w:sz w:val="18"/>
                <w:szCs w:val="18"/>
              </w:rPr>
            </w:pPr>
            <w:r>
              <w:rPr>
                <w:rFonts w:ascii="宋体" w:hAnsi="宋体" w:cs="宋体"/>
                <w:color w:val="auto"/>
                <w:sz w:val="18"/>
                <w:szCs w:val="18"/>
              </w:rPr>
              <w:t>46.食堂经营企业不得将食堂全部或者部分转包、分包、转租、转借或其他任意形式转交给任何单位或个人进行经营</w:t>
            </w:r>
          </w:p>
        </w:tc>
        <w:tc>
          <w:tcPr>
            <w:tcW w:w="709" w:type="dxa"/>
            <w:tcBorders>
              <w:top w:val="single" w:color="auto" w:sz="4" w:space="0"/>
              <w:left w:val="single" w:color="auto" w:sz="4" w:space="0"/>
              <w:bottom w:val="single" w:color="auto" w:sz="4" w:space="0"/>
              <w:right w:val="single" w:color="auto" w:sz="4" w:space="0"/>
            </w:tcBorders>
            <w:vAlign w:val="center"/>
          </w:tcPr>
          <w:p w14:paraId="501ECBCC">
            <w:pPr>
              <w:rPr>
                <w:rFonts w:ascii="宋体" w:hAnsi="宋体" w:cs="宋体"/>
                <w:color w:val="auto"/>
                <w:sz w:val="18"/>
                <w:szCs w:val="18"/>
              </w:rPr>
            </w:pPr>
            <w:r>
              <w:rPr>
                <w:rFonts w:hint="eastAsia" w:ascii="宋体" w:hAnsi="宋体" w:cs="宋体"/>
                <w:color w:val="auto"/>
                <w:sz w:val="18"/>
                <w:szCs w:val="18"/>
              </w:rPr>
              <w:t>依据合同</w:t>
            </w:r>
          </w:p>
        </w:tc>
        <w:tc>
          <w:tcPr>
            <w:tcW w:w="2693" w:type="dxa"/>
            <w:tcBorders>
              <w:top w:val="single" w:color="auto" w:sz="4" w:space="0"/>
              <w:left w:val="single" w:color="auto" w:sz="4" w:space="0"/>
              <w:bottom w:val="single" w:color="auto" w:sz="4" w:space="0"/>
              <w:right w:val="single" w:color="auto" w:sz="4" w:space="0"/>
            </w:tcBorders>
            <w:vAlign w:val="center"/>
          </w:tcPr>
          <w:p w14:paraId="5695E6CD">
            <w:pPr>
              <w:rPr>
                <w:rFonts w:ascii="宋体" w:hAnsi="宋体" w:cs="宋体"/>
                <w:color w:val="auto"/>
                <w:sz w:val="18"/>
                <w:szCs w:val="18"/>
              </w:rPr>
            </w:pPr>
            <w:r>
              <w:rPr>
                <w:rFonts w:hint="eastAsia" w:ascii="宋体" w:hAnsi="宋体" w:cs="宋体"/>
                <w:color w:val="auto"/>
                <w:sz w:val="18"/>
                <w:szCs w:val="18"/>
              </w:rPr>
              <w:t>不符合要求的每次支付违约金</w:t>
            </w:r>
            <w:r>
              <w:rPr>
                <w:rFonts w:ascii="宋体" w:hAnsi="宋体" w:cs="宋体"/>
                <w:color w:val="auto"/>
                <w:sz w:val="18"/>
                <w:szCs w:val="18"/>
              </w:rPr>
              <w:t>100000元并整改到位，学校有权解除合同。</w:t>
            </w:r>
          </w:p>
        </w:tc>
        <w:tc>
          <w:tcPr>
            <w:tcW w:w="1559" w:type="dxa"/>
            <w:tcBorders>
              <w:top w:val="single" w:color="auto" w:sz="4" w:space="0"/>
              <w:left w:val="single" w:color="auto" w:sz="4" w:space="0"/>
              <w:bottom w:val="single" w:color="auto" w:sz="4" w:space="0"/>
              <w:right w:val="single" w:color="auto" w:sz="4" w:space="0"/>
            </w:tcBorders>
            <w:vAlign w:val="center"/>
          </w:tcPr>
          <w:p w14:paraId="2CFBC483">
            <w:pPr>
              <w:rPr>
                <w:rFonts w:ascii="宋体" w:hAnsi="宋体" w:cs="宋体"/>
                <w:color w:val="auto"/>
                <w:sz w:val="18"/>
                <w:szCs w:val="18"/>
              </w:rPr>
            </w:pPr>
            <w:r>
              <w:rPr>
                <w:rFonts w:hint="eastAsia" w:ascii="宋体" w:hAnsi="宋体" w:cs="宋体"/>
                <w:color w:val="auto"/>
                <w:sz w:val="18"/>
                <w:szCs w:val="18"/>
              </w:rPr>
              <w:t>不符合要求的，涉事当学期考核不合格。</w:t>
            </w:r>
          </w:p>
        </w:tc>
      </w:tr>
      <w:tr w14:paraId="55FEB593">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0E7A2DDF">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33B2953">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E85F132">
            <w:pPr>
              <w:rPr>
                <w:rFonts w:ascii="宋体" w:hAnsi="宋体" w:cs="宋体"/>
                <w:color w:val="auto"/>
                <w:sz w:val="18"/>
                <w:szCs w:val="18"/>
              </w:rPr>
            </w:pPr>
            <w:r>
              <w:rPr>
                <w:rFonts w:ascii="宋体" w:hAnsi="宋体" w:cs="宋体"/>
                <w:color w:val="auto"/>
                <w:sz w:val="18"/>
                <w:szCs w:val="18"/>
              </w:rPr>
              <w:t>47.应严格遵循报备的菜品价格，不得擅自变动食品售价。</w:t>
            </w:r>
          </w:p>
        </w:tc>
        <w:tc>
          <w:tcPr>
            <w:tcW w:w="709" w:type="dxa"/>
            <w:tcBorders>
              <w:top w:val="single" w:color="auto" w:sz="4" w:space="0"/>
              <w:left w:val="single" w:color="auto" w:sz="4" w:space="0"/>
              <w:bottom w:val="single" w:color="auto" w:sz="4" w:space="0"/>
              <w:right w:val="single" w:color="auto" w:sz="4" w:space="0"/>
            </w:tcBorders>
            <w:vAlign w:val="center"/>
          </w:tcPr>
          <w:p w14:paraId="095E3F92">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6F65B392">
            <w:pPr>
              <w:rPr>
                <w:rFonts w:ascii="宋体" w:hAnsi="宋体" w:cs="宋体"/>
                <w:color w:val="auto"/>
                <w:sz w:val="18"/>
                <w:szCs w:val="18"/>
              </w:rPr>
            </w:pPr>
            <w:r>
              <w:rPr>
                <w:rFonts w:hint="eastAsia" w:ascii="宋体" w:hAnsi="宋体" w:cs="宋体"/>
                <w:color w:val="auto"/>
                <w:sz w:val="18"/>
                <w:szCs w:val="18"/>
              </w:rPr>
              <w:t>若擅自变更食品售价，每一菜品支付违约金</w:t>
            </w:r>
            <w:r>
              <w:rPr>
                <w:rFonts w:ascii="宋体" w:hAnsi="宋体" w:cs="宋体"/>
                <w:color w:val="auto"/>
                <w:sz w:val="18"/>
                <w:szCs w:val="18"/>
              </w:rPr>
              <w:t>5000元</w:t>
            </w:r>
          </w:p>
        </w:tc>
        <w:tc>
          <w:tcPr>
            <w:tcW w:w="1559" w:type="dxa"/>
            <w:tcBorders>
              <w:top w:val="single" w:color="auto" w:sz="4" w:space="0"/>
              <w:left w:val="single" w:color="auto" w:sz="4" w:space="0"/>
              <w:bottom w:val="single" w:color="auto" w:sz="4" w:space="0"/>
              <w:right w:val="single" w:color="auto" w:sz="4" w:space="0"/>
            </w:tcBorders>
            <w:vAlign w:val="center"/>
          </w:tcPr>
          <w:p w14:paraId="40DC1A55">
            <w:pPr>
              <w:rPr>
                <w:rFonts w:ascii="宋体" w:hAnsi="宋体" w:cs="宋体"/>
                <w:color w:val="auto"/>
                <w:sz w:val="18"/>
                <w:szCs w:val="18"/>
              </w:rPr>
            </w:pPr>
            <w:r>
              <w:rPr>
                <w:rFonts w:hint="eastAsia" w:ascii="宋体" w:hAnsi="宋体" w:cs="宋体"/>
                <w:color w:val="auto"/>
                <w:sz w:val="18"/>
                <w:szCs w:val="18"/>
              </w:rPr>
              <w:t>擅自变更食品售价的扣</w:t>
            </w:r>
            <w:r>
              <w:rPr>
                <w:rFonts w:ascii="宋体" w:hAnsi="宋体" w:cs="宋体"/>
                <w:color w:val="auto"/>
                <w:sz w:val="18"/>
                <w:szCs w:val="18"/>
              </w:rPr>
              <w:t>5分/种/次</w:t>
            </w:r>
          </w:p>
        </w:tc>
      </w:tr>
      <w:tr w14:paraId="1A47E18F">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7789E5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CE6E04A">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DB966D">
            <w:pPr>
              <w:rPr>
                <w:rFonts w:ascii="宋体" w:hAnsi="宋体" w:cs="宋体"/>
                <w:color w:val="auto"/>
                <w:sz w:val="18"/>
                <w:szCs w:val="18"/>
              </w:rPr>
            </w:pPr>
            <w:r>
              <w:rPr>
                <w:rFonts w:ascii="宋体" w:hAnsi="宋体" w:cs="宋体"/>
                <w:color w:val="auto"/>
                <w:sz w:val="18"/>
                <w:szCs w:val="18"/>
              </w:rPr>
              <w:t>48.严格</w:t>
            </w:r>
            <w:r>
              <w:rPr>
                <w:rFonts w:hint="eastAsia" w:ascii="宋体" w:hAnsi="宋体" w:cs="宋体"/>
                <w:color w:val="auto"/>
                <w:sz w:val="18"/>
                <w:szCs w:val="18"/>
              </w:rPr>
              <w:t>按照食材配比制作，保证菜品质量；不出售隔夜菜。</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D427D44">
            <w:pPr>
              <w:rPr>
                <w:rFonts w:ascii="宋体" w:hAnsi="宋体" w:cs="宋体"/>
                <w:color w:val="auto"/>
                <w:sz w:val="18"/>
                <w:szCs w:val="18"/>
              </w:rPr>
            </w:pPr>
            <w:r>
              <w:rPr>
                <w:rFonts w:hint="eastAsia" w:ascii="宋体" w:hAnsi="宋体" w:cs="宋体"/>
                <w:color w:val="auto"/>
                <w:sz w:val="18"/>
                <w:szCs w:val="18"/>
              </w:rPr>
              <w:t>投诉</w:t>
            </w:r>
          </w:p>
          <w:p w14:paraId="4E2BC88A">
            <w:pPr>
              <w:rPr>
                <w:rFonts w:ascii="宋体" w:hAnsi="宋体" w:cs="宋体"/>
                <w:color w:val="auto"/>
                <w:sz w:val="18"/>
                <w:szCs w:val="18"/>
              </w:rPr>
            </w:pPr>
            <w:r>
              <w:rPr>
                <w:rFonts w:hint="eastAsia" w:ascii="宋体" w:hAnsi="宋体" w:cs="宋体"/>
                <w:color w:val="auto"/>
                <w:sz w:val="18"/>
                <w:szCs w:val="18"/>
              </w:rPr>
              <w:t>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3229C24">
            <w:pPr>
              <w:rPr>
                <w:rFonts w:ascii="宋体" w:hAnsi="宋体" w:cs="宋体"/>
                <w:color w:val="auto"/>
                <w:sz w:val="18"/>
                <w:szCs w:val="18"/>
              </w:rPr>
            </w:pPr>
            <w:r>
              <w:rPr>
                <w:rFonts w:hint="eastAsia" w:ascii="宋体" w:hAnsi="宋体" w:cs="宋体"/>
                <w:color w:val="auto"/>
                <w:sz w:val="18"/>
                <w:szCs w:val="18"/>
              </w:rPr>
              <w:t>不符合要求的每次支付违约金</w:t>
            </w:r>
            <w:r>
              <w:rPr>
                <w:rFonts w:ascii="宋体" w:hAnsi="宋体" w:cs="宋体"/>
                <w:color w:val="auto"/>
                <w:sz w:val="18"/>
                <w:szCs w:val="18"/>
              </w:rPr>
              <w:t>1000元/次；非当天加工的支付违约金5000元/次；引发舆情的</w:t>
            </w:r>
            <w:r>
              <w:rPr>
                <w:rFonts w:hint="eastAsia" w:ascii="宋体" w:hAnsi="宋体" w:cs="宋体"/>
                <w:color w:val="auto"/>
                <w:sz w:val="18"/>
                <w:szCs w:val="18"/>
              </w:rPr>
              <w:t>视影响支付违约金</w:t>
            </w:r>
            <w:r>
              <w:rPr>
                <w:rFonts w:ascii="宋体" w:hAnsi="宋体" w:cs="宋体"/>
                <w:color w:val="auto"/>
                <w:sz w:val="18"/>
                <w:szCs w:val="18"/>
              </w:rPr>
              <w:t>2000元-10000元/次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BBEFAFE">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1分/次；非当天加工的扣1分/次；引发舆情的</w:t>
            </w:r>
            <w:r>
              <w:rPr>
                <w:rFonts w:hint="eastAsia" w:ascii="宋体" w:hAnsi="宋体" w:cs="宋体"/>
                <w:color w:val="auto"/>
                <w:sz w:val="18"/>
                <w:szCs w:val="18"/>
              </w:rPr>
              <w:t>视影响情况扣</w:t>
            </w:r>
            <w:r>
              <w:rPr>
                <w:rFonts w:ascii="宋体" w:hAnsi="宋体" w:cs="宋体"/>
                <w:color w:val="auto"/>
                <w:sz w:val="18"/>
                <w:szCs w:val="18"/>
              </w:rPr>
              <w:t>5分/次</w:t>
            </w:r>
          </w:p>
        </w:tc>
      </w:tr>
      <w:tr w14:paraId="71BE8BBB">
        <w:tblPrEx>
          <w:tblCellMar>
            <w:top w:w="0" w:type="dxa"/>
            <w:left w:w="108" w:type="dxa"/>
            <w:bottom w:w="0" w:type="dxa"/>
            <w:right w:w="108" w:type="dxa"/>
          </w:tblCellMar>
        </w:tblPrEx>
        <w:trPr>
          <w:trHeight w:val="63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5058330">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F31FADF">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B6D0A41">
            <w:pPr>
              <w:rPr>
                <w:rFonts w:ascii="宋体" w:hAnsi="宋体" w:cs="宋体"/>
                <w:color w:val="auto"/>
                <w:sz w:val="18"/>
                <w:szCs w:val="18"/>
              </w:rPr>
            </w:pPr>
            <w:r>
              <w:rPr>
                <w:rFonts w:ascii="宋体" w:hAnsi="宋体" w:cs="宋体"/>
                <w:color w:val="auto"/>
                <w:sz w:val="18"/>
                <w:szCs w:val="18"/>
              </w:rPr>
              <w:t>49.应遵守合同约定，不得超范围进行经营</w:t>
            </w:r>
          </w:p>
        </w:tc>
        <w:tc>
          <w:tcPr>
            <w:tcW w:w="709" w:type="dxa"/>
            <w:tcBorders>
              <w:top w:val="single" w:color="auto" w:sz="4" w:space="0"/>
              <w:left w:val="single" w:color="auto" w:sz="4" w:space="0"/>
              <w:bottom w:val="single" w:color="auto" w:sz="4" w:space="0"/>
              <w:right w:val="single" w:color="auto" w:sz="4" w:space="0"/>
            </w:tcBorders>
            <w:vAlign w:val="center"/>
          </w:tcPr>
          <w:p w14:paraId="3CFF2D72">
            <w:pPr>
              <w:rPr>
                <w:rFonts w:ascii="宋体" w:hAnsi="宋体" w:cs="宋体"/>
                <w:color w:val="auto"/>
                <w:sz w:val="18"/>
                <w:szCs w:val="18"/>
              </w:rPr>
            </w:pPr>
            <w:r>
              <w:rPr>
                <w:rFonts w:hint="eastAsia" w:ascii="宋体" w:hAnsi="宋体" w:cs="宋体"/>
                <w:color w:val="auto"/>
                <w:sz w:val="18"/>
                <w:szCs w:val="18"/>
              </w:rPr>
              <w:t>依据合同</w:t>
            </w:r>
          </w:p>
        </w:tc>
        <w:tc>
          <w:tcPr>
            <w:tcW w:w="2693" w:type="dxa"/>
            <w:tcBorders>
              <w:top w:val="single" w:color="auto" w:sz="4" w:space="0"/>
              <w:left w:val="single" w:color="auto" w:sz="4" w:space="0"/>
              <w:bottom w:val="single" w:color="auto" w:sz="4" w:space="0"/>
              <w:right w:val="single" w:color="auto" w:sz="4" w:space="0"/>
            </w:tcBorders>
            <w:vAlign w:val="center"/>
          </w:tcPr>
          <w:p w14:paraId="53EAA560">
            <w:pPr>
              <w:rPr>
                <w:rFonts w:ascii="宋体" w:hAnsi="宋体" w:cs="宋体"/>
                <w:color w:val="auto"/>
                <w:sz w:val="18"/>
                <w:szCs w:val="18"/>
              </w:rPr>
            </w:pPr>
            <w:r>
              <w:rPr>
                <w:rFonts w:hint="eastAsia" w:ascii="宋体" w:hAnsi="宋体" w:cs="宋体"/>
                <w:color w:val="auto"/>
                <w:sz w:val="18"/>
                <w:szCs w:val="18"/>
              </w:rPr>
              <w:t>超范围经营每次支付违约金</w:t>
            </w:r>
            <w:r>
              <w:rPr>
                <w:rFonts w:ascii="宋体" w:hAnsi="宋体" w:cs="宋体"/>
                <w:color w:val="auto"/>
                <w:sz w:val="18"/>
                <w:szCs w:val="18"/>
              </w:rPr>
              <w:t>10000元</w:t>
            </w:r>
          </w:p>
        </w:tc>
        <w:tc>
          <w:tcPr>
            <w:tcW w:w="1559" w:type="dxa"/>
            <w:tcBorders>
              <w:top w:val="single" w:color="auto" w:sz="4" w:space="0"/>
              <w:left w:val="single" w:color="auto" w:sz="4" w:space="0"/>
              <w:bottom w:val="single" w:color="auto" w:sz="4" w:space="0"/>
              <w:right w:val="single" w:color="auto" w:sz="4" w:space="0"/>
            </w:tcBorders>
            <w:vAlign w:val="center"/>
          </w:tcPr>
          <w:p w14:paraId="5B7D06FE">
            <w:pPr>
              <w:rPr>
                <w:rFonts w:ascii="宋体" w:hAnsi="宋体" w:cs="宋体"/>
                <w:color w:val="auto"/>
                <w:sz w:val="18"/>
                <w:szCs w:val="18"/>
              </w:rPr>
            </w:pPr>
            <w:r>
              <w:rPr>
                <w:rFonts w:hint="eastAsia" w:ascii="宋体" w:hAnsi="宋体" w:cs="宋体"/>
                <w:color w:val="auto"/>
                <w:sz w:val="18"/>
                <w:szCs w:val="18"/>
              </w:rPr>
              <w:t>超范围经营的扣</w:t>
            </w:r>
            <w:r>
              <w:rPr>
                <w:rFonts w:ascii="宋体" w:hAnsi="宋体" w:cs="宋体"/>
                <w:color w:val="auto"/>
                <w:sz w:val="18"/>
                <w:szCs w:val="18"/>
              </w:rPr>
              <w:t>5分/次</w:t>
            </w:r>
          </w:p>
        </w:tc>
      </w:tr>
      <w:tr w14:paraId="40279736">
        <w:tblPrEx>
          <w:tblCellMar>
            <w:top w:w="0" w:type="dxa"/>
            <w:left w:w="108" w:type="dxa"/>
            <w:bottom w:w="0" w:type="dxa"/>
            <w:right w:w="108" w:type="dxa"/>
          </w:tblCellMar>
        </w:tblPrEx>
        <w:trPr>
          <w:trHeight w:val="630"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3A71558E">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476C382">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EA2978">
            <w:pPr>
              <w:rPr>
                <w:rFonts w:ascii="宋体" w:hAnsi="宋体" w:cs="宋体"/>
                <w:color w:val="auto"/>
                <w:sz w:val="18"/>
                <w:szCs w:val="18"/>
              </w:rPr>
            </w:pPr>
            <w:r>
              <w:rPr>
                <w:rFonts w:ascii="宋体" w:hAnsi="宋体" w:cs="宋体"/>
                <w:color w:val="auto"/>
                <w:sz w:val="18"/>
                <w:szCs w:val="18"/>
              </w:rPr>
              <w:t>50.应按时向学生提供符合卫生要求的热菜热饭（早上6：30—晚上22：30）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1495381">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D0D197D">
            <w:pPr>
              <w:rPr>
                <w:rFonts w:ascii="宋体" w:hAnsi="宋体" w:cs="宋体"/>
                <w:color w:val="auto"/>
                <w:sz w:val="18"/>
                <w:szCs w:val="18"/>
              </w:rPr>
            </w:pPr>
            <w:r>
              <w:rPr>
                <w:rFonts w:hint="eastAsia" w:ascii="宋体" w:hAnsi="宋体" w:cs="宋体"/>
                <w:color w:val="auto"/>
                <w:sz w:val="18"/>
                <w:szCs w:val="18"/>
              </w:rPr>
              <w:t>未经书面同意擅自关闭食堂的全部或部分经营窗口，按每档口每关闭一餐支付违约金</w:t>
            </w:r>
            <w:r>
              <w:rPr>
                <w:rFonts w:ascii="宋体" w:hAnsi="宋体" w:cs="宋体"/>
                <w:color w:val="auto"/>
                <w:sz w:val="18"/>
                <w:szCs w:val="18"/>
              </w:rPr>
              <w:t>20000元</w:t>
            </w:r>
            <w:r>
              <w:rPr>
                <w:rFonts w:hint="eastAsia" w:ascii="宋体" w:hAnsi="宋体" w:cs="宋体"/>
                <w:color w:val="auto"/>
                <w:sz w:val="18"/>
                <w:szCs w:val="18"/>
              </w:rPr>
              <w:t>，学校保留解除合同、取消食堂经营者经营管理资格的权利。</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AC08D30">
            <w:pPr>
              <w:rPr>
                <w:rFonts w:ascii="宋体" w:hAnsi="宋体" w:cs="宋体"/>
                <w:color w:val="auto"/>
                <w:sz w:val="18"/>
                <w:szCs w:val="18"/>
              </w:rPr>
            </w:pPr>
            <w:r>
              <w:rPr>
                <w:rFonts w:hint="eastAsia" w:ascii="宋体" w:hAnsi="宋体" w:cs="宋体"/>
                <w:color w:val="auto"/>
                <w:sz w:val="18"/>
                <w:szCs w:val="18"/>
              </w:rPr>
              <w:t>未经书面同意擅自关闭食堂的全部或部分经营档口的扣</w:t>
            </w:r>
            <w:r>
              <w:rPr>
                <w:rFonts w:ascii="宋体" w:hAnsi="宋体" w:cs="宋体"/>
                <w:color w:val="auto"/>
                <w:sz w:val="18"/>
                <w:szCs w:val="18"/>
              </w:rPr>
              <w:t>5分/档口/餐</w:t>
            </w:r>
          </w:p>
        </w:tc>
      </w:tr>
      <w:tr w14:paraId="04E6A091">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1AEFE68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69FD735">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442FA9">
            <w:pPr>
              <w:rPr>
                <w:rFonts w:ascii="宋体" w:hAnsi="宋体" w:cs="宋体"/>
                <w:color w:val="auto"/>
                <w:sz w:val="18"/>
                <w:szCs w:val="18"/>
              </w:rPr>
            </w:pPr>
            <w:r>
              <w:rPr>
                <w:rFonts w:ascii="宋体" w:hAnsi="宋体" w:cs="宋体"/>
                <w:color w:val="auto"/>
                <w:sz w:val="18"/>
                <w:szCs w:val="18"/>
              </w:rPr>
              <w:t>51.经营服务内容不能摆至食堂大门以外，不得经营露天夜啤酒、烧烤等影响校园环境卫生的项目，不得影响周边师生休息。</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8985768">
            <w:pPr>
              <w:rPr>
                <w:rFonts w:ascii="宋体" w:hAnsi="宋体" w:cs="宋体"/>
                <w:color w:val="auto"/>
                <w:sz w:val="18"/>
                <w:szCs w:val="18"/>
              </w:rPr>
            </w:pPr>
            <w:r>
              <w:rPr>
                <w:rFonts w:hint="eastAsia" w:ascii="宋体" w:hAnsi="宋体" w:cs="宋体"/>
                <w:color w:val="auto"/>
                <w:sz w:val="18"/>
                <w:szCs w:val="18"/>
              </w:rPr>
              <w:t>现场</w:t>
            </w:r>
          </w:p>
          <w:p w14:paraId="57F8205B">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1891D4A">
            <w:pPr>
              <w:rPr>
                <w:rFonts w:ascii="宋体" w:hAnsi="宋体" w:cs="宋体"/>
                <w:color w:val="auto"/>
                <w:sz w:val="18"/>
                <w:szCs w:val="18"/>
              </w:rPr>
            </w:pPr>
            <w:r>
              <w:rPr>
                <w:rFonts w:hint="eastAsia" w:ascii="宋体" w:hAnsi="宋体" w:cs="宋体"/>
                <w:color w:val="auto"/>
                <w:sz w:val="18"/>
                <w:szCs w:val="18"/>
              </w:rPr>
              <w:t>违规的支付违约金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2FE50D2">
            <w:pPr>
              <w:rPr>
                <w:rFonts w:ascii="宋体" w:hAnsi="宋体" w:cs="宋体"/>
                <w:color w:val="auto"/>
                <w:sz w:val="18"/>
                <w:szCs w:val="18"/>
              </w:rPr>
            </w:pPr>
            <w:r>
              <w:rPr>
                <w:rFonts w:hint="eastAsia" w:ascii="宋体" w:hAnsi="宋体" w:cs="宋体"/>
                <w:color w:val="auto"/>
                <w:sz w:val="18"/>
                <w:szCs w:val="18"/>
              </w:rPr>
              <w:t>违规的扣</w:t>
            </w:r>
            <w:r>
              <w:rPr>
                <w:rFonts w:ascii="宋体" w:hAnsi="宋体" w:cs="宋体"/>
                <w:color w:val="auto"/>
                <w:sz w:val="18"/>
                <w:szCs w:val="18"/>
              </w:rPr>
              <w:t>1分/次</w:t>
            </w:r>
          </w:p>
        </w:tc>
      </w:tr>
      <w:tr w14:paraId="45FDAAE2">
        <w:tblPrEx>
          <w:tblCellMar>
            <w:top w:w="0" w:type="dxa"/>
            <w:left w:w="108" w:type="dxa"/>
            <w:bottom w:w="0" w:type="dxa"/>
            <w:right w:w="108" w:type="dxa"/>
          </w:tblCellMar>
        </w:tblPrEx>
        <w:trPr>
          <w:trHeight w:val="786"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14:paraId="53C89A18">
            <w:pPr>
              <w:rPr>
                <w:rFonts w:ascii="宋体" w:hAnsi="宋体" w:cs="宋体"/>
                <w:color w:val="auto"/>
                <w:sz w:val="18"/>
                <w:szCs w:val="18"/>
              </w:rPr>
            </w:pPr>
            <w:r>
              <w:rPr>
                <w:rFonts w:hint="eastAsia" w:ascii="宋体" w:hAnsi="宋体" w:cs="宋体"/>
                <w:color w:val="auto"/>
                <w:sz w:val="18"/>
                <w:szCs w:val="18"/>
              </w:rPr>
              <w:t>五</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46B9E309">
            <w:pPr>
              <w:rPr>
                <w:rFonts w:ascii="宋体" w:hAnsi="宋体" w:cs="宋体"/>
                <w:color w:val="auto"/>
                <w:sz w:val="18"/>
                <w:szCs w:val="18"/>
              </w:rPr>
            </w:pPr>
            <w:r>
              <w:rPr>
                <w:rFonts w:hint="eastAsia" w:ascii="宋体" w:hAnsi="宋体" w:cs="宋体"/>
                <w:color w:val="auto"/>
                <w:sz w:val="18"/>
                <w:szCs w:val="18"/>
              </w:rPr>
              <w:t>服务育人</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C92EF6">
            <w:pPr>
              <w:rPr>
                <w:rFonts w:ascii="宋体" w:hAnsi="宋体" w:cs="宋体"/>
                <w:color w:val="auto"/>
                <w:sz w:val="18"/>
                <w:szCs w:val="18"/>
              </w:rPr>
            </w:pPr>
            <w:r>
              <w:rPr>
                <w:rFonts w:ascii="宋体" w:hAnsi="宋体" w:cs="宋体"/>
                <w:color w:val="auto"/>
                <w:sz w:val="18"/>
                <w:szCs w:val="18"/>
              </w:rPr>
              <w:t>52.按学校要求认真配合学生在食堂开展劳动教育。</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2FF50B0">
            <w:pPr>
              <w:rPr>
                <w:rFonts w:ascii="宋体" w:hAnsi="宋体" w:cs="宋体"/>
                <w:color w:val="auto"/>
                <w:sz w:val="18"/>
                <w:szCs w:val="18"/>
              </w:rPr>
            </w:pPr>
            <w:r>
              <w:rPr>
                <w:rFonts w:hint="eastAsia" w:ascii="宋体" w:hAnsi="宋体" w:cs="宋体"/>
                <w:color w:val="auto"/>
                <w:sz w:val="18"/>
                <w:szCs w:val="18"/>
              </w:rPr>
              <w:t>活动</w:t>
            </w:r>
          </w:p>
          <w:p w14:paraId="3D49730B">
            <w:pPr>
              <w:rPr>
                <w:rFonts w:ascii="宋体" w:hAnsi="宋体" w:cs="宋体"/>
                <w:color w:val="auto"/>
                <w:sz w:val="18"/>
                <w:szCs w:val="18"/>
              </w:rPr>
            </w:pPr>
            <w:r>
              <w:rPr>
                <w:rFonts w:hint="eastAsia" w:ascii="宋体" w:hAnsi="宋体" w:cs="宋体"/>
                <w:color w:val="auto"/>
                <w:sz w:val="18"/>
                <w:szCs w:val="18"/>
              </w:rPr>
              <w:t>安排</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C73264A">
            <w:pPr>
              <w:rPr>
                <w:rFonts w:ascii="宋体" w:hAnsi="宋体" w:cs="宋体"/>
                <w:color w:val="auto"/>
                <w:sz w:val="18"/>
                <w:szCs w:val="18"/>
              </w:rPr>
            </w:pPr>
            <w:r>
              <w:rPr>
                <w:rFonts w:hint="eastAsia" w:ascii="宋体" w:hAnsi="宋体" w:cs="宋体"/>
                <w:color w:val="auto"/>
                <w:sz w:val="18"/>
                <w:szCs w:val="18"/>
              </w:rPr>
              <w:t>未认真配合开展的支付违约金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FA6ED00">
            <w:pPr>
              <w:rPr>
                <w:rFonts w:ascii="宋体" w:hAnsi="宋体" w:cs="宋体"/>
                <w:color w:val="auto"/>
                <w:sz w:val="18"/>
                <w:szCs w:val="18"/>
              </w:rPr>
            </w:pPr>
            <w:r>
              <w:rPr>
                <w:rFonts w:hint="eastAsia" w:ascii="宋体" w:hAnsi="宋体" w:cs="宋体"/>
                <w:color w:val="auto"/>
                <w:sz w:val="18"/>
                <w:szCs w:val="18"/>
              </w:rPr>
              <w:t>未认真配合开展的扣</w:t>
            </w:r>
            <w:r>
              <w:rPr>
                <w:rFonts w:ascii="宋体" w:hAnsi="宋体" w:cs="宋体"/>
                <w:color w:val="auto"/>
                <w:sz w:val="18"/>
                <w:szCs w:val="18"/>
              </w:rPr>
              <w:t>1分/次</w:t>
            </w:r>
          </w:p>
        </w:tc>
      </w:tr>
      <w:tr w14:paraId="09706ED5">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492A586D">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C01063A">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05FDA">
            <w:pPr>
              <w:rPr>
                <w:rFonts w:ascii="宋体" w:hAnsi="宋体" w:cs="宋体"/>
                <w:color w:val="auto"/>
                <w:sz w:val="18"/>
                <w:szCs w:val="18"/>
              </w:rPr>
            </w:pPr>
            <w:r>
              <w:rPr>
                <w:rFonts w:ascii="宋体" w:hAnsi="宋体" w:cs="宋体"/>
                <w:color w:val="auto"/>
                <w:sz w:val="18"/>
                <w:szCs w:val="18"/>
              </w:rPr>
              <w:t>53.提供勤工俭学岗位及免费用餐。不得拒绝特殊困难学生免费餐食。</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50A462">
            <w:pPr>
              <w:rPr>
                <w:rFonts w:ascii="宋体" w:hAnsi="宋体" w:cs="宋体"/>
                <w:color w:val="auto"/>
                <w:sz w:val="18"/>
                <w:szCs w:val="18"/>
              </w:rPr>
            </w:pPr>
            <w:r>
              <w:rPr>
                <w:rFonts w:hint="eastAsia" w:ascii="宋体" w:hAnsi="宋体" w:cs="宋体"/>
                <w:color w:val="auto"/>
                <w:sz w:val="18"/>
                <w:szCs w:val="18"/>
              </w:rPr>
              <w:t>查看</w:t>
            </w:r>
          </w:p>
          <w:p w14:paraId="64206F49">
            <w:pPr>
              <w:rPr>
                <w:rFonts w:ascii="宋体" w:hAnsi="宋体" w:cs="宋体"/>
                <w:color w:val="auto"/>
                <w:sz w:val="18"/>
                <w:szCs w:val="18"/>
              </w:rPr>
            </w:pPr>
            <w:r>
              <w:rPr>
                <w:rFonts w:hint="eastAsia" w:ascii="宋体" w:hAnsi="宋体" w:cs="宋体"/>
                <w:color w:val="auto"/>
                <w:sz w:val="18"/>
                <w:szCs w:val="18"/>
              </w:rPr>
              <w:t>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826D436">
            <w:pPr>
              <w:rPr>
                <w:rFonts w:ascii="宋体" w:hAnsi="宋体" w:cs="宋体"/>
                <w:color w:val="auto"/>
                <w:sz w:val="18"/>
                <w:szCs w:val="18"/>
              </w:rPr>
            </w:pPr>
            <w:r>
              <w:rPr>
                <w:rFonts w:hint="eastAsia" w:ascii="宋体" w:hAnsi="宋体" w:cs="宋体"/>
                <w:color w:val="auto"/>
                <w:sz w:val="18"/>
                <w:szCs w:val="18"/>
              </w:rPr>
              <w:t>未提供勤工俭学岗位或拒绝特殊困难学生免费餐食的支付违约金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10DC399">
            <w:pPr>
              <w:rPr>
                <w:rFonts w:ascii="宋体" w:hAnsi="宋体" w:cs="宋体"/>
                <w:color w:val="auto"/>
                <w:sz w:val="18"/>
                <w:szCs w:val="18"/>
              </w:rPr>
            </w:pPr>
            <w:r>
              <w:rPr>
                <w:rFonts w:hint="eastAsia" w:ascii="宋体" w:hAnsi="宋体" w:cs="宋体"/>
                <w:color w:val="auto"/>
                <w:sz w:val="18"/>
                <w:szCs w:val="18"/>
              </w:rPr>
              <w:t>未提供勤工俭学岗位或拒绝特殊困难学生免费餐食的扣</w:t>
            </w:r>
            <w:r>
              <w:rPr>
                <w:rFonts w:ascii="宋体" w:hAnsi="宋体" w:cs="宋体"/>
                <w:color w:val="auto"/>
                <w:sz w:val="18"/>
                <w:szCs w:val="18"/>
              </w:rPr>
              <w:t>1分/次。</w:t>
            </w:r>
          </w:p>
        </w:tc>
      </w:tr>
      <w:tr w14:paraId="6E59154C">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6081738B">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21E7D3A">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2E4F8E">
            <w:pPr>
              <w:rPr>
                <w:rFonts w:ascii="宋体" w:hAnsi="宋体" w:cs="宋体"/>
                <w:color w:val="auto"/>
                <w:sz w:val="18"/>
                <w:szCs w:val="18"/>
              </w:rPr>
            </w:pPr>
            <w:r>
              <w:rPr>
                <w:rFonts w:ascii="宋体" w:hAnsi="宋体" w:cs="宋体"/>
                <w:color w:val="auto"/>
                <w:sz w:val="18"/>
                <w:szCs w:val="18"/>
              </w:rPr>
              <w:t>54.食堂工作人员应政治坚定、遵纪守法、廉洁自律、品行端正、文明礼貌、行为习惯良好。</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BC052FF">
            <w:pPr>
              <w:rPr>
                <w:rFonts w:ascii="宋体" w:hAnsi="宋体" w:cs="宋体"/>
                <w:color w:val="auto"/>
                <w:sz w:val="18"/>
                <w:szCs w:val="18"/>
              </w:rPr>
            </w:pPr>
            <w:r>
              <w:rPr>
                <w:rFonts w:hint="eastAsia" w:ascii="宋体" w:hAnsi="宋体" w:cs="宋体"/>
                <w:color w:val="auto"/>
                <w:sz w:val="18"/>
                <w:szCs w:val="18"/>
              </w:rPr>
              <w:t>现场</w:t>
            </w:r>
          </w:p>
          <w:p w14:paraId="49A46521">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2B4690C">
            <w:pPr>
              <w:rPr>
                <w:rFonts w:ascii="宋体" w:hAnsi="宋体" w:cs="宋体"/>
                <w:color w:val="auto"/>
                <w:sz w:val="18"/>
                <w:szCs w:val="18"/>
              </w:rPr>
            </w:pPr>
            <w:r>
              <w:rPr>
                <w:rFonts w:hint="eastAsia" w:ascii="宋体" w:hAnsi="宋体" w:cs="宋体"/>
                <w:color w:val="auto"/>
                <w:sz w:val="18"/>
                <w:szCs w:val="18"/>
              </w:rPr>
              <w:t>视情节轻重及影响支付违约金</w:t>
            </w:r>
            <w:r>
              <w:rPr>
                <w:rFonts w:ascii="宋体" w:hAnsi="宋体" w:cs="宋体"/>
                <w:color w:val="auto"/>
                <w:sz w:val="18"/>
                <w:szCs w:val="18"/>
              </w:rPr>
              <w:t>5000-20000元/次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A01DF2E">
            <w:pPr>
              <w:rPr>
                <w:rFonts w:ascii="宋体" w:hAnsi="宋体" w:cs="宋体"/>
                <w:color w:val="auto"/>
                <w:sz w:val="18"/>
                <w:szCs w:val="18"/>
              </w:rPr>
            </w:pPr>
            <w:r>
              <w:rPr>
                <w:rFonts w:hint="eastAsia" w:ascii="宋体" w:hAnsi="宋体" w:cs="宋体"/>
                <w:color w:val="auto"/>
                <w:sz w:val="18"/>
                <w:szCs w:val="18"/>
              </w:rPr>
              <w:t>视情节轻重及影响扣</w:t>
            </w:r>
            <w:r>
              <w:rPr>
                <w:rFonts w:ascii="宋体" w:hAnsi="宋体" w:cs="宋体"/>
                <w:color w:val="auto"/>
                <w:sz w:val="18"/>
                <w:szCs w:val="18"/>
              </w:rPr>
              <w:t>1-5分/次</w:t>
            </w:r>
          </w:p>
        </w:tc>
      </w:tr>
      <w:tr w14:paraId="2CD373A5">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57EE0E7F">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03CC73C">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86EB2">
            <w:pPr>
              <w:rPr>
                <w:rFonts w:ascii="宋体" w:hAnsi="宋体" w:cs="宋体"/>
                <w:color w:val="auto"/>
                <w:sz w:val="18"/>
                <w:szCs w:val="18"/>
              </w:rPr>
            </w:pPr>
            <w:r>
              <w:rPr>
                <w:rFonts w:ascii="宋体" w:hAnsi="宋体" w:cs="宋体"/>
                <w:color w:val="auto"/>
                <w:sz w:val="18"/>
                <w:szCs w:val="18"/>
              </w:rPr>
              <w:t>55.认真组织、策划或配合学校及</w:t>
            </w:r>
            <w:r>
              <w:rPr>
                <w:rFonts w:hint="eastAsia" w:ascii="宋体" w:hAnsi="宋体" w:cs="宋体"/>
                <w:color w:val="auto"/>
                <w:sz w:val="18"/>
                <w:szCs w:val="18"/>
              </w:rPr>
              <w:t>学生伙管会的各类饮食文化活动项目并投入资金保障。</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920C5CD">
            <w:pPr>
              <w:rPr>
                <w:rFonts w:ascii="宋体" w:hAnsi="宋体" w:cs="宋体"/>
                <w:color w:val="auto"/>
                <w:sz w:val="18"/>
                <w:szCs w:val="18"/>
              </w:rPr>
            </w:pPr>
            <w:r>
              <w:rPr>
                <w:rFonts w:hint="eastAsia" w:ascii="宋体" w:hAnsi="宋体" w:cs="宋体"/>
                <w:color w:val="auto"/>
                <w:sz w:val="18"/>
                <w:szCs w:val="18"/>
              </w:rPr>
              <w:t>活动</w:t>
            </w:r>
          </w:p>
          <w:p w14:paraId="4BD2A79B">
            <w:pPr>
              <w:rPr>
                <w:rFonts w:ascii="宋体" w:hAnsi="宋体" w:cs="宋体"/>
                <w:color w:val="auto"/>
                <w:sz w:val="18"/>
                <w:szCs w:val="18"/>
              </w:rPr>
            </w:pPr>
            <w:r>
              <w:rPr>
                <w:rFonts w:hint="eastAsia" w:ascii="宋体" w:hAnsi="宋体" w:cs="宋体"/>
                <w:color w:val="auto"/>
                <w:sz w:val="18"/>
                <w:szCs w:val="18"/>
              </w:rPr>
              <w:t>安排</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E479326">
            <w:pPr>
              <w:rPr>
                <w:rFonts w:ascii="宋体" w:hAnsi="宋体" w:cs="宋体"/>
                <w:color w:val="auto"/>
                <w:sz w:val="18"/>
                <w:szCs w:val="18"/>
              </w:rPr>
            </w:pPr>
            <w:r>
              <w:rPr>
                <w:rFonts w:hint="eastAsia" w:ascii="宋体" w:hAnsi="宋体" w:cs="宋体"/>
                <w:color w:val="auto"/>
                <w:sz w:val="18"/>
                <w:szCs w:val="18"/>
              </w:rPr>
              <w:t>未认真组织或配合开展的支付违约金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6E77CD2">
            <w:pPr>
              <w:rPr>
                <w:rFonts w:ascii="宋体" w:hAnsi="宋体" w:cs="宋体"/>
                <w:color w:val="auto"/>
                <w:sz w:val="18"/>
                <w:szCs w:val="18"/>
              </w:rPr>
            </w:pPr>
            <w:r>
              <w:rPr>
                <w:rFonts w:hint="eastAsia" w:ascii="宋体" w:hAnsi="宋体" w:cs="宋体"/>
                <w:color w:val="auto"/>
                <w:sz w:val="18"/>
                <w:szCs w:val="18"/>
              </w:rPr>
              <w:t>认真组织或配合开展的扣</w:t>
            </w:r>
            <w:r>
              <w:rPr>
                <w:rFonts w:ascii="宋体" w:hAnsi="宋体" w:cs="宋体"/>
                <w:color w:val="auto"/>
                <w:sz w:val="18"/>
                <w:szCs w:val="18"/>
              </w:rPr>
              <w:t>1分/次</w:t>
            </w:r>
          </w:p>
        </w:tc>
      </w:tr>
      <w:tr w14:paraId="6D6D685D">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14:paraId="74A86A85">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1FED2CE5">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E19AEA">
            <w:pPr>
              <w:rPr>
                <w:rFonts w:ascii="宋体" w:hAnsi="宋体" w:cs="宋体"/>
                <w:color w:val="auto"/>
                <w:sz w:val="18"/>
                <w:szCs w:val="18"/>
              </w:rPr>
            </w:pPr>
            <w:r>
              <w:rPr>
                <w:rFonts w:ascii="宋体" w:hAnsi="宋体" w:cs="宋体"/>
                <w:color w:val="auto"/>
                <w:sz w:val="18"/>
                <w:szCs w:val="18"/>
              </w:rPr>
              <w:t>56.按学校要求免费提供传统节日特色食品。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99A6C0E">
            <w:pPr>
              <w:rPr>
                <w:rFonts w:ascii="宋体" w:hAnsi="宋体" w:cs="宋体"/>
                <w:color w:val="auto"/>
                <w:sz w:val="18"/>
                <w:szCs w:val="18"/>
              </w:rPr>
            </w:pPr>
            <w:r>
              <w:rPr>
                <w:rFonts w:hint="eastAsia" w:ascii="宋体" w:hAnsi="宋体" w:cs="宋体"/>
                <w:color w:val="auto"/>
                <w:sz w:val="18"/>
                <w:szCs w:val="18"/>
              </w:rPr>
              <w:t>查看</w:t>
            </w:r>
          </w:p>
          <w:p w14:paraId="4C910E71">
            <w:pPr>
              <w:rPr>
                <w:rFonts w:ascii="宋体" w:hAnsi="宋体" w:cs="宋体"/>
                <w:color w:val="auto"/>
                <w:sz w:val="18"/>
                <w:szCs w:val="18"/>
              </w:rPr>
            </w:pPr>
            <w:r>
              <w:rPr>
                <w:rFonts w:hint="eastAsia" w:ascii="宋体" w:hAnsi="宋体" w:cs="宋体"/>
                <w:color w:val="auto"/>
                <w:sz w:val="18"/>
                <w:szCs w:val="18"/>
              </w:rPr>
              <w:t>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3BA2B4D">
            <w:pPr>
              <w:rPr>
                <w:rFonts w:ascii="宋体" w:hAnsi="宋体" w:cs="宋体"/>
                <w:color w:val="auto"/>
                <w:sz w:val="18"/>
                <w:szCs w:val="18"/>
              </w:rPr>
            </w:pPr>
            <w:r>
              <w:rPr>
                <w:rFonts w:hint="eastAsia" w:ascii="宋体" w:hAnsi="宋体" w:cs="宋体"/>
                <w:color w:val="auto"/>
                <w:sz w:val="18"/>
                <w:szCs w:val="18"/>
              </w:rPr>
              <w:t>未提供的支付违约金</w:t>
            </w:r>
            <w:r>
              <w:rPr>
                <w:rFonts w:ascii="宋体" w:hAnsi="宋体" w:cs="宋体"/>
                <w:color w:val="auto"/>
                <w:sz w:val="18"/>
                <w:szCs w:val="18"/>
              </w:rPr>
              <w:t>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143DFF7">
            <w:pPr>
              <w:rPr>
                <w:rFonts w:ascii="宋体" w:hAnsi="宋体" w:cs="宋体"/>
                <w:color w:val="auto"/>
                <w:sz w:val="18"/>
                <w:szCs w:val="18"/>
              </w:rPr>
            </w:pPr>
            <w:r>
              <w:rPr>
                <w:rFonts w:hint="eastAsia" w:ascii="宋体" w:hAnsi="宋体" w:cs="宋体"/>
                <w:color w:val="auto"/>
                <w:sz w:val="18"/>
                <w:szCs w:val="18"/>
              </w:rPr>
              <w:t>未提供的扣</w:t>
            </w:r>
            <w:r>
              <w:rPr>
                <w:rFonts w:ascii="宋体" w:hAnsi="宋体" w:cs="宋体"/>
                <w:color w:val="auto"/>
                <w:sz w:val="18"/>
                <w:szCs w:val="18"/>
              </w:rPr>
              <w:t>5分/次</w:t>
            </w:r>
          </w:p>
        </w:tc>
      </w:tr>
      <w:tr w14:paraId="46F2B491">
        <w:tblPrEx>
          <w:tblCellMar>
            <w:top w:w="0" w:type="dxa"/>
            <w:left w:w="108" w:type="dxa"/>
            <w:bottom w:w="0" w:type="dxa"/>
            <w:right w:w="108" w:type="dxa"/>
          </w:tblCellMar>
        </w:tblPrEx>
        <w:trPr>
          <w:trHeight w:val="555" w:hRule="atLeast"/>
          <w:jc w:val="center"/>
        </w:trPr>
        <w:tc>
          <w:tcPr>
            <w:tcW w:w="499" w:type="dxa"/>
            <w:vMerge w:val="restart"/>
            <w:tcBorders>
              <w:top w:val="single" w:color="auto" w:sz="4" w:space="0"/>
              <w:left w:val="single" w:color="auto" w:sz="4" w:space="0"/>
              <w:right w:val="single" w:color="auto" w:sz="4" w:space="0"/>
            </w:tcBorders>
            <w:vAlign w:val="center"/>
          </w:tcPr>
          <w:p w14:paraId="34EDBA3D">
            <w:pPr>
              <w:rPr>
                <w:rFonts w:ascii="宋体" w:hAnsi="宋体" w:cs="宋体"/>
                <w:color w:val="auto"/>
                <w:sz w:val="18"/>
                <w:szCs w:val="18"/>
              </w:rPr>
            </w:pPr>
          </w:p>
          <w:p w14:paraId="7B03F4A4">
            <w:pPr>
              <w:rPr>
                <w:rFonts w:ascii="宋体" w:hAnsi="宋体" w:cs="宋体"/>
                <w:color w:val="auto"/>
                <w:sz w:val="18"/>
                <w:szCs w:val="18"/>
              </w:rPr>
            </w:pPr>
          </w:p>
          <w:p w14:paraId="7DED09AE">
            <w:pPr>
              <w:rPr>
                <w:rFonts w:ascii="宋体" w:hAnsi="宋体" w:cs="宋体"/>
                <w:color w:val="auto"/>
                <w:sz w:val="18"/>
                <w:szCs w:val="18"/>
              </w:rPr>
            </w:pPr>
            <w:r>
              <w:rPr>
                <w:rFonts w:hint="eastAsia" w:ascii="宋体" w:hAnsi="宋体" w:cs="宋体"/>
                <w:color w:val="auto"/>
                <w:sz w:val="18"/>
                <w:szCs w:val="18"/>
              </w:rPr>
              <w:t>六</w:t>
            </w:r>
          </w:p>
        </w:tc>
        <w:tc>
          <w:tcPr>
            <w:tcW w:w="636" w:type="dxa"/>
            <w:vMerge w:val="restart"/>
            <w:tcBorders>
              <w:top w:val="single" w:color="auto" w:sz="4" w:space="0"/>
              <w:left w:val="single" w:color="auto" w:sz="4" w:space="0"/>
              <w:right w:val="single" w:color="auto" w:sz="4" w:space="0"/>
            </w:tcBorders>
            <w:vAlign w:val="center"/>
          </w:tcPr>
          <w:p w14:paraId="33A435C7">
            <w:pPr>
              <w:rPr>
                <w:rFonts w:ascii="宋体" w:hAnsi="宋体" w:cs="宋体"/>
                <w:color w:val="auto"/>
                <w:sz w:val="18"/>
                <w:szCs w:val="18"/>
              </w:rPr>
            </w:pPr>
          </w:p>
          <w:p w14:paraId="5FC9034B">
            <w:pPr>
              <w:rPr>
                <w:rFonts w:ascii="宋体" w:hAnsi="宋体" w:cs="宋体"/>
                <w:color w:val="auto"/>
                <w:sz w:val="18"/>
                <w:szCs w:val="18"/>
              </w:rPr>
            </w:pPr>
          </w:p>
          <w:p w14:paraId="556FD6B4">
            <w:pPr>
              <w:rPr>
                <w:rFonts w:ascii="宋体" w:hAnsi="宋体" w:cs="宋体"/>
                <w:color w:val="auto"/>
                <w:sz w:val="18"/>
                <w:szCs w:val="18"/>
              </w:rPr>
            </w:pPr>
            <w:r>
              <w:rPr>
                <w:rFonts w:hint="eastAsia" w:ascii="宋体" w:hAnsi="宋体" w:cs="宋体"/>
                <w:color w:val="auto"/>
                <w:sz w:val="18"/>
                <w:szCs w:val="18"/>
              </w:rPr>
              <w:t>其他</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60B7B8D">
            <w:pPr>
              <w:rPr>
                <w:rFonts w:ascii="宋体" w:hAnsi="宋体" w:cs="宋体"/>
                <w:color w:val="auto"/>
                <w:sz w:val="18"/>
                <w:szCs w:val="18"/>
              </w:rPr>
            </w:pPr>
            <w:r>
              <w:rPr>
                <w:rFonts w:ascii="宋体" w:hAnsi="宋体" w:cs="宋体"/>
                <w:color w:val="auto"/>
                <w:sz w:val="18"/>
                <w:szCs w:val="18"/>
              </w:rPr>
              <w:t>57.食堂经营者应做到“门前三包”，保持清洁卫生</w:t>
            </w:r>
          </w:p>
        </w:tc>
        <w:tc>
          <w:tcPr>
            <w:tcW w:w="709" w:type="dxa"/>
            <w:tcBorders>
              <w:top w:val="single" w:color="auto" w:sz="4" w:space="0"/>
              <w:left w:val="single" w:color="auto" w:sz="4" w:space="0"/>
              <w:bottom w:val="single" w:color="auto" w:sz="4" w:space="0"/>
              <w:right w:val="single" w:color="auto" w:sz="4" w:space="0"/>
            </w:tcBorders>
            <w:vAlign w:val="center"/>
          </w:tcPr>
          <w:p w14:paraId="211E747C">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37CAF7C1">
            <w:pPr>
              <w:rPr>
                <w:rFonts w:ascii="宋体" w:hAnsi="宋体" w:cs="宋体"/>
                <w:color w:val="auto"/>
                <w:sz w:val="18"/>
                <w:szCs w:val="18"/>
              </w:rPr>
            </w:pPr>
            <w:r>
              <w:rPr>
                <w:rFonts w:hint="eastAsia" w:ascii="宋体" w:hAnsi="宋体" w:cs="宋体"/>
                <w:color w:val="auto"/>
                <w:sz w:val="18"/>
                <w:szCs w:val="18"/>
              </w:rPr>
              <w:t>卫生出现脏、乱、差现象每次支付违约金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vAlign w:val="center"/>
          </w:tcPr>
          <w:p w14:paraId="525DE529">
            <w:pPr>
              <w:rPr>
                <w:rFonts w:ascii="宋体" w:hAnsi="宋体" w:cs="宋体"/>
                <w:color w:val="auto"/>
                <w:sz w:val="18"/>
                <w:szCs w:val="18"/>
              </w:rPr>
            </w:pPr>
            <w:r>
              <w:rPr>
                <w:rFonts w:hint="eastAsia" w:ascii="宋体" w:hAnsi="宋体" w:cs="宋体"/>
                <w:color w:val="auto"/>
                <w:sz w:val="18"/>
                <w:szCs w:val="18"/>
              </w:rPr>
              <w:t>卫生出现脏、乱、差的</w:t>
            </w:r>
            <w:r>
              <w:rPr>
                <w:rFonts w:ascii="宋体" w:hAnsi="宋体" w:cs="宋体"/>
                <w:color w:val="auto"/>
                <w:sz w:val="18"/>
                <w:szCs w:val="18"/>
              </w:rPr>
              <w:t>1分/次</w:t>
            </w:r>
          </w:p>
        </w:tc>
      </w:tr>
      <w:tr w14:paraId="22B73CC5">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475C9465">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7C98D842">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17432A6">
            <w:pPr>
              <w:rPr>
                <w:rFonts w:ascii="宋体" w:hAnsi="宋体" w:cs="宋体"/>
                <w:color w:val="auto"/>
                <w:sz w:val="18"/>
                <w:szCs w:val="18"/>
              </w:rPr>
            </w:pPr>
            <w:r>
              <w:rPr>
                <w:rFonts w:ascii="宋体" w:hAnsi="宋体" w:cs="宋体"/>
                <w:color w:val="auto"/>
                <w:sz w:val="18"/>
                <w:szCs w:val="18"/>
              </w:rPr>
              <w:t>58.严禁偷电、偷水、偷气行为</w:t>
            </w:r>
          </w:p>
        </w:tc>
        <w:tc>
          <w:tcPr>
            <w:tcW w:w="709" w:type="dxa"/>
            <w:tcBorders>
              <w:top w:val="single" w:color="auto" w:sz="4" w:space="0"/>
              <w:left w:val="single" w:color="auto" w:sz="4" w:space="0"/>
              <w:bottom w:val="single" w:color="auto" w:sz="4" w:space="0"/>
              <w:right w:val="single" w:color="auto" w:sz="4" w:space="0"/>
            </w:tcBorders>
            <w:vAlign w:val="center"/>
          </w:tcPr>
          <w:p w14:paraId="3877DB17">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vAlign w:val="center"/>
          </w:tcPr>
          <w:p w14:paraId="4AA66BEA">
            <w:pPr>
              <w:rPr>
                <w:rFonts w:ascii="宋体" w:hAnsi="宋体" w:cs="宋体"/>
                <w:color w:val="auto"/>
                <w:sz w:val="18"/>
                <w:szCs w:val="18"/>
              </w:rPr>
            </w:pPr>
            <w:r>
              <w:rPr>
                <w:rFonts w:hint="eastAsia" w:ascii="宋体" w:hAnsi="宋体" w:cs="宋体"/>
                <w:color w:val="auto"/>
                <w:sz w:val="18"/>
                <w:szCs w:val="18"/>
              </w:rPr>
              <w:t>每发现一次支付违约金</w:t>
            </w:r>
            <w:r>
              <w:rPr>
                <w:rFonts w:ascii="宋体" w:hAnsi="宋体" w:cs="宋体"/>
                <w:color w:val="auto"/>
                <w:sz w:val="18"/>
                <w:szCs w:val="18"/>
              </w:rPr>
              <w:t>20000元，并应补齐欠费，情节严重的上报公安部门处置，学校有权解除合同。</w:t>
            </w:r>
          </w:p>
        </w:tc>
        <w:tc>
          <w:tcPr>
            <w:tcW w:w="1559" w:type="dxa"/>
            <w:tcBorders>
              <w:top w:val="single" w:color="auto" w:sz="4" w:space="0"/>
              <w:left w:val="single" w:color="auto" w:sz="4" w:space="0"/>
              <w:bottom w:val="single" w:color="auto" w:sz="4" w:space="0"/>
              <w:right w:val="single" w:color="auto" w:sz="4" w:space="0"/>
            </w:tcBorders>
            <w:vAlign w:val="center"/>
          </w:tcPr>
          <w:p w14:paraId="33BF9679">
            <w:pPr>
              <w:rPr>
                <w:rFonts w:ascii="宋体" w:hAnsi="宋体" w:cs="宋体"/>
                <w:color w:val="auto"/>
                <w:sz w:val="18"/>
                <w:szCs w:val="18"/>
              </w:rPr>
            </w:pPr>
            <w:r>
              <w:rPr>
                <w:rFonts w:hint="eastAsia" w:ascii="宋体" w:hAnsi="宋体" w:cs="宋体"/>
                <w:color w:val="auto"/>
                <w:sz w:val="18"/>
                <w:szCs w:val="18"/>
              </w:rPr>
              <w:t>出现偷电、偷水、偷气行为的涉事当学期考核直接不合格</w:t>
            </w:r>
          </w:p>
        </w:tc>
      </w:tr>
      <w:tr w14:paraId="386E6D2D">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74DD6BBA">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2DFFB999">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9F89B31">
            <w:pPr>
              <w:rPr>
                <w:rFonts w:ascii="宋体" w:hAnsi="宋体" w:cs="宋体"/>
                <w:color w:val="auto"/>
                <w:sz w:val="18"/>
                <w:szCs w:val="18"/>
              </w:rPr>
            </w:pPr>
            <w:r>
              <w:rPr>
                <w:rFonts w:ascii="宋体" w:hAnsi="宋体" w:cs="宋体"/>
                <w:color w:val="auto"/>
                <w:sz w:val="18"/>
                <w:szCs w:val="18"/>
              </w:rPr>
              <w:t>59.采购人不定期委托第三方检测公司对</w:t>
            </w:r>
            <w:r>
              <w:rPr>
                <w:rFonts w:hint="eastAsia" w:ascii="宋体" w:hAnsi="宋体" w:cs="宋体"/>
                <w:color w:val="auto"/>
                <w:sz w:val="18"/>
                <w:szCs w:val="18"/>
              </w:rPr>
              <w:t>食堂食材进行抽检（费用由食堂委托经营公司负责）</w:t>
            </w:r>
          </w:p>
        </w:tc>
        <w:tc>
          <w:tcPr>
            <w:tcW w:w="709" w:type="dxa"/>
            <w:tcBorders>
              <w:top w:val="single" w:color="auto" w:sz="4" w:space="0"/>
              <w:left w:val="single" w:color="auto" w:sz="4" w:space="0"/>
              <w:bottom w:val="single" w:color="auto" w:sz="4" w:space="0"/>
              <w:right w:val="single" w:color="auto" w:sz="4" w:space="0"/>
            </w:tcBorders>
            <w:vAlign w:val="center"/>
          </w:tcPr>
          <w:p w14:paraId="1B712728">
            <w:pPr>
              <w:rPr>
                <w:rFonts w:ascii="宋体" w:hAnsi="宋体" w:cs="宋体"/>
                <w:color w:val="auto"/>
                <w:sz w:val="18"/>
                <w:szCs w:val="18"/>
              </w:rPr>
            </w:pPr>
            <w:r>
              <w:rPr>
                <w:rFonts w:hint="eastAsia" w:ascii="宋体" w:hAnsi="宋体" w:cs="宋体"/>
                <w:color w:val="auto"/>
                <w:sz w:val="18"/>
                <w:szCs w:val="18"/>
              </w:rPr>
              <w:t>查验检测报告</w:t>
            </w:r>
          </w:p>
        </w:tc>
        <w:tc>
          <w:tcPr>
            <w:tcW w:w="2693" w:type="dxa"/>
            <w:tcBorders>
              <w:top w:val="single" w:color="auto" w:sz="4" w:space="0"/>
              <w:left w:val="single" w:color="auto" w:sz="4" w:space="0"/>
              <w:bottom w:val="single" w:color="auto" w:sz="4" w:space="0"/>
              <w:right w:val="single" w:color="auto" w:sz="4" w:space="0"/>
            </w:tcBorders>
            <w:vAlign w:val="center"/>
          </w:tcPr>
          <w:p w14:paraId="63AE3E6D">
            <w:pPr>
              <w:rPr>
                <w:rFonts w:ascii="宋体" w:hAnsi="宋体" w:cs="宋体"/>
                <w:color w:val="auto"/>
                <w:sz w:val="18"/>
                <w:szCs w:val="18"/>
              </w:rPr>
            </w:pPr>
            <w:r>
              <w:rPr>
                <w:rFonts w:hint="eastAsia" w:ascii="宋体" w:hAnsi="宋体" w:cs="宋体"/>
                <w:color w:val="auto"/>
                <w:sz w:val="18"/>
                <w:szCs w:val="18"/>
              </w:rPr>
              <w:t>不配合支付违约金</w:t>
            </w:r>
            <w:r>
              <w:rPr>
                <w:rFonts w:ascii="宋体" w:hAnsi="宋体" w:cs="宋体"/>
                <w:color w:val="auto"/>
                <w:sz w:val="18"/>
                <w:szCs w:val="18"/>
              </w:rPr>
              <w:t>10000元，抽检不合格，按不合格数量，支付违约金50000元/</w:t>
            </w:r>
            <w:r>
              <w:rPr>
                <w:rFonts w:hint="eastAsia" w:ascii="宋体" w:hAnsi="宋体" w:cs="宋体"/>
                <w:color w:val="auto"/>
                <w:sz w:val="18"/>
                <w:szCs w:val="18"/>
              </w:rPr>
              <w:t>个。</w:t>
            </w:r>
          </w:p>
        </w:tc>
        <w:tc>
          <w:tcPr>
            <w:tcW w:w="1559" w:type="dxa"/>
            <w:tcBorders>
              <w:top w:val="single" w:color="auto" w:sz="4" w:space="0"/>
              <w:left w:val="single" w:color="auto" w:sz="4" w:space="0"/>
              <w:bottom w:val="single" w:color="auto" w:sz="4" w:space="0"/>
              <w:right w:val="single" w:color="auto" w:sz="4" w:space="0"/>
            </w:tcBorders>
            <w:vAlign w:val="center"/>
          </w:tcPr>
          <w:p w14:paraId="3C8CE7BA">
            <w:pPr>
              <w:rPr>
                <w:rFonts w:ascii="宋体" w:hAnsi="宋体" w:cs="宋体"/>
                <w:color w:val="auto"/>
                <w:sz w:val="18"/>
                <w:szCs w:val="18"/>
              </w:rPr>
            </w:pPr>
            <w:r>
              <w:rPr>
                <w:rFonts w:hint="eastAsia" w:ascii="宋体" w:hAnsi="宋体" w:cs="宋体"/>
                <w:color w:val="auto"/>
                <w:sz w:val="18"/>
                <w:szCs w:val="18"/>
              </w:rPr>
              <w:t>不配合扣</w:t>
            </w:r>
            <w:r>
              <w:rPr>
                <w:rFonts w:ascii="宋体" w:hAnsi="宋体" w:cs="宋体"/>
                <w:color w:val="auto"/>
                <w:sz w:val="18"/>
                <w:szCs w:val="18"/>
              </w:rPr>
              <w:t>2分/次，抽检不合格的扣5分/</w:t>
            </w:r>
            <w:r>
              <w:rPr>
                <w:rFonts w:hint="eastAsia" w:ascii="宋体" w:hAnsi="宋体" w:cs="宋体"/>
                <w:color w:val="auto"/>
                <w:sz w:val="18"/>
                <w:szCs w:val="18"/>
              </w:rPr>
              <w:t>个。</w:t>
            </w:r>
          </w:p>
        </w:tc>
      </w:tr>
      <w:tr w14:paraId="61F1AEEF">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41973106">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1ECDBBE3">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9F6572F">
            <w:pPr>
              <w:rPr>
                <w:rFonts w:ascii="宋体" w:hAnsi="宋体" w:cs="宋体"/>
                <w:color w:val="auto"/>
                <w:sz w:val="18"/>
                <w:szCs w:val="18"/>
              </w:rPr>
            </w:pPr>
            <w:r>
              <w:rPr>
                <w:rFonts w:ascii="宋体" w:hAnsi="宋体" w:cs="宋体"/>
                <w:color w:val="auto"/>
                <w:sz w:val="18"/>
                <w:szCs w:val="18"/>
              </w:rPr>
              <w:t>60.接受市场监督管理局等有关职能部门以及上级机关等各级各类检查时，给采购人造成不良影响的</w:t>
            </w:r>
          </w:p>
        </w:tc>
        <w:tc>
          <w:tcPr>
            <w:tcW w:w="709" w:type="dxa"/>
            <w:tcBorders>
              <w:top w:val="single" w:color="auto" w:sz="4" w:space="0"/>
              <w:left w:val="single" w:color="auto" w:sz="4" w:space="0"/>
              <w:bottom w:val="single" w:color="auto" w:sz="4" w:space="0"/>
              <w:right w:val="single" w:color="auto" w:sz="4" w:space="0"/>
            </w:tcBorders>
            <w:vAlign w:val="center"/>
          </w:tcPr>
          <w:p w14:paraId="3682524C">
            <w:pPr>
              <w:rPr>
                <w:rFonts w:ascii="宋体" w:hAnsi="宋体" w:cs="宋体"/>
                <w:color w:val="auto"/>
                <w:sz w:val="18"/>
                <w:szCs w:val="18"/>
              </w:rPr>
            </w:pPr>
            <w:r>
              <w:rPr>
                <w:rFonts w:hint="eastAsia" w:ascii="宋体" w:hAnsi="宋体" w:cs="宋体"/>
                <w:color w:val="auto"/>
                <w:sz w:val="18"/>
                <w:szCs w:val="18"/>
              </w:rPr>
              <w:t>依据检查效果</w:t>
            </w:r>
          </w:p>
        </w:tc>
        <w:tc>
          <w:tcPr>
            <w:tcW w:w="2693" w:type="dxa"/>
            <w:tcBorders>
              <w:top w:val="single" w:color="auto" w:sz="4" w:space="0"/>
              <w:left w:val="single" w:color="auto" w:sz="4" w:space="0"/>
              <w:bottom w:val="single" w:color="auto" w:sz="4" w:space="0"/>
              <w:right w:val="single" w:color="auto" w:sz="4" w:space="0"/>
            </w:tcBorders>
            <w:vAlign w:val="center"/>
          </w:tcPr>
          <w:p w14:paraId="79A5BE33">
            <w:pPr>
              <w:rPr>
                <w:rFonts w:ascii="宋体" w:hAnsi="宋体" w:cs="宋体"/>
                <w:color w:val="auto"/>
                <w:sz w:val="18"/>
                <w:szCs w:val="18"/>
              </w:rPr>
            </w:pPr>
            <w:r>
              <w:rPr>
                <w:rFonts w:hint="eastAsia" w:ascii="宋体" w:hAnsi="宋体" w:cs="宋体"/>
                <w:color w:val="auto"/>
                <w:sz w:val="18"/>
                <w:szCs w:val="18"/>
              </w:rPr>
              <w:t>视其情节每发生一次支付违约金</w:t>
            </w:r>
            <w:r>
              <w:rPr>
                <w:rFonts w:ascii="宋体" w:hAnsi="宋体" w:cs="宋体"/>
                <w:color w:val="auto"/>
                <w:sz w:val="18"/>
                <w:szCs w:val="18"/>
              </w:rPr>
              <w:t>2000元及以上；</w:t>
            </w:r>
          </w:p>
        </w:tc>
        <w:tc>
          <w:tcPr>
            <w:tcW w:w="1559" w:type="dxa"/>
            <w:tcBorders>
              <w:top w:val="single" w:color="auto" w:sz="4" w:space="0"/>
              <w:left w:val="single" w:color="auto" w:sz="4" w:space="0"/>
              <w:bottom w:val="single" w:color="auto" w:sz="4" w:space="0"/>
              <w:right w:val="single" w:color="auto" w:sz="4" w:space="0"/>
            </w:tcBorders>
            <w:vAlign w:val="center"/>
          </w:tcPr>
          <w:p w14:paraId="048B70D2">
            <w:pPr>
              <w:rPr>
                <w:rFonts w:ascii="宋体" w:hAnsi="宋体" w:cs="宋体"/>
                <w:color w:val="auto"/>
                <w:sz w:val="18"/>
                <w:szCs w:val="18"/>
              </w:rPr>
            </w:pPr>
            <w:r>
              <w:rPr>
                <w:rFonts w:hint="eastAsia" w:ascii="宋体" w:hAnsi="宋体" w:cs="宋体"/>
                <w:color w:val="auto"/>
                <w:sz w:val="18"/>
                <w:szCs w:val="18"/>
              </w:rPr>
              <w:t>视其情节扣</w:t>
            </w:r>
            <w:r>
              <w:rPr>
                <w:rFonts w:ascii="宋体" w:hAnsi="宋体" w:cs="宋体"/>
                <w:color w:val="auto"/>
                <w:sz w:val="18"/>
                <w:szCs w:val="18"/>
              </w:rPr>
              <w:t>1分/次及以上</w:t>
            </w:r>
          </w:p>
        </w:tc>
      </w:tr>
      <w:tr w14:paraId="270C1F93">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3B983F5F">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3466A4D4">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A531BF">
            <w:pPr>
              <w:rPr>
                <w:rFonts w:ascii="宋体" w:hAnsi="宋体" w:cs="宋体"/>
                <w:color w:val="auto"/>
                <w:sz w:val="18"/>
                <w:szCs w:val="18"/>
              </w:rPr>
            </w:pPr>
            <w:r>
              <w:rPr>
                <w:rFonts w:ascii="宋体" w:hAnsi="宋体" w:cs="宋体"/>
                <w:color w:val="auto"/>
                <w:sz w:val="18"/>
                <w:szCs w:val="18"/>
              </w:rPr>
              <w:t>61.严禁使用</w:t>
            </w:r>
            <w:r>
              <w:rPr>
                <w:rFonts w:hint="eastAsia" w:ascii="宋体" w:hAnsi="宋体" w:cs="宋体"/>
                <w:color w:val="auto"/>
                <w:sz w:val="18"/>
                <w:szCs w:val="18"/>
              </w:rPr>
              <w:t>转基因食材或外国进口类食材</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E84256">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F45FDD8">
            <w:pPr>
              <w:rPr>
                <w:rFonts w:ascii="宋体" w:hAnsi="宋体" w:cs="宋体"/>
                <w:color w:val="auto"/>
                <w:sz w:val="18"/>
                <w:szCs w:val="18"/>
              </w:rPr>
            </w:pPr>
            <w:r>
              <w:rPr>
                <w:rFonts w:hint="eastAsia" w:ascii="宋体" w:hAnsi="宋体" w:cs="宋体"/>
                <w:color w:val="auto"/>
                <w:sz w:val="18"/>
                <w:szCs w:val="18"/>
              </w:rPr>
              <w:t>每发现一次按每个品种支付违约金</w:t>
            </w:r>
            <w:r>
              <w:rPr>
                <w:rFonts w:ascii="宋体" w:hAnsi="宋体" w:cs="宋体"/>
                <w:color w:val="auto"/>
                <w:sz w:val="18"/>
                <w:szCs w:val="18"/>
              </w:rPr>
              <w:t>10000元。</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7451BEB">
            <w:pPr>
              <w:rPr>
                <w:rFonts w:ascii="宋体" w:hAnsi="宋体" w:cs="宋体"/>
                <w:color w:val="auto"/>
                <w:sz w:val="18"/>
                <w:szCs w:val="18"/>
              </w:rPr>
            </w:pPr>
            <w:r>
              <w:rPr>
                <w:rFonts w:hint="eastAsia" w:ascii="宋体" w:hAnsi="宋体" w:cs="宋体"/>
                <w:color w:val="auto"/>
                <w:sz w:val="18"/>
                <w:szCs w:val="18"/>
              </w:rPr>
              <w:t>按发现品种数量扣</w:t>
            </w:r>
            <w:r>
              <w:rPr>
                <w:rFonts w:ascii="宋体" w:hAnsi="宋体" w:cs="宋体"/>
                <w:color w:val="auto"/>
                <w:sz w:val="18"/>
                <w:szCs w:val="18"/>
              </w:rPr>
              <w:t>5/</w:t>
            </w:r>
            <w:r>
              <w:rPr>
                <w:rFonts w:hint="eastAsia" w:ascii="宋体" w:hAnsi="宋体" w:cs="宋体"/>
                <w:color w:val="auto"/>
                <w:sz w:val="18"/>
                <w:szCs w:val="18"/>
              </w:rPr>
              <w:t>个</w:t>
            </w:r>
          </w:p>
        </w:tc>
      </w:tr>
      <w:tr w14:paraId="6F85EE43">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064AEF5C">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036A96B4">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E2254C">
            <w:pPr>
              <w:rPr>
                <w:rFonts w:ascii="宋体" w:hAnsi="宋体" w:cs="宋体"/>
                <w:color w:val="auto"/>
                <w:sz w:val="18"/>
                <w:szCs w:val="18"/>
              </w:rPr>
            </w:pPr>
            <w:r>
              <w:rPr>
                <w:rFonts w:ascii="宋体" w:hAnsi="宋体" w:cs="宋体"/>
                <w:color w:val="auto"/>
                <w:sz w:val="18"/>
                <w:szCs w:val="18"/>
              </w:rPr>
              <w:t>62.不服从管理、不及时按要求进行整改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75C525B">
            <w:pPr>
              <w:rPr>
                <w:rFonts w:ascii="宋体" w:hAnsi="宋体" w:cs="宋体"/>
                <w:color w:val="auto"/>
                <w:sz w:val="18"/>
                <w:szCs w:val="18"/>
              </w:rPr>
            </w:pPr>
            <w:r>
              <w:rPr>
                <w:rFonts w:hint="eastAsia" w:ascii="宋体" w:hAnsi="宋体" w:cs="宋体"/>
                <w:color w:val="auto"/>
                <w:sz w:val="18"/>
                <w:szCs w:val="18"/>
              </w:rPr>
              <w:t>依据工作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C19D3C9">
            <w:pPr>
              <w:rPr>
                <w:rFonts w:ascii="宋体" w:hAnsi="宋体" w:cs="宋体"/>
                <w:color w:val="auto"/>
                <w:sz w:val="18"/>
                <w:szCs w:val="18"/>
              </w:rPr>
            </w:pPr>
            <w:r>
              <w:rPr>
                <w:rFonts w:hint="eastAsia" w:ascii="宋体" w:hAnsi="宋体" w:cs="宋体"/>
                <w:color w:val="auto"/>
                <w:sz w:val="18"/>
                <w:szCs w:val="18"/>
              </w:rPr>
              <w:t>视其情况每次支付违约金</w:t>
            </w:r>
            <w:r>
              <w:rPr>
                <w:rFonts w:ascii="宋体" w:hAnsi="宋体" w:cs="宋体"/>
                <w:color w:val="auto"/>
                <w:sz w:val="18"/>
                <w:szCs w:val="18"/>
              </w:rPr>
              <w:t>10000元-50000元</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73D1DC6">
            <w:pPr>
              <w:rPr>
                <w:rFonts w:ascii="宋体" w:hAnsi="宋体" w:cs="宋体"/>
                <w:color w:val="auto"/>
                <w:sz w:val="18"/>
                <w:szCs w:val="18"/>
              </w:rPr>
            </w:pPr>
            <w:r>
              <w:rPr>
                <w:rFonts w:hint="eastAsia" w:ascii="宋体" w:hAnsi="宋体" w:cs="宋体"/>
                <w:color w:val="auto"/>
                <w:sz w:val="18"/>
                <w:szCs w:val="18"/>
              </w:rPr>
              <w:t>视其情况扣</w:t>
            </w:r>
            <w:r>
              <w:rPr>
                <w:rFonts w:ascii="宋体" w:hAnsi="宋体" w:cs="宋体"/>
                <w:color w:val="auto"/>
                <w:sz w:val="18"/>
                <w:szCs w:val="18"/>
              </w:rPr>
              <w:t>5-10分/次</w:t>
            </w:r>
          </w:p>
        </w:tc>
      </w:tr>
      <w:tr w14:paraId="0B33761D">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vAlign w:val="center"/>
          </w:tcPr>
          <w:p w14:paraId="2E840C1C">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303703C3">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8BAC5">
            <w:pPr>
              <w:rPr>
                <w:rFonts w:ascii="宋体" w:hAnsi="宋体" w:cs="宋体"/>
                <w:color w:val="auto"/>
                <w:sz w:val="18"/>
                <w:szCs w:val="18"/>
              </w:rPr>
            </w:pPr>
            <w:r>
              <w:rPr>
                <w:rFonts w:ascii="宋体" w:hAnsi="宋体" w:cs="宋体"/>
                <w:color w:val="auto"/>
                <w:sz w:val="18"/>
                <w:szCs w:val="18"/>
              </w:rPr>
              <w:t>63.完成学校情况下达的各类工作任务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F8DB69D">
            <w:pPr>
              <w:rPr>
                <w:rFonts w:ascii="宋体" w:hAnsi="宋体" w:cs="宋体"/>
                <w:color w:val="auto"/>
                <w:sz w:val="18"/>
                <w:szCs w:val="18"/>
              </w:rPr>
            </w:pPr>
            <w:r>
              <w:rPr>
                <w:rFonts w:hint="eastAsia" w:ascii="宋体" w:hAnsi="宋体" w:cs="宋体"/>
                <w:color w:val="auto"/>
                <w:sz w:val="18"/>
                <w:szCs w:val="18"/>
              </w:rPr>
              <w:t>依据工作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A9396EC">
            <w:pPr>
              <w:rPr>
                <w:rFonts w:ascii="宋体" w:hAnsi="宋体" w:cs="宋体"/>
                <w:color w:val="auto"/>
                <w:sz w:val="18"/>
                <w:szCs w:val="18"/>
              </w:rPr>
            </w:pPr>
            <w:r>
              <w:rPr>
                <w:rFonts w:hint="eastAsia" w:ascii="宋体" w:hAnsi="宋体" w:cs="宋体"/>
                <w:color w:val="auto"/>
                <w:sz w:val="18"/>
                <w:szCs w:val="18"/>
              </w:rPr>
              <w:t>视工作未完成情况每项支付违约金</w:t>
            </w:r>
            <w:r>
              <w:rPr>
                <w:rFonts w:ascii="宋体" w:hAnsi="宋体" w:cs="宋体"/>
                <w:color w:val="auto"/>
                <w:sz w:val="18"/>
                <w:szCs w:val="18"/>
              </w:rPr>
              <w:t>5000元-50000元。</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B01AD50">
            <w:pPr>
              <w:rPr>
                <w:rFonts w:ascii="宋体" w:hAnsi="宋体" w:cs="宋体"/>
                <w:color w:val="auto"/>
                <w:sz w:val="18"/>
                <w:szCs w:val="18"/>
              </w:rPr>
            </w:pPr>
            <w:r>
              <w:rPr>
                <w:rFonts w:hint="eastAsia" w:ascii="宋体" w:hAnsi="宋体" w:cs="宋体"/>
                <w:color w:val="auto"/>
                <w:sz w:val="18"/>
                <w:szCs w:val="18"/>
              </w:rPr>
              <w:t>视工作未完成情况扣</w:t>
            </w:r>
            <w:r>
              <w:rPr>
                <w:rFonts w:ascii="宋体" w:hAnsi="宋体" w:cs="宋体"/>
                <w:color w:val="auto"/>
                <w:sz w:val="18"/>
                <w:szCs w:val="18"/>
              </w:rPr>
              <w:t>5-10分/项</w:t>
            </w:r>
          </w:p>
        </w:tc>
      </w:tr>
      <w:tr w14:paraId="6546FFCF">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01FD1FA6">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36BC4365">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1FF4B5">
            <w:pPr>
              <w:rPr>
                <w:rFonts w:ascii="宋体" w:hAnsi="宋体" w:cs="宋体"/>
                <w:color w:val="auto"/>
                <w:sz w:val="18"/>
                <w:szCs w:val="18"/>
              </w:rPr>
            </w:pPr>
            <w:r>
              <w:rPr>
                <w:rFonts w:ascii="宋体" w:hAnsi="宋体" w:cs="宋体"/>
                <w:color w:val="auto"/>
                <w:sz w:val="18"/>
                <w:szCs w:val="18"/>
              </w:rPr>
              <w:t>64.在经营过程中发生师生有效投诉</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470582">
            <w:pPr>
              <w:rPr>
                <w:rFonts w:ascii="宋体" w:hAnsi="宋体" w:cs="宋体"/>
                <w:color w:val="auto"/>
                <w:sz w:val="18"/>
                <w:szCs w:val="18"/>
              </w:rPr>
            </w:pPr>
            <w:r>
              <w:rPr>
                <w:rFonts w:hint="eastAsia" w:ascii="宋体" w:hAnsi="宋体" w:cs="宋体"/>
                <w:color w:val="auto"/>
                <w:sz w:val="18"/>
                <w:szCs w:val="18"/>
              </w:rPr>
              <w:t>依据投诉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43B38F">
            <w:pPr>
              <w:rPr>
                <w:rFonts w:ascii="宋体" w:hAnsi="宋体" w:cs="宋体"/>
                <w:color w:val="auto"/>
                <w:sz w:val="18"/>
                <w:szCs w:val="18"/>
              </w:rPr>
            </w:pPr>
            <w:r>
              <w:rPr>
                <w:rFonts w:hint="eastAsia" w:ascii="宋体" w:hAnsi="宋体" w:cs="宋体"/>
                <w:color w:val="auto"/>
                <w:sz w:val="18"/>
                <w:szCs w:val="18"/>
              </w:rPr>
              <w:t>视其情况支付违约金</w:t>
            </w:r>
            <w:r>
              <w:rPr>
                <w:rFonts w:ascii="宋体" w:hAnsi="宋体" w:cs="宋体"/>
                <w:color w:val="auto"/>
                <w:sz w:val="18"/>
                <w:szCs w:val="18"/>
              </w:rPr>
              <w:t>500元及以上/次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2EDEC54">
            <w:pPr>
              <w:rPr>
                <w:rFonts w:ascii="宋体" w:hAnsi="宋体" w:cs="宋体"/>
                <w:color w:val="auto"/>
                <w:sz w:val="18"/>
                <w:szCs w:val="18"/>
              </w:rPr>
            </w:pPr>
            <w:r>
              <w:rPr>
                <w:rFonts w:hint="eastAsia" w:ascii="宋体" w:hAnsi="宋体" w:cs="宋体"/>
                <w:color w:val="auto"/>
                <w:sz w:val="18"/>
                <w:szCs w:val="18"/>
              </w:rPr>
              <w:t>视其情况扣</w:t>
            </w:r>
            <w:r>
              <w:rPr>
                <w:rFonts w:ascii="宋体" w:hAnsi="宋体" w:cs="宋体"/>
                <w:color w:val="auto"/>
                <w:sz w:val="18"/>
                <w:szCs w:val="18"/>
              </w:rPr>
              <w:t>1分及以上/次</w:t>
            </w:r>
          </w:p>
        </w:tc>
      </w:tr>
      <w:tr w14:paraId="73F8D6E6">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344873BB">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1C0F208D">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09511D">
            <w:pPr>
              <w:rPr>
                <w:rFonts w:ascii="宋体" w:hAnsi="宋体" w:cs="宋体"/>
                <w:color w:val="auto"/>
                <w:sz w:val="18"/>
                <w:szCs w:val="18"/>
              </w:rPr>
            </w:pPr>
            <w:r>
              <w:rPr>
                <w:rFonts w:ascii="宋体" w:hAnsi="宋体" w:cs="宋体"/>
                <w:color w:val="auto"/>
                <w:sz w:val="18"/>
                <w:szCs w:val="18"/>
              </w:rPr>
              <w:t>65.</w:t>
            </w:r>
            <w:r>
              <w:rPr>
                <w:rFonts w:hint="eastAsia" w:ascii="宋体" w:hAnsi="宋体" w:cs="宋体"/>
                <w:color w:val="auto"/>
                <w:sz w:val="18"/>
                <w:szCs w:val="18"/>
              </w:rPr>
              <w:t>成交商招聘的工人在学校内，做影响食品从业人员形象的事情（例如在垃圾桶里面或学校其他区域捡垃圾）</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4B3707">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428E741">
            <w:pPr>
              <w:rPr>
                <w:rFonts w:ascii="宋体" w:hAnsi="宋体" w:cs="宋体"/>
                <w:color w:val="auto"/>
                <w:sz w:val="18"/>
                <w:szCs w:val="18"/>
              </w:rPr>
            </w:pPr>
            <w:r>
              <w:rPr>
                <w:rFonts w:hint="eastAsia" w:ascii="宋体" w:hAnsi="宋体" w:cs="宋体"/>
                <w:color w:val="auto"/>
                <w:sz w:val="18"/>
                <w:szCs w:val="18"/>
              </w:rPr>
              <w:t>经查实后支付违约金</w:t>
            </w:r>
            <w:r>
              <w:rPr>
                <w:rFonts w:ascii="宋体" w:hAnsi="宋体" w:cs="宋体"/>
                <w:color w:val="auto"/>
                <w:sz w:val="18"/>
                <w:szCs w:val="18"/>
              </w:rPr>
              <w:t>1000元/人、次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1E4FDD6">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1分/人、次</w:t>
            </w:r>
          </w:p>
        </w:tc>
      </w:tr>
      <w:tr w14:paraId="1452E671">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6A2FC603">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03DC0D8E">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06B54D7">
            <w:pPr>
              <w:rPr>
                <w:rFonts w:ascii="宋体" w:hAnsi="宋体" w:cs="宋体"/>
                <w:color w:val="auto"/>
                <w:sz w:val="18"/>
                <w:szCs w:val="18"/>
              </w:rPr>
            </w:pPr>
            <w:r>
              <w:rPr>
                <w:rFonts w:ascii="宋体" w:hAnsi="宋体" w:cs="宋体"/>
                <w:color w:val="auto"/>
                <w:sz w:val="18"/>
                <w:szCs w:val="18"/>
              </w:rPr>
              <w:t>66.不得在食堂内出现任何商业广告</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0F60AC5">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F54E0E3">
            <w:pPr>
              <w:rPr>
                <w:rFonts w:ascii="宋体" w:hAnsi="宋体" w:cs="宋体"/>
                <w:color w:val="auto"/>
                <w:sz w:val="18"/>
                <w:szCs w:val="18"/>
              </w:rPr>
            </w:pPr>
            <w:r>
              <w:rPr>
                <w:rFonts w:hint="eastAsia" w:ascii="宋体" w:hAnsi="宋体" w:cs="宋体"/>
                <w:color w:val="auto"/>
                <w:sz w:val="18"/>
                <w:szCs w:val="18"/>
              </w:rPr>
              <w:t>经查实后支付违约金</w:t>
            </w:r>
            <w:r>
              <w:rPr>
                <w:rFonts w:ascii="宋体" w:hAnsi="宋体" w:cs="宋体"/>
                <w:color w:val="auto"/>
                <w:sz w:val="18"/>
                <w:szCs w:val="18"/>
              </w:rPr>
              <w:t>1000元/处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DCD9391">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1分/处</w:t>
            </w:r>
          </w:p>
        </w:tc>
      </w:tr>
      <w:tr w14:paraId="393B340C">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2061E934">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4EB4F1B0">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0780E5">
            <w:pPr>
              <w:rPr>
                <w:rFonts w:ascii="宋体" w:hAnsi="宋体" w:cs="宋体"/>
                <w:color w:val="auto"/>
                <w:sz w:val="18"/>
                <w:szCs w:val="18"/>
              </w:rPr>
            </w:pPr>
            <w:r>
              <w:rPr>
                <w:rFonts w:ascii="宋体" w:hAnsi="宋体" w:cs="宋体"/>
                <w:color w:val="auto"/>
                <w:sz w:val="18"/>
                <w:szCs w:val="18"/>
              </w:rPr>
              <w:t>67.指派公司负责人全面统筹所经营管理食堂的食品安全、饭菜质量、内部管理等，每月应至少1次到食堂现场检查食品安全工作并留在检查影像资料和记录备查。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665807F">
            <w:pPr>
              <w:rPr>
                <w:rFonts w:ascii="宋体" w:hAnsi="宋体" w:cs="宋体"/>
                <w:color w:val="auto"/>
                <w:sz w:val="18"/>
                <w:szCs w:val="18"/>
              </w:rPr>
            </w:pPr>
            <w:r>
              <w:rPr>
                <w:rFonts w:hint="eastAsia" w:ascii="宋体" w:hAnsi="宋体" w:cs="宋体"/>
                <w:color w:val="auto"/>
                <w:sz w:val="18"/>
                <w:szCs w:val="18"/>
              </w:rPr>
              <w:t>材料检查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2BEFC3C3">
            <w:pPr>
              <w:rPr>
                <w:rFonts w:ascii="宋体" w:hAnsi="宋体" w:cs="宋体"/>
                <w:color w:val="auto"/>
                <w:sz w:val="18"/>
                <w:szCs w:val="18"/>
              </w:rPr>
            </w:pPr>
            <w:r>
              <w:rPr>
                <w:rFonts w:hint="eastAsia" w:ascii="宋体" w:hAnsi="宋体" w:cs="宋体"/>
                <w:color w:val="auto"/>
                <w:sz w:val="18"/>
                <w:szCs w:val="18"/>
              </w:rPr>
              <w:t>未到现场或无记录或记录不全支付违约金</w:t>
            </w:r>
            <w:r>
              <w:rPr>
                <w:rFonts w:ascii="宋体" w:hAnsi="宋体" w:cs="宋体"/>
                <w:color w:val="auto"/>
                <w:sz w:val="18"/>
                <w:szCs w:val="18"/>
              </w:rPr>
              <w:t>5000元/次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F6C9026">
            <w:pPr>
              <w:rPr>
                <w:rFonts w:ascii="宋体" w:hAnsi="宋体" w:cs="宋体"/>
                <w:color w:val="auto"/>
                <w:sz w:val="18"/>
                <w:szCs w:val="18"/>
              </w:rPr>
            </w:pPr>
            <w:r>
              <w:rPr>
                <w:rFonts w:hint="eastAsia" w:ascii="宋体" w:hAnsi="宋体" w:cs="宋体"/>
                <w:color w:val="auto"/>
                <w:sz w:val="18"/>
                <w:szCs w:val="18"/>
              </w:rPr>
              <w:t>未到现场或无记录或记录资料不全扣</w:t>
            </w:r>
            <w:r>
              <w:rPr>
                <w:rFonts w:ascii="宋体" w:hAnsi="宋体" w:cs="宋体"/>
                <w:color w:val="auto"/>
                <w:sz w:val="18"/>
                <w:szCs w:val="18"/>
              </w:rPr>
              <w:t>2分/次</w:t>
            </w:r>
          </w:p>
        </w:tc>
      </w:tr>
      <w:tr w14:paraId="70DCDCE3">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5CF1680B">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41EF93C5">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E1F951">
            <w:pPr>
              <w:rPr>
                <w:rFonts w:ascii="宋体" w:hAnsi="宋体" w:cs="宋体"/>
                <w:color w:val="auto"/>
                <w:sz w:val="18"/>
                <w:szCs w:val="18"/>
              </w:rPr>
            </w:pPr>
            <w:r>
              <w:rPr>
                <w:rFonts w:ascii="宋体" w:hAnsi="宋体" w:cs="宋体"/>
                <w:color w:val="auto"/>
                <w:sz w:val="18"/>
                <w:szCs w:val="18"/>
              </w:rPr>
              <w:t>68.</w:t>
            </w:r>
            <w:r>
              <w:rPr>
                <w:rFonts w:hint="eastAsia" w:ascii="宋体" w:hAnsi="宋体" w:cs="宋体"/>
                <w:color w:val="auto"/>
                <w:sz w:val="18"/>
                <w:szCs w:val="18"/>
              </w:rPr>
              <w:t>数智食堂监管平台运行出现故障或者采购人投诉</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865EDFF">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C103870">
            <w:pPr>
              <w:rPr>
                <w:rFonts w:ascii="宋体" w:hAnsi="宋体" w:cs="宋体"/>
                <w:color w:val="auto"/>
                <w:sz w:val="18"/>
                <w:szCs w:val="18"/>
              </w:rPr>
            </w:pPr>
            <w:r>
              <w:rPr>
                <w:rFonts w:hint="eastAsia" w:ascii="宋体" w:hAnsi="宋体" w:cs="宋体"/>
                <w:color w:val="auto"/>
                <w:sz w:val="18"/>
                <w:szCs w:val="18"/>
              </w:rPr>
              <w:t>发现故障或者有效投诉，未及时整改的，经查实后支付违约金</w:t>
            </w:r>
            <w:r>
              <w:rPr>
                <w:rFonts w:ascii="宋体" w:hAnsi="宋体" w:cs="宋体"/>
                <w:color w:val="auto"/>
                <w:sz w:val="18"/>
                <w:szCs w:val="18"/>
              </w:rPr>
              <w:t>1000元/次。重大故障或有效投诉，经查实后支付违约金5000元/次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4DF2C1A">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1分/处；重大故障或有效投诉，可以扣5分/次</w:t>
            </w:r>
          </w:p>
        </w:tc>
      </w:tr>
      <w:tr w14:paraId="47DE6994">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6C7D1167">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21A1320C">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E6F8A7">
            <w:pPr>
              <w:rPr>
                <w:rFonts w:ascii="宋体" w:hAnsi="宋体" w:cs="宋体"/>
                <w:color w:val="auto"/>
                <w:sz w:val="18"/>
                <w:szCs w:val="18"/>
              </w:rPr>
            </w:pPr>
            <w:r>
              <w:rPr>
                <w:rFonts w:ascii="宋体" w:hAnsi="宋体" w:cs="宋体"/>
                <w:color w:val="auto"/>
                <w:sz w:val="18"/>
                <w:szCs w:val="18"/>
              </w:rPr>
              <w:t>69.</w:t>
            </w:r>
            <w:r>
              <w:rPr>
                <w:rFonts w:hint="eastAsia" w:ascii="宋体" w:hAnsi="宋体" w:cs="宋体"/>
                <w:color w:val="auto"/>
                <w:sz w:val="18"/>
                <w:szCs w:val="18"/>
              </w:rPr>
              <w:t>数智食堂监管平台运行出现违反保密相关规定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38A6CBC">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6EC915">
            <w:pPr>
              <w:rPr>
                <w:rFonts w:ascii="宋体" w:hAnsi="宋体" w:cs="宋体"/>
                <w:color w:val="auto"/>
                <w:sz w:val="18"/>
                <w:szCs w:val="18"/>
              </w:rPr>
            </w:pPr>
            <w:r>
              <w:rPr>
                <w:rFonts w:hint="eastAsia" w:ascii="宋体" w:hAnsi="宋体" w:cs="宋体"/>
                <w:color w:val="auto"/>
                <w:sz w:val="18"/>
                <w:szCs w:val="18"/>
              </w:rPr>
              <w:t>出现违反保密相关规定，经查实后支付违约金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235DEEC">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2分/次</w:t>
            </w:r>
          </w:p>
        </w:tc>
      </w:tr>
      <w:tr w14:paraId="082BF68D">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165BC14C">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06B7D611">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2AB601">
            <w:pPr>
              <w:rPr>
                <w:rFonts w:ascii="宋体" w:hAnsi="宋体" w:cs="宋体"/>
                <w:color w:val="auto"/>
                <w:sz w:val="18"/>
                <w:szCs w:val="18"/>
              </w:rPr>
            </w:pPr>
            <w:r>
              <w:rPr>
                <w:rFonts w:ascii="宋体" w:hAnsi="宋体" w:cs="宋体"/>
                <w:color w:val="auto"/>
                <w:sz w:val="18"/>
                <w:szCs w:val="18"/>
              </w:rPr>
              <w:t>70.AI</w:t>
            </w:r>
            <w:r>
              <w:rPr>
                <w:rFonts w:hint="eastAsia" w:ascii="宋体" w:hAnsi="宋体" w:cs="宋体"/>
                <w:color w:val="auto"/>
                <w:sz w:val="18"/>
                <w:szCs w:val="18"/>
              </w:rPr>
              <w:t>抓拍违规事项：未戴口罩、未戴工帽、未穿工服、抽烟玩手机、垃圾桶未盖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1CFC540">
            <w:pPr>
              <w:rPr>
                <w:rFonts w:ascii="宋体" w:hAnsi="宋体" w:cs="宋体"/>
                <w:color w:val="auto"/>
                <w:sz w:val="18"/>
                <w:szCs w:val="18"/>
              </w:rPr>
            </w:pPr>
            <w:r>
              <w:rPr>
                <w:rFonts w:hint="eastAsia" w:ascii="宋体" w:hAnsi="宋体" w:cs="宋体"/>
                <w:color w:val="auto"/>
                <w:sz w:val="18"/>
                <w:szCs w:val="18"/>
              </w:rPr>
              <w:t>平台记录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583530B8">
            <w:pPr>
              <w:rPr>
                <w:rFonts w:ascii="宋体" w:hAnsi="宋体" w:cs="宋体"/>
                <w:color w:val="auto"/>
                <w:sz w:val="18"/>
                <w:szCs w:val="18"/>
              </w:rPr>
            </w:pPr>
            <w:r>
              <w:rPr>
                <w:rFonts w:hint="eastAsia" w:ascii="宋体" w:hAnsi="宋体" w:cs="宋体"/>
                <w:color w:val="auto"/>
                <w:sz w:val="18"/>
                <w:szCs w:val="18"/>
              </w:rPr>
              <w:t>出现前述单项违规，支付</w:t>
            </w:r>
            <w:r>
              <w:rPr>
                <w:rFonts w:ascii="宋体" w:hAnsi="宋体" w:cs="宋体"/>
                <w:color w:val="auto"/>
                <w:sz w:val="18"/>
                <w:szCs w:val="18"/>
              </w:rPr>
              <w:t>违约金500元/次。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24BA0F4">
            <w:pPr>
              <w:rPr>
                <w:rFonts w:ascii="宋体" w:hAnsi="宋体" w:cs="宋体"/>
                <w:color w:val="auto"/>
                <w:sz w:val="18"/>
                <w:szCs w:val="18"/>
              </w:rPr>
            </w:pPr>
            <w:r>
              <w:rPr>
                <w:rFonts w:hint="eastAsia" w:ascii="宋体" w:hAnsi="宋体" w:cs="宋体"/>
                <w:color w:val="auto"/>
                <w:sz w:val="18"/>
                <w:szCs w:val="18"/>
              </w:rPr>
              <w:t>出现前述单项违规，每次扣</w:t>
            </w:r>
            <w:r>
              <w:rPr>
                <w:rFonts w:ascii="宋体" w:hAnsi="宋体" w:cs="宋体"/>
                <w:color w:val="auto"/>
                <w:sz w:val="18"/>
                <w:szCs w:val="18"/>
              </w:rPr>
              <w:t>0.5</w:t>
            </w:r>
            <w:r>
              <w:rPr>
                <w:rFonts w:hint="eastAsia" w:ascii="宋体" w:hAnsi="宋体" w:cs="宋体"/>
                <w:color w:val="auto"/>
                <w:sz w:val="18"/>
                <w:szCs w:val="18"/>
              </w:rPr>
              <w:t>分</w:t>
            </w:r>
          </w:p>
        </w:tc>
      </w:tr>
      <w:tr w14:paraId="74A813B9">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257CAE01">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009DEF7D">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0E047">
            <w:pPr>
              <w:rPr>
                <w:rFonts w:ascii="宋体" w:hAnsi="宋体" w:cs="宋体"/>
                <w:color w:val="auto"/>
                <w:sz w:val="18"/>
                <w:szCs w:val="18"/>
              </w:rPr>
            </w:pPr>
            <w:r>
              <w:rPr>
                <w:rFonts w:ascii="宋体" w:hAnsi="宋体" w:cs="宋体"/>
                <w:color w:val="auto"/>
                <w:sz w:val="18"/>
                <w:szCs w:val="18"/>
              </w:rPr>
              <w:t>71.</w:t>
            </w:r>
            <w:r>
              <w:rPr>
                <w:rFonts w:hint="eastAsia" w:ascii="宋体" w:hAnsi="宋体" w:cs="宋体"/>
                <w:color w:val="auto"/>
                <w:sz w:val="18"/>
                <w:szCs w:val="18"/>
              </w:rPr>
              <w:t>人员晨检异常、库房温湿度异常、未规范放置挡鼠板、碗筷消毒不达标、农残超标、紫外线消毒不达标、冰箱温度异常、未留样未销样、陌生人闯入</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63D33DB">
            <w:pPr>
              <w:rPr>
                <w:rFonts w:ascii="宋体" w:hAnsi="宋体" w:cs="宋体"/>
                <w:color w:val="auto"/>
                <w:sz w:val="18"/>
                <w:szCs w:val="18"/>
              </w:rPr>
            </w:pPr>
            <w:r>
              <w:rPr>
                <w:rFonts w:hint="eastAsia" w:ascii="宋体" w:hAnsi="宋体" w:cs="宋体"/>
                <w:color w:val="auto"/>
                <w:sz w:val="18"/>
                <w:szCs w:val="18"/>
              </w:rPr>
              <w:t>平台记录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801AF71">
            <w:pPr>
              <w:rPr>
                <w:rFonts w:ascii="宋体" w:hAnsi="宋体" w:cs="宋体"/>
                <w:color w:val="auto"/>
                <w:sz w:val="18"/>
                <w:szCs w:val="18"/>
              </w:rPr>
            </w:pPr>
            <w:r>
              <w:rPr>
                <w:rFonts w:hint="eastAsia" w:ascii="宋体" w:hAnsi="宋体" w:cs="宋体"/>
                <w:color w:val="auto"/>
                <w:sz w:val="18"/>
                <w:szCs w:val="18"/>
              </w:rPr>
              <w:t>出现前述单项违规，支付</w:t>
            </w:r>
            <w:r>
              <w:rPr>
                <w:rFonts w:ascii="宋体" w:hAnsi="宋体" w:cs="宋体"/>
                <w:color w:val="auto"/>
                <w:sz w:val="18"/>
                <w:szCs w:val="18"/>
              </w:rPr>
              <w:t>违约金500元/次。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F5AFB5C">
            <w:pPr>
              <w:rPr>
                <w:rFonts w:ascii="宋体" w:hAnsi="宋体" w:cs="宋体"/>
                <w:color w:val="auto"/>
                <w:sz w:val="18"/>
                <w:szCs w:val="18"/>
              </w:rPr>
            </w:pPr>
            <w:r>
              <w:rPr>
                <w:rFonts w:hint="eastAsia" w:ascii="宋体" w:hAnsi="宋体" w:cs="宋体"/>
                <w:color w:val="auto"/>
                <w:sz w:val="18"/>
                <w:szCs w:val="18"/>
              </w:rPr>
              <w:t>出现前述单项违规，每次扣</w:t>
            </w:r>
            <w:r>
              <w:rPr>
                <w:rFonts w:ascii="宋体" w:hAnsi="宋体" w:cs="宋体"/>
                <w:color w:val="auto"/>
                <w:sz w:val="18"/>
                <w:szCs w:val="18"/>
              </w:rPr>
              <w:t>0.5</w:t>
            </w:r>
            <w:r>
              <w:rPr>
                <w:rFonts w:hint="eastAsia" w:ascii="宋体" w:hAnsi="宋体" w:cs="宋体"/>
                <w:color w:val="auto"/>
                <w:sz w:val="18"/>
                <w:szCs w:val="18"/>
              </w:rPr>
              <w:t>分</w:t>
            </w:r>
          </w:p>
        </w:tc>
      </w:tr>
      <w:tr w14:paraId="536501AE">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vAlign w:val="center"/>
          </w:tcPr>
          <w:p w14:paraId="2BDD728A">
            <w:pPr>
              <w:rPr>
                <w:rFonts w:ascii="宋体" w:hAnsi="宋体" w:cs="宋体"/>
                <w:color w:val="auto"/>
                <w:sz w:val="18"/>
                <w:szCs w:val="18"/>
              </w:rPr>
            </w:pPr>
          </w:p>
        </w:tc>
        <w:tc>
          <w:tcPr>
            <w:tcW w:w="636" w:type="dxa"/>
            <w:vMerge w:val="continue"/>
            <w:tcBorders>
              <w:left w:val="single" w:color="auto" w:sz="4" w:space="0"/>
              <w:right w:val="single" w:color="auto" w:sz="4" w:space="0"/>
            </w:tcBorders>
            <w:vAlign w:val="center"/>
          </w:tcPr>
          <w:p w14:paraId="52D8B0D7">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26762F">
            <w:pPr>
              <w:rPr>
                <w:rFonts w:ascii="宋体" w:hAnsi="宋体" w:cs="宋体"/>
                <w:color w:val="auto"/>
                <w:sz w:val="18"/>
                <w:szCs w:val="18"/>
              </w:rPr>
            </w:pPr>
            <w:r>
              <w:rPr>
                <w:rFonts w:ascii="宋体" w:hAnsi="宋体" w:cs="宋体"/>
                <w:color w:val="auto"/>
                <w:sz w:val="18"/>
                <w:szCs w:val="18"/>
              </w:rPr>
              <w:t>72.</w:t>
            </w:r>
            <w:r>
              <w:rPr>
                <w:rFonts w:hint="eastAsia" w:ascii="宋体" w:hAnsi="宋体" w:cs="宋体"/>
                <w:color w:val="auto"/>
                <w:sz w:val="18"/>
                <w:szCs w:val="18"/>
              </w:rPr>
              <w:t>出现</w:t>
            </w:r>
            <w:r>
              <w:rPr>
                <w:rFonts w:ascii="宋体" w:hAnsi="宋体" w:cs="宋体"/>
                <w:color w:val="auto"/>
                <w:sz w:val="18"/>
                <w:szCs w:val="18"/>
              </w:rPr>
              <w:t>AI</w:t>
            </w:r>
            <w:r>
              <w:rPr>
                <w:rFonts w:hint="eastAsia" w:ascii="宋体" w:hAnsi="宋体" w:cs="宋体"/>
                <w:color w:val="auto"/>
                <w:sz w:val="18"/>
                <w:szCs w:val="18"/>
              </w:rPr>
              <w:t>生物抓拍（老鼠等）、油锅离岗等事件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DD8F863">
            <w:pPr>
              <w:rPr>
                <w:rFonts w:ascii="宋体" w:hAnsi="宋体" w:cs="宋体"/>
                <w:color w:val="auto"/>
                <w:sz w:val="18"/>
                <w:szCs w:val="18"/>
              </w:rPr>
            </w:pPr>
            <w:r>
              <w:rPr>
                <w:rFonts w:hint="eastAsia" w:ascii="宋体" w:hAnsi="宋体" w:cs="宋体"/>
                <w:color w:val="auto"/>
                <w:sz w:val="18"/>
                <w:szCs w:val="18"/>
              </w:rPr>
              <w:t>平台记录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44651051">
            <w:pPr>
              <w:rPr>
                <w:rFonts w:ascii="宋体" w:hAnsi="宋体" w:cs="宋体"/>
                <w:color w:val="auto"/>
                <w:sz w:val="18"/>
                <w:szCs w:val="18"/>
              </w:rPr>
            </w:pPr>
            <w:r>
              <w:rPr>
                <w:rFonts w:hint="eastAsia" w:ascii="宋体" w:hAnsi="宋体" w:cs="宋体"/>
                <w:color w:val="auto"/>
                <w:sz w:val="18"/>
                <w:szCs w:val="18"/>
              </w:rPr>
              <w:t>出现前述单项违规，支付</w:t>
            </w:r>
            <w:r>
              <w:rPr>
                <w:rFonts w:ascii="宋体" w:hAnsi="宋体" w:cs="宋体"/>
                <w:color w:val="auto"/>
                <w:sz w:val="18"/>
                <w:szCs w:val="18"/>
              </w:rPr>
              <w:t>违约金5000元/次。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D37AAC1">
            <w:pPr>
              <w:rPr>
                <w:rFonts w:ascii="宋体" w:hAnsi="宋体" w:cs="宋体"/>
                <w:color w:val="auto"/>
                <w:sz w:val="18"/>
                <w:szCs w:val="18"/>
              </w:rPr>
            </w:pPr>
            <w:r>
              <w:rPr>
                <w:rFonts w:hint="eastAsia" w:ascii="宋体" w:hAnsi="宋体" w:cs="宋体"/>
                <w:color w:val="auto"/>
                <w:sz w:val="18"/>
                <w:szCs w:val="18"/>
              </w:rPr>
              <w:t>出现前述单项违规，每次扣</w:t>
            </w:r>
            <w:r>
              <w:rPr>
                <w:rFonts w:ascii="宋体" w:hAnsi="宋体" w:cs="宋体"/>
                <w:color w:val="auto"/>
                <w:sz w:val="18"/>
                <w:szCs w:val="18"/>
              </w:rPr>
              <w:t>5</w:t>
            </w:r>
            <w:r>
              <w:rPr>
                <w:rFonts w:hint="eastAsia" w:ascii="宋体" w:hAnsi="宋体" w:cs="宋体"/>
                <w:color w:val="auto"/>
                <w:sz w:val="18"/>
                <w:szCs w:val="18"/>
              </w:rPr>
              <w:t>分</w:t>
            </w:r>
          </w:p>
        </w:tc>
      </w:tr>
      <w:tr w14:paraId="100B7439">
        <w:tblPrEx>
          <w:tblCellMar>
            <w:top w:w="0" w:type="dxa"/>
            <w:left w:w="108" w:type="dxa"/>
            <w:bottom w:w="0" w:type="dxa"/>
            <w:right w:w="108" w:type="dxa"/>
          </w:tblCellMar>
        </w:tblPrEx>
        <w:trPr>
          <w:trHeight w:val="480" w:hRule="atLeast"/>
          <w:jc w:val="center"/>
        </w:trPr>
        <w:tc>
          <w:tcPr>
            <w:tcW w:w="499" w:type="dxa"/>
            <w:tcBorders>
              <w:left w:val="single" w:color="auto" w:sz="4" w:space="0"/>
              <w:bottom w:val="single" w:color="auto" w:sz="4" w:space="0"/>
              <w:right w:val="single" w:color="auto" w:sz="4" w:space="0"/>
            </w:tcBorders>
            <w:vAlign w:val="center"/>
          </w:tcPr>
          <w:p w14:paraId="3EC46991">
            <w:pPr>
              <w:rPr>
                <w:rFonts w:ascii="宋体" w:hAnsi="宋体" w:cs="宋体"/>
                <w:color w:val="auto"/>
                <w:sz w:val="18"/>
                <w:szCs w:val="18"/>
              </w:rPr>
            </w:pPr>
            <w:r>
              <w:rPr>
                <w:rFonts w:hint="eastAsia" w:ascii="宋体" w:hAnsi="宋体" w:cs="宋体"/>
                <w:color w:val="auto"/>
                <w:sz w:val="18"/>
                <w:szCs w:val="18"/>
              </w:rPr>
              <w:t>+</w:t>
            </w:r>
          </w:p>
        </w:tc>
        <w:tc>
          <w:tcPr>
            <w:tcW w:w="636" w:type="dxa"/>
            <w:vMerge w:val="continue"/>
            <w:tcBorders>
              <w:left w:val="single" w:color="auto" w:sz="4" w:space="0"/>
              <w:bottom w:val="single" w:color="auto" w:sz="4" w:space="0"/>
              <w:right w:val="single" w:color="auto" w:sz="4" w:space="0"/>
            </w:tcBorders>
            <w:vAlign w:val="center"/>
          </w:tcPr>
          <w:p w14:paraId="0ECB0FF7">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1BC3B8">
            <w:pPr>
              <w:rPr>
                <w:rFonts w:ascii="宋体" w:hAnsi="宋体" w:cs="宋体"/>
                <w:color w:val="auto"/>
                <w:sz w:val="18"/>
                <w:szCs w:val="18"/>
              </w:rPr>
            </w:pPr>
            <w:r>
              <w:rPr>
                <w:rFonts w:ascii="宋体" w:hAnsi="宋体" w:cs="宋体"/>
                <w:color w:val="auto"/>
                <w:sz w:val="18"/>
                <w:szCs w:val="18"/>
              </w:rPr>
              <w:t>73.</w:t>
            </w:r>
            <w:r>
              <w:rPr>
                <w:rFonts w:hint="eastAsia" w:ascii="宋体" w:hAnsi="宋体" w:cs="宋体"/>
                <w:color w:val="auto"/>
                <w:sz w:val="18"/>
                <w:szCs w:val="18"/>
              </w:rPr>
              <w:t>投诉经查实或采购人监管发现或数智食堂监管平台发现的其它违规情况</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3861AAB">
            <w:pPr>
              <w:rPr>
                <w:rFonts w:ascii="宋体" w:hAnsi="宋体" w:cs="宋体"/>
                <w:color w:val="auto"/>
                <w:sz w:val="18"/>
                <w:szCs w:val="18"/>
              </w:rPr>
            </w:pPr>
            <w:r>
              <w:rPr>
                <w:rFonts w:hint="eastAsia" w:ascii="宋体" w:hAnsi="宋体" w:cs="宋体"/>
                <w:color w:val="auto"/>
                <w:sz w:val="18"/>
                <w:szCs w:val="18"/>
              </w:rPr>
              <w:t>现场核实或平台记录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2A543CE">
            <w:pPr>
              <w:rPr>
                <w:rFonts w:ascii="宋体" w:hAnsi="宋体" w:cs="宋体"/>
                <w:color w:val="auto"/>
                <w:sz w:val="18"/>
                <w:szCs w:val="18"/>
              </w:rPr>
            </w:pPr>
            <w:r>
              <w:rPr>
                <w:rFonts w:hint="eastAsia" w:ascii="宋体" w:hAnsi="宋体" w:cs="宋体"/>
                <w:color w:val="auto"/>
                <w:sz w:val="18"/>
                <w:szCs w:val="18"/>
              </w:rPr>
              <w:t>经查实后，本考核前款已约定处罚的按前款约定处罚，前款未约定处罚的根据情节严重情况支付违约金</w:t>
            </w:r>
            <w:r>
              <w:rPr>
                <w:rFonts w:ascii="宋体" w:hAnsi="宋体" w:cs="宋体"/>
                <w:color w:val="auto"/>
                <w:sz w:val="18"/>
                <w:szCs w:val="18"/>
              </w:rPr>
              <w:t>500-10000元/次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9CA395A">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0.5-5分/次</w:t>
            </w:r>
          </w:p>
        </w:tc>
      </w:tr>
    </w:tbl>
    <w:p w14:paraId="4ACBEE55">
      <w:pPr>
        <w:spacing w:line="400" w:lineRule="exact"/>
        <w:ind w:firstLine="560" w:firstLineChars="200"/>
        <w:jc w:val="left"/>
        <w:rPr>
          <w:rFonts w:ascii="宋体" w:hAnsi="宋体" w:cs="宋体"/>
          <w:color w:val="auto"/>
          <w:sz w:val="24"/>
          <w:szCs w:val="24"/>
        </w:rPr>
      </w:pPr>
      <w:r>
        <w:rPr>
          <w:rFonts w:hint="eastAsia" w:ascii="宋体" w:hAnsi="宋体" w:cs="宋体"/>
          <w:bCs/>
          <w:color w:val="auto"/>
        </w:rPr>
        <w:t>备注：</w:t>
      </w:r>
      <w:r>
        <w:rPr>
          <w:rFonts w:ascii="宋体" w:hAnsi="宋体" w:cs="宋体"/>
          <w:color w:val="auto"/>
          <w:sz w:val="24"/>
          <w:szCs w:val="24"/>
        </w:rPr>
        <w:t>1.采购人可根据实际情况对日常考核实施细则进行修订，</w:t>
      </w:r>
      <w:r>
        <w:rPr>
          <w:rFonts w:hint="eastAsia" w:ascii="宋体" w:hAnsi="宋体" w:cs="宋体"/>
          <w:color w:val="auto"/>
          <w:sz w:val="24"/>
          <w:szCs w:val="24"/>
        </w:rPr>
        <w:t>成交商须按修订后的办法执行。</w:t>
      </w:r>
    </w:p>
    <w:p w14:paraId="0C483A4D">
      <w:pPr>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2.上述违约金均从</w:t>
      </w:r>
      <w:r>
        <w:rPr>
          <w:rFonts w:hint="eastAsia" w:ascii="宋体" w:hAnsi="宋体" w:cs="宋体"/>
          <w:color w:val="auto"/>
          <w:sz w:val="24"/>
          <w:szCs w:val="24"/>
        </w:rPr>
        <w:t>成交商最近一次营业款中扣除并按采购人要求及时整改。</w:t>
      </w:r>
    </w:p>
    <w:p w14:paraId="07DE2975">
      <w:pPr>
        <w:pStyle w:val="22"/>
        <w:ind w:firstLine="480" w:firstLineChars="200"/>
        <w:rPr>
          <w:rFonts w:eastAsia="宋体"/>
          <w:color w:val="auto"/>
        </w:rPr>
      </w:pPr>
      <w:r>
        <w:rPr>
          <w:rFonts w:hint="eastAsia" w:ascii="宋体" w:hAnsi="宋体" w:eastAsia="宋体" w:cs="宋体"/>
          <w:color w:val="auto"/>
          <w:sz w:val="24"/>
          <w:szCs w:val="24"/>
        </w:rPr>
        <w:t>（二）学期考核</w:t>
      </w:r>
    </w:p>
    <w:p w14:paraId="746ED096">
      <w:pPr>
        <w:snapToGrid w:val="0"/>
        <w:spacing w:line="400" w:lineRule="exact"/>
        <w:ind w:firstLine="480" w:firstLineChars="200"/>
        <w:rPr>
          <w:rFonts w:ascii="宋体" w:hAnsi="宋体" w:cs="宋体"/>
          <w:color w:val="auto"/>
          <w:sz w:val="24"/>
          <w:szCs w:val="24"/>
          <w:u w:val="single"/>
        </w:rPr>
      </w:pPr>
      <w:r>
        <w:rPr>
          <w:rFonts w:hint="eastAsia" w:ascii="宋体" w:hAnsi="宋体" w:cs="宋体"/>
          <w:color w:val="auto"/>
          <w:sz w:val="24"/>
          <w:szCs w:val="24"/>
          <w:u w:val="single"/>
        </w:rPr>
        <w:t>采购人每学期在食堂内线下组织一次满意度测评，填写“餐饮服务满意度测评表”（见下表），每个项目参加测评人数不低于</w:t>
      </w:r>
      <w:r>
        <w:rPr>
          <w:rFonts w:ascii="宋体" w:hAnsi="宋体" w:cs="宋体"/>
          <w:color w:val="auto"/>
          <w:sz w:val="24"/>
          <w:szCs w:val="24"/>
          <w:u w:val="single"/>
        </w:rPr>
        <w:t>200人：</w:t>
      </w:r>
    </w:p>
    <w:p w14:paraId="72CEADF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餐饮服务学期满意度测评表（</w:t>
      </w:r>
      <w:r>
        <w:rPr>
          <w:rFonts w:ascii="宋体" w:hAnsi="宋体" w:cs="宋体"/>
          <w:color w:val="auto"/>
          <w:sz w:val="24"/>
          <w:szCs w:val="24"/>
        </w:rPr>
        <w:t>100分，得分保留一位小数）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87"/>
        <w:gridCol w:w="727"/>
        <w:gridCol w:w="917"/>
        <w:gridCol w:w="927"/>
        <w:gridCol w:w="953"/>
        <w:gridCol w:w="950"/>
        <w:gridCol w:w="912"/>
        <w:gridCol w:w="865"/>
        <w:gridCol w:w="1199"/>
      </w:tblGrid>
      <w:tr w14:paraId="0C90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54" w:type="dxa"/>
            <w:vAlign w:val="center"/>
          </w:tcPr>
          <w:p w14:paraId="77A3BFB8">
            <w:pPr>
              <w:snapToGrid w:val="0"/>
              <w:spacing w:line="400" w:lineRule="exact"/>
              <w:rPr>
                <w:rFonts w:ascii="宋体" w:hAnsi="宋体" w:cs="宋体"/>
                <w:color w:val="auto"/>
                <w:sz w:val="24"/>
                <w:szCs w:val="24"/>
              </w:rPr>
            </w:pPr>
            <w:r>
              <w:rPr>
                <w:rFonts w:hint="eastAsia" w:ascii="宋体" w:hAnsi="宋体" w:cs="宋体"/>
                <w:color w:val="auto"/>
                <w:sz w:val="24"/>
                <w:szCs w:val="24"/>
              </w:rPr>
              <w:t>项目</w:t>
            </w:r>
          </w:p>
        </w:tc>
        <w:tc>
          <w:tcPr>
            <w:tcW w:w="887" w:type="dxa"/>
            <w:vAlign w:val="center"/>
          </w:tcPr>
          <w:p w14:paraId="6B15584C">
            <w:pPr>
              <w:snapToGrid w:val="0"/>
              <w:spacing w:line="400" w:lineRule="exact"/>
              <w:jc w:val="center"/>
              <w:rPr>
                <w:rFonts w:ascii="宋体" w:hAnsi="宋体" w:cs="宋体"/>
                <w:color w:val="auto"/>
                <w:sz w:val="18"/>
                <w:szCs w:val="18"/>
              </w:rPr>
            </w:pPr>
            <w:r>
              <w:rPr>
                <w:rFonts w:hint="eastAsia" w:ascii="宋体" w:hAnsi="宋体" w:cs="宋体"/>
                <w:color w:val="auto"/>
                <w:sz w:val="24"/>
                <w:szCs w:val="24"/>
              </w:rPr>
              <w:t>就餐环境</w:t>
            </w:r>
          </w:p>
        </w:tc>
        <w:tc>
          <w:tcPr>
            <w:tcW w:w="727" w:type="dxa"/>
            <w:vAlign w:val="center"/>
          </w:tcPr>
          <w:p w14:paraId="0874C4A9">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食堂卫生</w:t>
            </w:r>
          </w:p>
        </w:tc>
        <w:tc>
          <w:tcPr>
            <w:tcW w:w="917" w:type="dxa"/>
            <w:vAlign w:val="center"/>
          </w:tcPr>
          <w:p w14:paraId="4DAA1A1B">
            <w:pPr>
              <w:snapToGrid w:val="0"/>
              <w:spacing w:line="400" w:lineRule="exact"/>
              <w:jc w:val="center"/>
              <w:rPr>
                <w:rFonts w:ascii="宋体" w:hAnsi="宋体" w:cs="宋体"/>
                <w:color w:val="auto"/>
                <w:sz w:val="18"/>
                <w:szCs w:val="18"/>
              </w:rPr>
            </w:pPr>
            <w:r>
              <w:rPr>
                <w:rFonts w:hint="eastAsia" w:ascii="宋体" w:hAnsi="宋体" w:cs="宋体"/>
                <w:color w:val="auto"/>
                <w:sz w:val="24"/>
                <w:szCs w:val="24"/>
              </w:rPr>
              <w:t>餐具清洁</w:t>
            </w:r>
          </w:p>
        </w:tc>
        <w:tc>
          <w:tcPr>
            <w:tcW w:w="927" w:type="dxa"/>
            <w:vAlign w:val="center"/>
          </w:tcPr>
          <w:p w14:paraId="65A1DC5C">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菜品</w:t>
            </w:r>
          </w:p>
          <w:p w14:paraId="01E41E79">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味道</w:t>
            </w:r>
          </w:p>
        </w:tc>
        <w:tc>
          <w:tcPr>
            <w:tcW w:w="953" w:type="dxa"/>
            <w:vAlign w:val="center"/>
          </w:tcPr>
          <w:p w14:paraId="091438A5">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菜品</w:t>
            </w:r>
          </w:p>
          <w:p w14:paraId="6E14709D">
            <w:pPr>
              <w:snapToGrid w:val="0"/>
              <w:spacing w:line="400" w:lineRule="exact"/>
              <w:jc w:val="center"/>
              <w:rPr>
                <w:rFonts w:ascii="宋体" w:hAnsi="宋体" w:cs="宋体"/>
                <w:color w:val="auto"/>
                <w:sz w:val="18"/>
                <w:szCs w:val="18"/>
              </w:rPr>
            </w:pPr>
            <w:r>
              <w:rPr>
                <w:rFonts w:hint="eastAsia" w:ascii="宋体" w:hAnsi="宋体" w:cs="宋体"/>
                <w:color w:val="auto"/>
                <w:sz w:val="24"/>
                <w:szCs w:val="24"/>
              </w:rPr>
              <w:t>变化</w:t>
            </w:r>
          </w:p>
        </w:tc>
        <w:tc>
          <w:tcPr>
            <w:tcW w:w="950" w:type="dxa"/>
            <w:vAlign w:val="center"/>
          </w:tcPr>
          <w:p w14:paraId="0A7B9142">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菜品</w:t>
            </w:r>
          </w:p>
          <w:p w14:paraId="12B2A99F">
            <w:pPr>
              <w:snapToGrid w:val="0"/>
              <w:spacing w:line="400" w:lineRule="exact"/>
              <w:jc w:val="center"/>
              <w:rPr>
                <w:rFonts w:ascii="宋体" w:hAnsi="宋体" w:cs="宋体"/>
                <w:color w:val="auto"/>
                <w:sz w:val="18"/>
                <w:szCs w:val="18"/>
              </w:rPr>
            </w:pPr>
            <w:r>
              <w:rPr>
                <w:rFonts w:hint="eastAsia" w:ascii="宋体" w:hAnsi="宋体" w:cs="宋体"/>
                <w:color w:val="auto"/>
                <w:sz w:val="24"/>
                <w:szCs w:val="24"/>
              </w:rPr>
              <w:t>质量</w:t>
            </w:r>
          </w:p>
        </w:tc>
        <w:tc>
          <w:tcPr>
            <w:tcW w:w="912" w:type="dxa"/>
            <w:vAlign w:val="center"/>
          </w:tcPr>
          <w:p w14:paraId="1EAB49B8">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服务</w:t>
            </w:r>
          </w:p>
          <w:p w14:paraId="611601DC">
            <w:pPr>
              <w:snapToGrid w:val="0"/>
              <w:spacing w:line="400" w:lineRule="exact"/>
              <w:jc w:val="center"/>
              <w:rPr>
                <w:rFonts w:ascii="宋体" w:hAnsi="宋体" w:cs="宋体"/>
                <w:color w:val="auto"/>
                <w:sz w:val="18"/>
                <w:szCs w:val="18"/>
              </w:rPr>
            </w:pPr>
            <w:r>
              <w:rPr>
                <w:rFonts w:hint="eastAsia" w:ascii="宋体" w:hAnsi="宋体" w:cs="宋体"/>
                <w:color w:val="auto"/>
                <w:sz w:val="24"/>
                <w:szCs w:val="24"/>
              </w:rPr>
              <w:t>态度</w:t>
            </w:r>
          </w:p>
        </w:tc>
        <w:tc>
          <w:tcPr>
            <w:tcW w:w="865" w:type="dxa"/>
            <w:vAlign w:val="center"/>
          </w:tcPr>
          <w:p w14:paraId="34BA176D">
            <w:pPr>
              <w:snapToGrid w:val="0"/>
              <w:spacing w:line="400" w:lineRule="exact"/>
              <w:jc w:val="center"/>
              <w:rPr>
                <w:rFonts w:ascii="宋体" w:hAnsi="宋体" w:cs="宋体"/>
                <w:color w:val="auto"/>
                <w:sz w:val="18"/>
                <w:szCs w:val="18"/>
              </w:rPr>
            </w:pPr>
            <w:r>
              <w:rPr>
                <w:rFonts w:hint="eastAsia" w:ascii="宋体" w:hAnsi="宋体" w:cs="宋体"/>
                <w:color w:val="auto"/>
                <w:sz w:val="24"/>
                <w:szCs w:val="24"/>
              </w:rPr>
              <w:t>米饭品质</w:t>
            </w:r>
          </w:p>
        </w:tc>
        <w:tc>
          <w:tcPr>
            <w:tcW w:w="1199" w:type="dxa"/>
            <w:vAlign w:val="center"/>
          </w:tcPr>
          <w:p w14:paraId="444FBF15">
            <w:pPr>
              <w:snapToGrid w:val="0"/>
              <w:spacing w:line="400" w:lineRule="exact"/>
              <w:jc w:val="center"/>
              <w:rPr>
                <w:rFonts w:ascii="宋体" w:hAnsi="宋体" w:cs="宋体"/>
                <w:color w:val="auto"/>
                <w:sz w:val="24"/>
                <w:szCs w:val="24"/>
              </w:rPr>
            </w:pPr>
            <w:r>
              <w:rPr>
                <w:rFonts w:hint="eastAsia" w:ascii="宋体" w:hAnsi="宋体" w:cs="宋体"/>
                <w:color w:val="auto"/>
                <w:sz w:val="24"/>
                <w:szCs w:val="24"/>
              </w:rPr>
              <w:t>得分</w:t>
            </w:r>
          </w:p>
        </w:tc>
      </w:tr>
      <w:tr w14:paraId="7E22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14:paraId="02FAFA45">
            <w:pPr>
              <w:snapToGrid w:val="0"/>
              <w:spacing w:line="400" w:lineRule="exact"/>
              <w:rPr>
                <w:rFonts w:ascii="宋体" w:hAnsi="宋体" w:cs="宋体"/>
                <w:color w:val="auto"/>
                <w:sz w:val="24"/>
                <w:szCs w:val="24"/>
              </w:rPr>
            </w:pPr>
            <w:r>
              <w:rPr>
                <w:rFonts w:hint="eastAsia" w:ascii="宋体" w:hAnsi="宋体" w:cs="宋体"/>
                <w:color w:val="auto"/>
                <w:sz w:val="24"/>
                <w:szCs w:val="24"/>
              </w:rPr>
              <w:t>分值</w:t>
            </w:r>
          </w:p>
        </w:tc>
        <w:tc>
          <w:tcPr>
            <w:tcW w:w="887" w:type="dxa"/>
            <w:shd w:val="clear" w:color="auto" w:fill="auto"/>
            <w:vAlign w:val="center"/>
          </w:tcPr>
          <w:p w14:paraId="54DA3C14">
            <w:pPr>
              <w:jc w:val="center"/>
              <w:rPr>
                <w:rFonts w:ascii="宋体" w:hAnsi="宋体" w:cs="宋体"/>
                <w:color w:val="auto"/>
                <w:sz w:val="24"/>
                <w:szCs w:val="24"/>
              </w:rPr>
            </w:pPr>
            <w:r>
              <w:rPr>
                <w:rFonts w:ascii="宋体" w:hAnsi="宋体" w:cs="宋体"/>
                <w:color w:val="auto"/>
                <w:sz w:val="24"/>
                <w:szCs w:val="24"/>
              </w:rPr>
              <w:t>10</w:t>
            </w:r>
          </w:p>
        </w:tc>
        <w:tc>
          <w:tcPr>
            <w:tcW w:w="727" w:type="dxa"/>
            <w:shd w:val="clear" w:color="auto" w:fill="auto"/>
            <w:vAlign w:val="center"/>
          </w:tcPr>
          <w:p w14:paraId="772157AA">
            <w:pPr>
              <w:jc w:val="center"/>
              <w:rPr>
                <w:rFonts w:ascii="宋体" w:hAnsi="宋体" w:cs="宋体"/>
                <w:color w:val="auto"/>
              </w:rPr>
            </w:pPr>
            <w:r>
              <w:rPr>
                <w:rFonts w:ascii="宋体" w:hAnsi="宋体" w:cs="宋体"/>
                <w:color w:val="auto"/>
              </w:rPr>
              <w:t>10</w:t>
            </w:r>
          </w:p>
        </w:tc>
        <w:tc>
          <w:tcPr>
            <w:tcW w:w="917" w:type="dxa"/>
            <w:shd w:val="clear" w:color="auto" w:fill="auto"/>
            <w:vAlign w:val="center"/>
          </w:tcPr>
          <w:p w14:paraId="7DC214A4">
            <w:pPr>
              <w:jc w:val="center"/>
              <w:rPr>
                <w:rFonts w:ascii="宋体" w:hAnsi="宋体" w:cs="宋体"/>
                <w:color w:val="auto"/>
                <w:sz w:val="24"/>
                <w:szCs w:val="24"/>
              </w:rPr>
            </w:pPr>
            <w:r>
              <w:rPr>
                <w:rFonts w:ascii="宋体" w:hAnsi="宋体" w:cs="宋体"/>
                <w:color w:val="auto"/>
              </w:rPr>
              <w:t>10</w:t>
            </w:r>
          </w:p>
        </w:tc>
        <w:tc>
          <w:tcPr>
            <w:tcW w:w="927" w:type="dxa"/>
            <w:shd w:val="clear" w:color="auto" w:fill="auto"/>
            <w:vAlign w:val="center"/>
          </w:tcPr>
          <w:p w14:paraId="2F1D7F13">
            <w:pPr>
              <w:jc w:val="center"/>
              <w:rPr>
                <w:rFonts w:ascii="宋体" w:hAnsi="宋体" w:cs="宋体"/>
                <w:color w:val="auto"/>
              </w:rPr>
            </w:pPr>
            <w:r>
              <w:rPr>
                <w:rFonts w:ascii="宋体" w:hAnsi="宋体" w:cs="宋体"/>
                <w:color w:val="auto"/>
              </w:rPr>
              <w:t>10</w:t>
            </w:r>
          </w:p>
        </w:tc>
        <w:tc>
          <w:tcPr>
            <w:tcW w:w="953" w:type="dxa"/>
            <w:shd w:val="clear" w:color="auto" w:fill="auto"/>
            <w:vAlign w:val="center"/>
          </w:tcPr>
          <w:p w14:paraId="275FA9BA">
            <w:pPr>
              <w:jc w:val="center"/>
              <w:rPr>
                <w:rFonts w:ascii="宋体" w:hAnsi="宋体" w:cs="宋体"/>
                <w:color w:val="auto"/>
                <w:sz w:val="24"/>
                <w:szCs w:val="24"/>
              </w:rPr>
            </w:pPr>
            <w:r>
              <w:rPr>
                <w:rFonts w:ascii="宋体" w:hAnsi="宋体" w:cs="宋体"/>
                <w:color w:val="auto"/>
              </w:rPr>
              <w:t>10</w:t>
            </w:r>
          </w:p>
        </w:tc>
        <w:tc>
          <w:tcPr>
            <w:tcW w:w="950" w:type="dxa"/>
            <w:shd w:val="clear" w:color="auto" w:fill="auto"/>
            <w:vAlign w:val="center"/>
          </w:tcPr>
          <w:p w14:paraId="14F9A2ED">
            <w:pPr>
              <w:jc w:val="center"/>
              <w:rPr>
                <w:rFonts w:ascii="宋体" w:hAnsi="宋体" w:cs="宋体"/>
                <w:color w:val="auto"/>
                <w:sz w:val="24"/>
                <w:szCs w:val="24"/>
              </w:rPr>
            </w:pPr>
            <w:r>
              <w:rPr>
                <w:rFonts w:ascii="宋体" w:hAnsi="宋体" w:cs="宋体"/>
                <w:color w:val="auto"/>
              </w:rPr>
              <w:t>20</w:t>
            </w:r>
          </w:p>
        </w:tc>
        <w:tc>
          <w:tcPr>
            <w:tcW w:w="912" w:type="dxa"/>
            <w:shd w:val="clear" w:color="auto" w:fill="auto"/>
            <w:vAlign w:val="center"/>
          </w:tcPr>
          <w:p w14:paraId="45D69F69">
            <w:pPr>
              <w:jc w:val="center"/>
              <w:rPr>
                <w:rFonts w:ascii="宋体" w:hAnsi="宋体" w:cs="宋体"/>
                <w:color w:val="auto"/>
                <w:sz w:val="24"/>
                <w:szCs w:val="24"/>
              </w:rPr>
            </w:pPr>
            <w:r>
              <w:rPr>
                <w:rFonts w:ascii="宋体" w:hAnsi="宋体" w:cs="宋体"/>
                <w:color w:val="auto"/>
              </w:rPr>
              <w:t>20</w:t>
            </w:r>
          </w:p>
        </w:tc>
        <w:tc>
          <w:tcPr>
            <w:tcW w:w="865" w:type="dxa"/>
            <w:shd w:val="clear" w:color="auto" w:fill="auto"/>
            <w:vAlign w:val="center"/>
          </w:tcPr>
          <w:p w14:paraId="56FD83D6">
            <w:pPr>
              <w:jc w:val="center"/>
              <w:rPr>
                <w:rFonts w:ascii="宋体" w:hAnsi="宋体" w:cs="宋体"/>
                <w:color w:val="auto"/>
                <w:sz w:val="24"/>
                <w:szCs w:val="24"/>
              </w:rPr>
            </w:pPr>
            <w:r>
              <w:rPr>
                <w:rFonts w:ascii="宋体" w:hAnsi="宋体" w:cs="宋体"/>
                <w:color w:val="auto"/>
              </w:rPr>
              <w:t>10</w:t>
            </w:r>
          </w:p>
        </w:tc>
        <w:tc>
          <w:tcPr>
            <w:tcW w:w="1199" w:type="dxa"/>
            <w:vAlign w:val="center"/>
          </w:tcPr>
          <w:p w14:paraId="17295E78">
            <w:pPr>
              <w:snapToGrid w:val="0"/>
              <w:spacing w:line="400" w:lineRule="exact"/>
              <w:ind w:firstLine="480" w:firstLineChars="200"/>
              <w:rPr>
                <w:rFonts w:ascii="宋体" w:hAnsi="宋体" w:cs="宋体"/>
                <w:color w:val="auto"/>
                <w:sz w:val="24"/>
                <w:szCs w:val="24"/>
              </w:rPr>
            </w:pPr>
          </w:p>
        </w:tc>
      </w:tr>
      <w:tr w14:paraId="20B8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14:paraId="25B2B403">
            <w:pPr>
              <w:snapToGrid w:val="0"/>
              <w:spacing w:line="400" w:lineRule="exact"/>
              <w:rPr>
                <w:rFonts w:ascii="宋体" w:hAnsi="宋体" w:cs="宋体"/>
                <w:color w:val="auto"/>
                <w:sz w:val="24"/>
                <w:szCs w:val="24"/>
              </w:rPr>
            </w:pPr>
            <w:r>
              <w:rPr>
                <w:rFonts w:hint="eastAsia" w:ascii="宋体" w:hAnsi="宋体" w:cs="宋体"/>
                <w:color w:val="auto"/>
                <w:sz w:val="24"/>
                <w:szCs w:val="24"/>
              </w:rPr>
              <w:t>意见</w:t>
            </w:r>
          </w:p>
        </w:tc>
        <w:tc>
          <w:tcPr>
            <w:tcW w:w="8337" w:type="dxa"/>
            <w:gridSpan w:val="9"/>
          </w:tcPr>
          <w:p w14:paraId="04D8C209">
            <w:pPr>
              <w:snapToGrid w:val="0"/>
              <w:spacing w:line="400" w:lineRule="exact"/>
              <w:ind w:firstLine="480" w:firstLineChars="200"/>
              <w:rPr>
                <w:rFonts w:ascii="宋体" w:hAnsi="宋体" w:cs="宋体"/>
                <w:color w:val="auto"/>
                <w:sz w:val="24"/>
                <w:szCs w:val="24"/>
              </w:rPr>
            </w:pPr>
          </w:p>
        </w:tc>
      </w:tr>
    </w:tbl>
    <w:p w14:paraId="00D0034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备注：</w:t>
      </w:r>
      <w:r>
        <w:rPr>
          <w:rFonts w:ascii="宋体" w:hAnsi="宋体" w:cs="宋体"/>
          <w:color w:val="auto"/>
          <w:sz w:val="24"/>
          <w:szCs w:val="24"/>
        </w:rPr>
        <w:t>1、学期满意度测评与日常考核相结合，发生较大消防安全事故、食品卫生安全事故、员工群体性事件等对采购人造成重大负面影响的事件，学期考核直接为不合格。</w:t>
      </w:r>
    </w:p>
    <w:p w14:paraId="18EBD757">
      <w:pPr>
        <w:numPr>
          <w:ilvl w:val="0"/>
          <w:numId w:val="198"/>
        </w:numPr>
        <w:snapToGrid w:val="0"/>
        <w:spacing w:line="40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学期满意度测评成绩与日常考核相结合，</w:t>
      </w:r>
      <w:r>
        <w:rPr>
          <w:rFonts w:hint="eastAsia" w:ascii="宋体" w:hAnsi="宋体" w:cs="宋体"/>
          <w:color w:val="auto"/>
          <w:sz w:val="24"/>
          <w:szCs w:val="24"/>
          <w:u w:val="single"/>
        </w:rPr>
        <w:t>学期满意度测评成绩</w:t>
      </w:r>
      <w:r>
        <w:rPr>
          <w:rFonts w:ascii="宋体" w:hAnsi="宋体" w:cs="宋体"/>
          <w:color w:val="auto"/>
          <w:sz w:val="24"/>
          <w:szCs w:val="24"/>
          <w:u w:val="single"/>
        </w:rPr>
        <w:t>=餐饮服务学期满意度测评*40%，日常考核成绩=（100-学期日常考核扣分）*60%，</w:t>
      </w:r>
      <w:r>
        <w:rPr>
          <w:rFonts w:hint="eastAsia" w:ascii="宋体" w:hAnsi="宋体" w:cs="宋体"/>
          <w:color w:val="auto"/>
          <w:sz w:val="24"/>
          <w:szCs w:val="24"/>
        </w:rPr>
        <w:t>除发生备注第</w:t>
      </w:r>
      <w:r>
        <w:rPr>
          <w:rFonts w:ascii="宋体" w:hAnsi="宋体" w:cs="宋体"/>
          <w:color w:val="auto"/>
          <w:sz w:val="24"/>
          <w:szCs w:val="24"/>
        </w:rPr>
        <w:t>1条外，</w:t>
      </w:r>
      <w:r>
        <w:rPr>
          <w:rFonts w:hint="eastAsia" w:ascii="宋体" w:hAnsi="宋体" w:cs="宋体"/>
          <w:color w:val="auto"/>
          <w:sz w:val="24"/>
          <w:szCs w:val="24"/>
          <w:u w:val="single"/>
        </w:rPr>
        <w:t>学期考核成绩</w:t>
      </w:r>
      <w:r>
        <w:rPr>
          <w:rFonts w:ascii="宋体" w:hAnsi="宋体" w:cs="宋体"/>
          <w:color w:val="auto"/>
          <w:sz w:val="24"/>
          <w:szCs w:val="24"/>
          <w:u w:val="single"/>
        </w:rPr>
        <w:t>=学期满意度测评成绩+日常考核成绩。</w:t>
      </w:r>
    </w:p>
    <w:p w14:paraId="432A778E">
      <w:pPr>
        <w:snapToGrid w:val="0"/>
        <w:spacing w:line="400" w:lineRule="exact"/>
        <w:ind w:firstLine="480" w:firstLineChars="200"/>
        <w:rPr>
          <w:rFonts w:ascii="宋体" w:hAnsi="宋体" w:cs="宋体"/>
          <w:color w:val="auto"/>
          <w:sz w:val="24"/>
          <w:szCs w:val="24"/>
        </w:rPr>
      </w:pPr>
      <w:r>
        <w:rPr>
          <w:rFonts w:ascii="宋体" w:hAnsi="宋体" w:cs="宋体"/>
          <w:color w:val="auto"/>
          <w:sz w:val="24"/>
          <w:szCs w:val="24"/>
        </w:rPr>
        <w:t>3.以上测评表，采购人每学期可以根据上级机关和学校管理要求，结合实际情况对测评项目及细则予以调整。</w:t>
      </w:r>
    </w:p>
    <w:p w14:paraId="7A9AD4D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（三）考核结果运用：</w:t>
      </w:r>
    </w:p>
    <w:p w14:paraId="6DC36DEB">
      <w:pPr>
        <w:spacing w:line="580" w:lineRule="atLeast"/>
        <w:ind w:left="213" w:leftChars="76" w:firstLine="360" w:firstLineChars="150"/>
        <w:jc w:val="left"/>
        <w:rPr>
          <w:rFonts w:ascii="宋体" w:hAnsi="宋体" w:cs="宋体"/>
          <w:color w:val="auto"/>
          <w:sz w:val="24"/>
          <w:szCs w:val="24"/>
        </w:rPr>
      </w:pPr>
      <w:r>
        <w:rPr>
          <w:rFonts w:hint="eastAsia" w:ascii="宋体" w:hAnsi="宋体" w:cs="宋体"/>
          <w:color w:val="auto"/>
          <w:sz w:val="24"/>
          <w:szCs w:val="24"/>
        </w:rPr>
        <w:t>学期考核成绩≥</w:t>
      </w:r>
      <w:r>
        <w:rPr>
          <w:rFonts w:ascii="宋体" w:hAnsi="宋体" w:cs="宋体"/>
          <w:color w:val="auto"/>
          <w:sz w:val="24"/>
          <w:szCs w:val="24"/>
        </w:rPr>
        <w:t>95分为非常优秀，全额返还当学期所提取考核费；95分＞学期考核成绩≥90分为基本优秀，</w:t>
      </w:r>
      <w:r>
        <w:rPr>
          <w:rFonts w:hint="eastAsia" w:ascii="宋体" w:hAnsi="宋体" w:cs="宋体"/>
          <w:color w:val="auto"/>
          <w:sz w:val="24"/>
          <w:szCs w:val="24"/>
        </w:rPr>
        <w:t>返还当学期所提取考核费</w:t>
      </w:r>
      <w:r>
        <w:rPr>
          <w:rFonts w:ascii="宋体" w:hAnsi="宋体" w:cs="宋体"/>
          <w:color w:val="auto"/>
          <w:sz w:val="24"/>
          <w:szCs w:val="24"/>
        </w:rPr>
        <w:t>50%；90分＞学期考核成绩≥85分为良好，返还当学期所提取考核费40%； 85分＞学期考核成绩≥80分为合格，返还当学期所提取考核费30%；80分＞学期考核成绩≥70分为合格，</w:t>
      </w:r>
      <w:r>
        <w:rPr>
          <w:rFonts w:hint="eastAsia" w:ascii="宋体" w:hAnsi="宋体" w:cs="宋体"/>
          <w:color w:val="auto"/>
          <w:sz w:val="24"/>
          <w:szCs w:val="24"/>
        </w:rPr>
        <w:t>不返还当学期所提取考核费；学期考核成绩</w:t>
      </w:r>
      <w:r>
        <w:rPr>
          <w:rFonts w:ascii="宋体" w:hAnsi="宋体" w:cs="宋体"/>
          <w:color w:val="auto"/>
          <w:sz w:val="24"/>
          <w:szCs w:val="24"/>
        </w:rPr>
        <w:t>&lt;70分为不合格，</w:t>
      </w:r>
      <w:r>
        <w:rPr>
          <w:rFonts w:hint="eastAsia" w:ascii="宋体" w:hAnsi="宋体" w:cs="宋体"/>
          <w:color w:val="auto"/>
          <w:sz w:val="24"/>
          <w:szCs w:val="28"/>
          <w:lang w:val="zh-CN"/>
        </w:rPr>
        <w:t>对其诫勉谈话，</w:t>
      </w:r>
      <w:r>
        <w:rPr>
          <w:rFonts w:hint="eastAsia" w:ascii="宋体" w:hAnsi="宋体" w:cs="宋体"/>
          <w:color w:val="auto"/>
          <w:sz w:val="24"/>
          <w:szCs w:val="28"/>
        </w:rPr>
        <w:t>按合同违约处理，</w:t>
      </w:r>
      <w:r>
        <w:rPr>
          <w:rFonts w:hint="eastAsia" w:ascii="宋体" w:hAnsi="宋体" w:cs="宋体"/>
          <w:color w:val="auto"/>
          <w:sz w:val="24"/>
          <w:szCs w:val="24"/>
        </w:rPr>
        <w:t>成交商须向采购人支付违约金</w:t>
      </w:r>
      <w:r>
        <w:rPr>
          <w:rFonts w:ascii="宋体" w:hAnsi="宋体" w:cs="宋体"/>
          <w:color w:val="auto"/>
          <w:sz w:val="24"/>
          <w:szCs w:val="24"/>
        </w:rPr>
        <w:t>200000元，且</w:t>
      </w:r>
      <w:r>
        <w:rPr>
          <w:rFonts w:hint="eastAsia" w:ascii="宋体" w:hAnsi="宋体" w:cs="宋体"/>
          <w:color w:val="auto"/>
          <w:sz w:val="24"/>
          <w:szCs w:val="28"/>
        </w:rPr>
        <w:t>下一个考核期每月营业款再原有考核费提取的基础上再增加</w:t>
      </w:r>
      <w:r>
        <w:rPr>
          <w:rFonts w:ascii="宋体" w:hAnsi="宋体" w:cs="宋体"/>
          <w:color w:val="auto"/>
          <w:sz w:val="24"/>
          <w:szCs w:val="28"/>
        </w:rPr>
        <w:t>1%提取每月考核费</w:t>
      </w:r>
      <w:r>
        <w:rPr>
          <w:rFonts w:hint="eastAsia" w:ascii="宋体" w:hAnsi="宋体" w:cs="宋体"/>
          <w:color w:val="auto"/>
          <w:sz w:val="24"/>
          <w:szCs w:val="24"/>
        </w:rPr>
        <w:t>，出现一切经济和法律责任由成交商自行承担，采购人不承担任何责任和做任何补偿。未返还完的考核费用于学生奖助贷、合理承担食堂在编在岗监管人员的薪资、食品安全管理及学生活动等公益性支出，惠及全校学生。</w:t>
      </w:r>
    </w:p>
    <w:p w14:paraId="0C29BD0E">
      <w:pPr>
        <w:pStyle w:val="3"/>
        <w:tabs>
          <w:tab w:val="left" w:pos="2443"/>
        </w:tabs>
        <w:spacing w:line="400" w:lineRule="exact"/>
        <w:rPr>
          <w:b w:val="0"/>
          <w:color w:val="auto"/>
        </w:rPr>
      </w:pPr>
      <w:bookmarkStart w:id="82" w:name="_Toc1932"/>
      <w:r>
        <w:rPr>
          <w:b w:val="0"/>
          <w:color w:val="auto"/>
        </w:rPr>
        <w:t>*</w:t>
      </w:r>
      <w:r>
        <w:rPr>
          <w:rFonts w:hint="eastAsia"/>
          <w:b w:val="0"/>
          <w:color w:val="auto"/>
        </w:rPr>
        <w:t>八、特别要求</w:t>
      </w:r>
      <w:bookmarkEnd w:id="72"/>
      <w:bookmarkEnd w:id="73"/>
      <w:bookmarkEnd w:id="74"/>
      <w:bookmarkEnd w:id="75"/>
      <w:bookmarkEnd w:id="76"/>
      <w:bookmarkEnd w:id="77"/>
      <w:bookmarkEnd w:id="82"/>
      <w:r>
        <w:rPr>
          <w:rFonts w:hint="eastAsia"/>
          <w:b w:val="0"/>
          <w:color w:val="auto"/>
        </w:rPr>
        <w:tab/>
      </w:r>
    </w:p>
    <w:p w14:paraId="7FD0DB71">
      <w:pPr>
        <w:numPr>
          <w:ilvl w:val="0"/>
          <w:numId w:val="199"/>
        </w:num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成交商必须服从采购人的工作安排和服务要求。</w:t>
      </w:r>
    </w:p>
    <w:p w14:paraId="15C1E494">
      <w:pPr>
        <w:numPr>
          <w:ilvl w:val="0"/>
          <w:numId w:val="199"/>
        </w:num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供应商承诺投保最低额为</w:t>
      </w:r>
      <w:r>
        <w:rPr>
          <w:rFonts w:ascii="宋体" w:hAnsi="宋体" w:cs="宋体"/>
          <w:color w:val="auto"/>
          <w:sz w:val="24"/>
          <w:szCs w:val="24"/>
        </w:rPr>
        <w:t>1000万元人民币的食品安全责任险</w:t>
      </w:r>
      <w:r>
        <w:rPr>
          <w:rFonts w:hint="eastAsia" w:ascii="宋体" w:hAnsi="宋体" w:cs="宋体"/>
          <w:color w:val="auto"/>
          <w:sz w:val="24"/>
          <w:szCs w:val="24"/>
        </w:rPr>
        <w:t>（含公众责任险），且每人财产损失险保额不低于</w:t>
      </w:r>
      <w:r>
        <w:rPr>
          <w:rFonts w:ascii="宋体" w:hAnsi="宋体" w:cs="宋体"/>
          <w:color w:val="auto"/>
          <w:sz w:val="24"/>
          <w:szCs w:val="24"/>
        </w:rPr>
        <w:t>10万和人身伤害每人不低于50万</w:t>
      </w:r>
      <w:r>
        <w:rPr>
          <w:rFonts w:hint="eastAsia" w:ascii="宋体" w:hAnsi="宋体" w:cs="宋体"/>
          <w:color w:val="auto"/>
          <w:sz w:val="24"/>
          <w:szCs w:val="24"/>
        </w:rPr>
        <w:t>。</w:t>
      </w:r>
    </w:p>
    <w:p w14:paraId="06E59E2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（三）采购文件中</w:t>
      </w:r>
      <w:bookmarkStart w:id="83" w:name="_Hlk101963034"/>
      <w:r>
        <w:rPr>
          <w:rFonts w:hint="eastAsia" w:ascii="宋体" w:hAnsi="宋体" w:cs="宋体"/>
          <w:color w:val="auto"/>
          <w:sz w:val="24"/>
          <w:szCs w:val="24"/>
        </w:rPr>
        <w:t>未尽条款按国家《食品安全法》、《重庆市食品安全管理办法》、《重庆文理学院食堂监管办法》等最新文件相关要求执行。</w:t>
      </w:r>
      <w:bookmarkEnd w:id="83"/>
    </w:p>
    <w:p w14:paraId="26FC257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（四）未尽事宜，凡是有利于提升餐饮服务质量，有利于提升食品安全管理能力，有利于保障学校正常教育教学秩序，须以采购人要求为准。</w:t>
      </w:r>
    </w:p>
    <w:p w14:paraId="484A9FC7">
      <w:pPr>
        <w:pStyle w:val="3"/>
        <w:spacing w:line="400" w:lineRule="exact"/>
        <w:rPr>
          <w:b w:val="0"/>
          <w:color w:val="auto"/>
        </w:rPr>
      </w:pPr>
      <w:bookmarkStart w:id="84" w:name="_Toc23341"/>
      <w:r>
        <w:rPr>
          <w:rFonts w:hint="eastAsia"/>
          <w:b w:val="0"/>
          <w:color w:val="auto"/>
        </w:rPr>
        <w:t>九、现场查勘</w:t>
      </w:r>
      <w:bookmarkEnd w:id="84"/>
    </w:p>
    <w:p w14:paraId="543530DE">
      <w:pPr>
        <w:spacing w:line="400" w:lineRule="exact"/>
        <w:ind w:firstLine="480" w:firstLineChars="200"/>
        <w:jc w:val="left"/>
        <w:rPr>
          <w:color w:val="auto"/>
          <w:sz w:val="24"/>
          <w:szCs w:val="24"/>
          <w:u w:val="single"/>
        </w:rPr>
      </w:pPr>
      <w:r>
        <w:rPr>
          <w:color w:val="auto"/>
          <w:sz w:val="24"/>
          <w:szCs w:val="24"/>
        </w:rPr>
        <w:t>1</w:t>
      </w:r>
      <w:r>
        <w:rPr>
          <w:rFonts w:hint="eastAsia"/>
          <w:color w:val="auto"/>
          <w:sz w:val="24"/>
          <w:szCs w:val="24"/>
        </w:rPr>
        <w:t>、为保证报价准确，参与磋商的各供应商可到现场进行查勘，需提供公司函（包括商家名称、进校车辆车牌号码、查勘人员姓名、性别、身份证号、联系电话提交采购报备），现场查勘时间：在采购信息公告日起第二天和第三天（周末、节假日不顺延）上午</w:t>
      </w:r>
      <w:r>
        <w:rPr>
          <w:color w:val="auto"/>
          <w:sz w:val="24"/>
          <w:szCs w:val="24"/>
        </w:rPr>
        <w:t>9</w:t>
      </w:r>
      <w:r>
        <w:rPr>
          <w:rFonts w:hint="eastAsia"/>
          <w:color w:val="auto"/>
          <w:sz w:val="24"/>
          <w:szCs w:val="24"/>
        </w:rPr>
        <w:t>：</w:t>
      </w:r>
      <w:r>
        <w:rPr>
          <w:color w:val="auto"/>
          <w:sz w:val="24"/>
          <w:szCs w:val="24"/>
        </w:rPr>
        <w:t>30-11</w:t>
      </w:r>
      <w:r>
        <w:rPr>
          <w:rFonts w:hint="eastAsia"/>
          <w:color w:val="auto"/>
          <w:sz w:val="24"/>
          <w:szCs w:val="24"/>
        </w:rPr>
        <w:t>：</w:t>
      </w:r>
      <w:r>
        <w:rPr>
          <w:color w:val="auto"/>
          <w:sz w:val="24"/>
          <w:szCs w:val="24"/>
        </w:rPr>
        <w:t>30</w:t>
      </w:r>
      <w:r>
        <w:rPr>
          <w:rFonts w:hint="eastAsia"/>
          <w:color w:val="auto"/>
          <w:sz w:val="24"/>
          <w:szCs w:val="24"/>
        </w:rPr>
        <w:t>。现场踏勘联系方式：程老师，</w:t>
      </w:r>
      <w:r>
        <w:rPr>
          <w:color w:val="auto"/>
          <w:sz w:val="24"/>
          <w:szCs w:val="24"/>
        </w:rPr>
        <w:t>13996199936</w:t>
      </w:r>
      <w:r>
        <w:rPr>
          <w:rFonts w:hint="eastAsia"/>
          <w:color w:val="auto"/>
          <w:sz w:val="24"/>
          <w:szCs w:val="24"/>
        </w:rPr>
        <w:t>。</w:t>
      </w:r>
    </w:p>
    <w:p w14:paraId="7E845982">
      <w:pPr>
        <w:spacing w:line="400" w:lineRule="exact"/>
        <w:ind w:firstLine="480" w:firstLineChars="200"/>
        <w:jc w:val="left"/>
        <w:rPr>
          <w:color w:val="auto"/>
          <w:sz w:val="24"/>
          <w:szCs w:val="24"/>
        </w:rPr>
      </w:pPr>
      <w:r>
        <w:rPr>
          <w:color w:val="auto"/>
          <w:sz w:val="24"/>
          <w:szCs w:val="24"/>
        </w:rPr>
        <w:t>2</w:t>
      </w:r>
      <w:r>
        <w:rPr>
          <w:rFonts w:hint="eastAsia"/>
          <w:color w:val="auto"/>
          <w:sz w:val="24"/>
          <w:szCs w:val="24"/>
        </w:rPr>
        <w:t>、无论供应商踏勘与否，均视供应商已知晓本项目经营现场的全部内容并知晓相关风险。踏勘费用、安全等由供应商自行负责。</w:t>
      </w:r>
    </w:p>
    <w:p w14:paraId="38897E26">
      <w:pPr>
        <w:pStyle w:val="3"/>
        <w:spacing w:line="400" w:lineRule="exact"/>
        <w:rPr>
          <w:b w:val="0"/>
          <w:color w:val="auto"/>
        </w:rPr>
      </w:pPr>
      <w:bookmarkStart w:id="85" w:name="_Toc29640"/>
      <w:bookmarkStart w:id="86" w:name="_Toc41457499"/>
      <w:bookmarkStart w:id="87" w:name="_Toc41986737"/>
      <w:bookmarkStart w:id="88" w:name="_Toc42780317"/>
      <w:bookmarkStart w:id="89" w:name="_Toc186919401"/>
      <w:bookmarkStart w:id="90" w:name="_Toc4559"/>
      <w:bookmarkStart w:id="91" w:name="_Toc29853"/>
      <w:r>
        <w:rPr>
          <w:rFonts w:hint="eastAsia"/>
          <w:b w:val="0"/>
          <w:color w:val="auto"/>
        </w:rPr>
        <w:t>十、其他</w:t>
      </w:r>
      <w:bookmarkEnd w:id="85"/>
      <w:bookmarkEnd w:id="86"/>
      <w:bookmarkEnd w:id="87"/>
      <w:bookmarkEnd w:id="88"/>
      <w:bookmarkEnd w:id="89"/>
      <w:bookmarkEnd w:id="90"/>
      <w:bookmarkEnd w:id="91"/>
    </w:p>
    <w:p w14:paraId="7C5C44EF">
      <w:pPr>
        <w:spacing w:line="400" w:lineRule="exact"/>
        <w:ind w:firstLine="480" w:firstLineChars="200"/>
        <w:jc w:val="left"/>
        <w:rPr>
          <w:rFonts w:ascii="宋体" w:hAnsi="宋体" w:cs="宋体"/>
          <w:color w:val="auto"/>
          <w:sz w:val="24"/>
          <w:szCs w:val="24"/>
        </w:rPr>
      </w:pPr>
    </w:p>
    <w:p w14:paraId="51EB0709">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（一）供应商必须在投标文件中对以上条款明确列出承诺，承诺内容必须达到本篇及招标文件其他条款的要求。</w:t>
      </w:r>
    </w:p>
    <w:p w14:paraId="2EEDF92A">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（二）其他未尽事宜在采购合同中详细约定。</w:t>
      </w:r>
    </w:p>
    <w:p w14:paraId="1E9438AE">
      <w:pPr>
        <w:rPr>
          <w:rFonts w:ascii="宋体" w:hAnsi="宋体" w:cs="宋体"/>
          <w:color w:val="auto"/>
          <w:sz w:val="24"/>
          <w:szCs w:val="24"/>
        </w:rPr>
      </w:pPr>
      <w:r>
        <w:rPr>
          <w:rFonts w:ascii="宋体" w:hAnsi="宋体" w:cs="宋体"/>
          <w:color w:val="auto"/>
          <w:sz w:val="24"/>
          <w:szCs w:val="24"/>
        </w:rPr>
        <w:br w:type="page"/>
      </w:r>
    </w:p>
    <w:p w14:paraId="38F68BA0">
      <w:pPr>
        <w:pStyle w:val="2"/>
        <w:jc w:val="center"/>
        <w:rPr>
          <w:rFonts w:hAnsi="宋体" w:cs="宋体"/>
          <w:bCs/>
          <w:color w:val="auto"/>
          <w:sz w:val="32"/>
          <w:szCs w:val="32"/>
        </w:rPr>
      </w:pPr>
      <w:bookmarkStart w:id="92" w:name="_Toc23685"/>
      <w:r>
        <w:rPr>
          <w:rFonts w:hint="eastAsia"/>
          <w:bCs/>
          <w:color w:val="auto"/>
          <w:sz w:val="32"/>
          <w:szCs w:val="32"/>
        </w:rPr>
        <w:t>第三篇</w:t>
      </w:r>
      <w:r>
        <w:rPr>
          <w:bCs/>
          <w:color w:val="auto"/>
          <w:sz w:val="32"/>
          <w:szCs w:val="32"/>
        </w:rPr>
        <w:t xml:space="preserve">  </w:t>
      </w:r>
      <w:r>
        <w:rPr>
          <w:rFonts w:hint="eastAsia"/>
          <w:bCs/>
          <w:color w:val="auto"/>
          <w:sz w:val="32"/>
          <w:szCs w:val="32"/>
        </w:rPr>
        <w:t>采购商务需求</w:t>
      </w:r>
      <w:bookmarkEnd w:id="34"/>
      <w:bookmarkEnd w:id="35"/>
      <w:bookmarkEnd w:id="36"/>
      <w:bookmarkEnd w:id="37"/>
      <w:bookmarkEnd w:id="92"/>
    </w:p>
    <w:p w14:paraId="6717BF59">
      <w:pPr>
        <w:pStyle w:val="3"/>
        <w:spacing w:line="400" w:lineRule="exact"/>
        <w:rPr>
          <w:rFonts w:ascii="宋体" w:hAnsi="宋体" w:eastAsia="宋体" w:cs="宋体"/>
          <w:b w:val="0"/>
          <w:color w:val="auto"/>
          <w:szCs w:val="24"/>
        </w:rPr>
      </w:pPr>
      <w:bookmarkStart w:id="93" w:name="_Toc344475120"/>
      <w:bookmarkStart w:id="94" w:name="_Toc26372"/>
      <w:bookmarkStart w:id="95" w:name="_Toc9710"/>
      <w:r>
        <w:rPr>
          <w:rFonts w:hint="eastAsia"/>
          <w:b w:val="0"/>
          <w:color w:val="auto"/>
          <w:sz w:val="28"/>
          <w:szCs w:val="28"/>
        </w:rPr>
        <w:t>一、时间、地点要求，</w:t>
      </w:r>
      <w:bookmarkEnd w:id="93"/>
      <w:r>
        <w:rPr>
          <w:rFonts w:hint="eastAsia"/>
          <w:b w:val="0"/>
          <w:color w:val="auto"/>
          <w:sz w:val="28"/>
          <w:szCs w:val="28"/>
        </w:rPr>
        <w:t>人员要求及验收方式</w:t>
      </w:r>
      <w:bookmarkEnd w:id="94"/>
      <w:bookmarkEnd w:id="95"/>
    </w:p>
    <w:p w14:paraId="0206A9AC">
      <w:pPr>
        <w:ind w:firstLine="480"/>
        <w:jc w:val="left"/>
        <w:rPr>
          <w:rFonts w:ascii="宋体" w:hAnsi="宋体" w:cs="宋体"/>
          <w:color w:val="auto"/>
          <w:sz w:val="24"/>
          <w:szCs w:val="24"/>
        </w:rPr>
      </w:pPr>
      <w:r>
        <w:rPr>
          <w:rFonts w:hint="eastAsia" w:ascii="宋体" w:hAnsi="宋体" w:cs="宋体"/>
          <w:color w:val="auto"/>
          <w:sz w:val="24"/>
          <w:szCs w:val="24"/>
        </w:rPr>
        <w:t>（一）服务期：</w:t>
      </w:r>
      <w:r>
        <w:rPr>
          <w:rFonts w:ascii="宋体" w:hAnsi="宋体" w:cs="宋体"/>
          <w:color w:val="auto"/>
          <w:sz w:val="24"/>
          <w:szCs w:val="24"/>
          <w:u w:val="single"/>
        </w:rPr>
        <w:t>(发放成交通知之日)</w:t>
      </w:r>
      <w:r>
        <w:rPr>
          <w:rFonts w:hint="eastAsia" w:ascii="宋体" w:hAnsi="宋体" w:cs="宋体"/>
          <w:color w:val="auto"/>
          <w:sz w:val="24"/>
          <w:szCs w:val="24"/>
        </w:rPr>
        <w:t>至</w:t>
      </w:r>
      <w:r>
        <w:rPr>
          <w:rFonts w:ascii="宋体" w:hAnsi="宋体" w:cs="宋体"/>
          <w:color w:val="auto"/>
          <w:sz w:val="24"/>
          <w:szCs w:val="24"/>
        </w:rPr>
        <w:t xml:space="preserve">2030年7月10日。 </w:t>
      </w:r>
    </w:p>
    <w:p w14:paraId="58F5062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（二）服务地点：包</w:t>
      </w:r>
      <w:r>
        <w:rPr>
          <w:rFonts w:ascii="宋体" w:hAnsi="宋体" w:cs="宋体"/>
          <w:color w:val="auto"/>
          <w:sz w:val="24"/>
          <w:szCs w:val="24"/>
        </w:rPr>
        <w:t>1红河B区</w:t>
      </w:r>
      <w:r>
        <w:rPr>
          <w:rFonts w:hint="eastAsia" w:ascii="宋体" w:hAnsi="宋体" w:cs="宋体"/>
          <w:color w:val="auto"/>
          <w:sz w:val="24"/>
          <w:szCs w:val="24"/>
        </w:rPr>
        <w:t>知味楼一楼；包</w:t>
      </w:r>
      <w:r>
        <w:rPr>
          <w:rFonts w:ascii="宋体" w:hAnsi="宋体" w:cs="宋体"/>
          <w:color w:val="auto"/>
          <w:sz w:val="24"/>
          <w:szCs w:val="24"/>
        </w:rPr>
        <w:t>2红河B区知味楼二楼特色食堂（含二楼教工餐厅）和三楼接待餐厅；包3红河A</w:t>
      </w:r>
      <w:r>
        <w:rPr>
          <w:rFonts w:hint="eastAsia" w:ascii="宋体" w:hAnsi="宋体" w:cs="宋体"/>
          <w:color w:val="auto"/>
          <w:sz w:val="24"/>
          <w:szCs w:val="24"/>
        </w:rPr>
        <w:t>区知善楼一、二楼食堂；包</w:t>
      </w:r>
      <w:r>
        <w:rPr>
          <w:rFonts w:ascii="宋体" w:hAnsi="宋体" w:cs="宋体"/>
          <w:color w:val="auto"/>
          <w:sz w:val="24"/>
          <w:szCs w:val="24"/>
        </w:rPr>
        <w:t>4红河A校区三食堂（含教工餐厅）；包5星湖校区知和楼一、二楼食堂（含教工餐厅）及</w:t>
      </w:r>
      <w:r>
        <w:rPr>
          <w:rFonts w:hint="eastAsia" w:ascii="宋体" w:hAnsi="宋体" w:cs="宋体"/>
          <w:color w:val="auto"/>
          <w:sz w:val="24"/>
          <w:szCs w:val="24"/>
        </w:rPr>
        <w:t>学聚苑食堂；</w:t>
      </w:r>
    </w:p>
    <w:p w14:paraId="55F5AC2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（三）验收方式：采购人依照成交商响应及合同执行情况进行现场验收。</w:t>
      </w:r>
    </w:p>
    <w:p w14:paraId="44656E7D">
      <w:pPr>
        <w:pStyle w:val="3"/>
        <w:spacing w:line="400" w:lineRule="exact"/>
        <w:rPr>
          <w:b w:val="0"/>
          <w:color w:val="auto"/>
          <w:sz w:val="28"/>
          <w:szCs w:val="28"/>
        </w:rPr>
      </w:pPr>
      <w:bookmarkStart w:id="96" w:name="_Toc344475121"/>
      <w:bookmarkStart w:id="97" w:name="_Toc23326"/>
      <w:bookmarkStart w:id="98" w:name="_Toc9304"/>
      <w:r>
        <w:rPr>
          <w:rFonts w:hint="eastAsia"/>
          <w:b w:val="0"/>
          <w:color w:val="auto"/>
          <w:sz w:val="28"/>
          <w:szCs w:val="28"/>
        </w:rPr>
        <w:t>二、</w:t>
      </w:r>
      <w:bookmarkEnd w:id="96"/>
      <w:r>
        <w:rPr>
          <w:rFonts w:hint="eastAsia"/>
          <w:b w:val="0"/>
          <w:color w:val="auto"/>
          <w:sz w:val="28"/>
          <w:szCs w:val="28"/>
        </w:rPr>
        <w:t>报价要求</w:t>
      </w:r>
      <w:bookmarkEnd w:id="97"/>
      <w:bookmarkEnd w:id="98"/>
    </w:p>
    <w:p w14:paraId="6EFF013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供应商应充分考察学校周边经营环境和校园整体规划布局、经营现状，充分了解所面临的风险及义务，综合考虑各种因素，结合自身实力自主报价。</w:t>
      </w:r>
    </w:p>
    <w:p w14:paraId="0B4AD6A8">
      <w:pPr>
        <w:spacing w:line="400" w:lineRule="exact"/>
        <w:ind w:firstLine="480" w:firstLineChars="200"/>
        <w:rPr>
          <w:rFonts w:ascii="宋体" w:hAnsi="宋体" w:cs="宋体"/>
          <w:bCs/>
          <w:color w:val="auto"/>
          <w:sz w:val="24"/>
          <w:szCs w:val="24"/>
        </w:rPr>
      </w:pPr>
      <w:r>
        <w:rPr>
          <w:rFonts w:hint="eastAsia" w:ascii="宋体" w:hAnsi="宋体" w:cs="宋体"/>
          <w:color w:val="auto"/>
          <w:sz w:val="24"/>
          <w:szCs w:val="24"/>
        </w:rPr>
        <w:t>本项目按营业收入的一定比例暂扣考核费，考核费报价为</w:t>
      </w:r>
      <w:r>
        <w:rPr>
          <w:rFonts w:ascii="宋体" w:hAnsi="宋体" w:cs="宋体"/>
          <w:color w:val="auto"/>
          <w:sz w:val="24"/>
          <w:szCs w:val="24"/>
        </w:rPr>
        <w:t>:按百分比报价</w:t>
      </w:r>
      <w:r>
        <w:rPr>
          <w:rFonts w:hint="eastAsia" w:ascii="宋体" w:hAnsi="宋体" w:cs="宋体"/>
          <w:bCs/>
          <w:color w:val="auto"/>
          <w:sz w:val="24"/>
          <w:szCs w:val="24"/>
        </w:rPr>
        <w:t>。</w:t>
      </w:r>
    </w:p>
    <w:p w14:paraId="66CADE2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供应商报价仅是暂扣考核费，不包含成交商对其它用房、食堂经营环境改善投入及设备设施投入、使用、运行维护过程中所产生的人工费、材料费、税费、水电气费、垃圾清运费、网络费、维修维护等费用。</w:t>
      </w:r>
    </w:p>
    <w:p w14:paraId="1E4E0358">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成交商对其它用房、食堂经营环境改善投入及设备设施投入、使用、运行维护过程中所产生的人工费、材料费、税费、水电气费、垃圾清运费、网络费、维修维护费等费用由成交商自行承担，采购人不作任何补偿。</w:t>
      </w:r>
    </w:p>
    <w:p w14:paraId="712B9BBE">
      <w:pPr>
        <w:pStyle w:val="3"/>
        <w:spacing w:line="400" w:lineRule="exact"/>
        <w:rPr>
          <w:b w:val="0"/>
          <w:color w:val="auto"/>
          <w:sz w:val="28"/>
          <w:szCs w:val="28"/>
        </w:rPr>
      </w:pPr>
      <w:bookmarkStart w:id="99" w:name="_Toc16342"/>
      <w:bookmarkStart w:id="100" w:name="_Toc29430"/>
      <w:bookmarkStart w:id="101" w:name="_Toc344475122"/>
      <w:r>
        <w:rPr>
          <w:rStyle w:val="67"/>
          <w:color w:val="auto"/>
        </w:rPr>
        <w:t>*</w:t>
      </w:r>
      <w:r>
        <w:rPr>
          <w:rFonts w:hint="eastAsia"/>
          <w:b w:val="0"/>
          <w:color w:val="auto"/>
          <w:sz w:val="28"/>
          <w:szCs w:val="28"/>
        </w:rPr>
        <w:t>三、履约保证金</w:t>
      </w:r>
      <w:bookmarkEnd w:id="99"/>
      <w:bookmarkEnd w:id="100"/>
    </w:p>
    <w:p w14:paraId="64664690">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本项目履约保证金：各包均为</w:t>
      </w:r>
      <w:r>
        <w:rPr>
          <w:rFonts w:ascii="宋体" w:hAnsi="宋体" w:cs="宋体"/>
          <w:bCs/>
          <w:color w:val="auto"/>
          <w:sz w:val="24"/>
          <w:szCs w:val="24"/>
        </w:rPr>
        <w:t>100万元人民币。</w:t>
      </w:r>
      <w:r>
        <w:rPr>
          <w:rFonts w:hint="eastAsia" w:ascii="宋体" w:hAnsi="宋体" w:cs="宋体"/>
          <w:color w:val="auto"/>
          <w:sz w:val="24"/>
          <w:szCs w:val="24"/>
        </w:rPr>
        <w:t>成交商在合同签订前必须向采购人缴纳。服务期内如有扣减，成交商必须随时补足履约保证金。合同服务期满结束后，成交商应保证房屋及设施设备、装修等完好，经营区内无生活垃圾、建筑垃圾和其它废弃物，成交商履行完合同义务且无遗留问题</w:t>
      </w:r>
      <w:r>
        <w:rPr>
          <w:rFonts w:ascii="宋体" w:hAnsi="宋体" w:cs="宋体"/>
          <w:color w:val="auto"/>
          <w:sz w:val="24"/>
          <w:szCs w:val="24"/>
        </w:rPr>
        <w:t>(如劳资纠纷、供货纠纷等)，经采购人验收合格并办理完书面移交手续后，采购人10日内无息退还履约保证金。</w:t>
      </w:r>
    </w:p>
    <w:p w14:paraId="63252BF3">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装修保证金：中标人在结果公告起5个工作日内向采购人缴纳10万元的环境改造保证金，以确保环境改造按期、按质进行，验收合格后无息退还。</w:t>
      </w:r>
    </w:p>
    <w:p w14:paraId="66FE794F">
      <w:pPr>
        <w:pStyle w:val="3"/>
        <w:spacing w:line="400" w:lineRule="exact"/>
        <w:rPr>
          <w:b w:val="0"/>
          <w:color w:val="auto"/>
          <w:sz w:val="28"/>
          <w:szCs w:val="28"/>
        </w:rPr>
      </w:pPr>
      <w:bookmarkStart w:id="102" w:name="_Toc16228"/>
      <w:bookmarkStart w:id="103" w:name="_Toc29979"/>
      <w:r>
        <w:rPr>
          <w:rStyle w:val="67"/>
          <w:color w:val="auto"/>
        </w:rPr>
        <w:t>*</w:t>
      </w:r>
      <w:r>
        <w:rPr>
          <w:rFonts w:hint="eastAsia"/>
          <w:b w:val="0"/>
          <w:color w:val="auto"/>
          <w:sz w:val="28"/>
          <w:szCs w:val="28"/>
        </w:rPr>
        <w:t>四、费用结算及支付</w:t>
      </w:r>
      <w:bookmarkEnd w:id="102"/>
      <w:bookmarkEnd w:id="103"/>
    </w:p>
    <w:bookmarkEnd w:id="101"/>
    <w:p w14:paraId="4947B710">
      <w:pPr>
        <w:tabs>
          <w:tab w:val="left" w:pos="0"/>
          <w:tab w:val="left" w:pos="312"/>
        </w:tabs>
        <w:spacing w:line="360" w:lineRule="exact"/>
        <w:ind w:firstLine="480" w:firstLineChars="200"/>
        <w:rPr>
          <w:rFonts w:ascii="宋体" w:hAnsi="宋体" w:cs="宋体"/>
          <w:color w:val="auto"/>
          <w:sz w:val="24"/>
          <w:szCs w:val="24"/>
        </w:rPr>
      </w:pPr>
      <w:r>
        <w:rPr>
          <w:rFonts w:hint="eastAsia" w:ascii="宋体" w:hAnsi="宋体" w:cs="宋体"/>
          <w:color w:val="auto"/>
          <w:sz w:val="24"/>
          <w:szCs w:val="24"/>
        </w:rPr>
        <w:t>（一）成交商自行承担建设运营期间所需的水电气费，按采购人所在地物价局水、电、气供给部门所公布的居民收费标准执行，由采购人在成交商营业款中直接扣除。</w:t>
      </w:r>
    </w:p>
    <w:p w14:paraId="722F4152">
      <w:pPr>
        <w:snapToGrid w:val="0"/>
        <w:spacing w:line="400" w:lineRule="exact"/>
        <w:ind w:firstLine="480" w:firstLineChars="200"/>
        <w:rPr>
          <w:rFonts w:ascii="宋体" w:hAnsi="宋体" w:cs="宋体"/>
          <w:bCs/>
          <w:color w:val="auto"/>
          <w:sz w:val="24"/>
          <w:szCs w:val="24"/>
          <w:u w:val="single"/>
        </w:rPr>
      </w:pPr>
      <w:r>
        <w:rPr>
          <w:rFonts w:hint="eastAsia" w:ascii="宋体" w:hAnsi="宋体" w:cs="宋体"/>
          <w:bCs/>
          <w:color w:val="auto"/>
          <w:sz w:val="24"/>
          <w:szCs w:val="24"/>
          <w:u w:val="single"/>
        </w:rPr>
        <w:t>（二）考核费（暂扣）：按成交商的中标报价，采购人在成交商每月的</w:t>
      </w:r>
      <w:r>
        <w:rPr>
          <w:rFonts w:hint="eastAsia" w:ascii="宋体" w:hAnsi="宋体" w:cs="宋体"/>
          <w:color w:val="auto"/>
          <w:sz w:val="24"/>
          <w:szCs w:val="24"/>
        </w:rPr>
        <w:t>一卡通</w:t>
      </w:r>
      <w:r>
        <w:rPr>
          <w:rFonts w:hint="eastAsia" w:ascii="宋体" w:hAnsi="宋体" w:cs="宋体"/>
          <w:bCs/>
          <w:color w:val="auto"/>
          <w:sz w:val="24"/>
          <w:szCs w:val="24"/>
          <w:u w:val="single"/>
        </w:rPr>
        <w:t>营业款中扣除。</w:t>
      </w:r>
    </w:p>
    <w:p w14:paraId="4ECB882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（三）成交商应向采购人支付的物业费（含生活垃圾处置费）金额：成交商营业额</w:t>
      </w:r>
      <w:r>
        <w:rPr>
          <w:rFonts w:ascii="宋体" w:hAnsi="宋体" w:cs="宋体"/>
          <w:color w:val="auto"/>
          <w:sz w:val="24"/>
          <w:szCs w:val="24"/>
        </w:rPr>
        <w:t>*7‰。由采购人在成交商</w:t>
      </w:r>
      <w:r>
        <w:rPr>
          <w:rFonts w:hint="eastAsia" w:ascii="宋体" w:hAnsi="宋体" w:cs="宋体"/>
          <w:color w:val="auto"/>
          <w:sz w:val="24"/>
          <w:szCs w:val="24"/>
        </w:rPr>
        <w:t>一卡通营业款中直接扣除。</w:t>
      </w:r>
    </w:p>
    <w:p w14:paraId="2368094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（四）成交商应向采购人支付一卡通使用维护费用金额：成交商营业额</w:t>
      </w:r>
      <w:r>
        <w:rPr>
          <w:rFonts w:ascii="宋体" w:hAnsi="宋体" w:cs="宋体"/>
          <w:color w:val="auto"/>
          <w:sz w:val="24"/>
          <w:szCs w:val="24"/>
        </w:rPr>
        <w:t>*3‰。由采购人在成交商</w:t>
      </w:r>
      <w:r>
        <w:rPr>
          <w:rFonts w:hint="eastAsia" w:ascii="宋体" w:hAnsi="宋体" w:cs="宋体"/>
          <w:color w:val="auto"/>
          <w:sz w:val="24"/>
          <w:szCs w:val="24"/>
        </w:rPr>
        <w:t>一卡通营业款中直接扣除。</w:t>
      </w:r>
    </w:p>
    <w:p w14:paraId="648A76D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（五）成交商的报价和各种承诺作为与采购人的结算依据，据实结算。</w:t>
      </w:r>
    </w:p>
    <w:p w14:paraId="007C8E4E">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w:t>
      </w:r>
      <w:r>
        <w:rPr>
          <w:rFonts w:hint="eastAsia" w:ascii="宋体" w:hAnsi="宋体" w:cs="宋体"/>
          <w:bCs/>
          <w:color w:val="auto"/>
          <w:sz w:val="24"/>
          <w:szCs w:val="24"/>
        </w:rPr>
        <w:t>成交商的营收款直接进入采购人的财务收费系统，与采购人实施月结制度（应扣除成交商应向采购人支付的水电气费、物业费（含生活垃圾处置费）和</w:t>
      </w:r>
      <w:r>
        <w:rPr>
          <w:rFonts w:hint="eastAsia" w:ascii="宋体" w:hAnsi="宋体" w:cs="宋体"/>
          <w:color w:val="auto"/>
          <w:sz w:val="24"/>
          <w:szCs w:val="24"/>
        </w:rPr>
        <w:t>其他应支付的费用），成交商申请支付第一次每月营业款前，</w:t>
      </w:r>
      <w:r>
        <w:rPr>
          <w:rFonts w:hint="eastAsia" w:ascii="宋体" w:hAnsi="宋体" w:cs="宋体"/>
          <w:color w:val="auto"/>
          <w:sz w:val="24"/>
          <w:szCs w:val="24"/>
          <w:lang w:val="zh-CN"/>
        </w:rPr>
        <w:t>必须提供有效的施工图（含技术审查报告）、消防技术检测报告、营业所需的所有有效手续、装修结算审核报告、验收报告（含人员配备及资质情况、现场改造情况、视频监控情况等本采购文件要求达到的内容）</w:t>
      </w:r>
      <w:r>
        <w:rPr>
          <w:rFonts w:hint="eastAsia" w:ascii="宋体" w:hAnsi="宋体" w:cs="宋体"/>
          <w:color w:val="auto"/>
          <w:sz w:val="24"/>
          <w:szCs w:val="24"/>
        </w:rPr>
        <w:t>及采购人每月营业款支付前成交商应支付的员工工资、保险、供货商货款和其他合作商款项等支付证明</w:t>
      </w:r>
      <w:r>
        <w:rPr>
          <w:rFonts w:hint="eastAsia" w:ascii="宋体" w:hAnsi="宋体" w:cs="宋体"/>
          <w:color w:val="auto"/>
          <w:sz w:val="24"/>
          <w:szCs w:val="24"/>
          <w:lang w:val="zh-CN"/>
        </w:rPr>
        <w:t>，</w:t>
      </w:r>
      <w:r>
        <w:rPr>
          <w:rFonts w:hint="eastAsia" w:ascii="宋体" w:hAnsi="宋体" w:cs="宋体"/>
          <w:color w:val="auto"/>
          <w:sz w:val="24"/>
          <w:szCs w:val="24"/>
          <w:u w:val="single"/>
        </w:rPr>
        <w:t>包</w:t>
      </w:r>
      <w:r>
        <w:rPr>
          <w:rFonts w:ascii="宋体" w:hAnsi="宋体" w:cs="宋体"/>
          <w:color w:val="auto"/>
          <w:sz w:val="24"/>
          <w:szCs w:val="24"/>
          <w:u w:val="single"/>
        </w:rPr>
        <w:t>4的</w:t>
      </w:r>
      <w:r>
        <w:rPr>
          <w:rFonts w:hint="eastAsia" w:ascii="宋体" w:hAnsi="宋体" w:cs="宋体"/>
          <w:color w:val="auto"/>
          <w:sz w:val="24"/>
          <w:szCs w:val="24"/>
          <w:u w:val="single"/>
        </w:rPr>
        <w:t>成交商还须提供大厅（隔层）和屋顶现有的钢架结构的专业性安全监测报告，</w:t>
      </w:r>
      <w:r>
        <w:rPr>
          <w:rFonts w:hint="eastAsia" w:ascii="宋体" w:hAnsi="宋体" w:cs="宋体"/>
          <w:color w:val="auto"/>
          <w:sz w:val="24"/>
          <w:szCs w:val="24"/>
        </w:rPr>
        <w:t>最后一次的营业款支付前除应提交员工工资、保险，供货商货款和其他合作商款项等支付证明外，还应在采购人和成交商办理完书面移交手续后</w:t>
      </w:r>
      <w:r>
        <w:rPr>
          <w:rFonts w:ascii="宋体" w:hAnsi="宋体" w:cs="宋体"/>
          <w:color w:val="auto"/>
          <w:sz w:val="24"/>
          <w:szCs w:val="24"/>
        </w:rPr>
        <w:t>10日内支付。</w:t>
      </w:r>
    </w:p>
    <w:p w14:paraId="24562C23">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成交商当月的营业收入和其他相关费用结算。在下月初经成交商与学校财务等相关部门核对无误后，采购人按照其内部管理程序完成审批，学校财务部门按成交商营业收入扣除成交商应支付的费用的净额，由成交商开具票据后，采购人划转到成交商账户。如营业额不足以扣除取相应费用，成交商应及时自行到学校财务部门缴纳。</w:t>
      </w:r>
    </w:p>
    <w:p w14:paraId="271F0F9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采购人如发现成交商每月营业款支付前有应支未支的员工工资、保险、供货商货款和其他合作商款项的，发现一次，给予严重警告并补齐相关支付款项再发放营业款。情节严重者，采购人有权终止合同并扣发全部履约保证金。</w:t>
      </w:r>
    </w:p>
    <w:p w14:paraId="6614FFE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（九）成交商自行申办高校服务的免税事宜，营业款涉及税务等有关责任由成交商自行承担。</w:t>
      </w:r>
    </w:p>
    <w:p w14:paraId="64EA35A2">
      <w:pPr>
        <w:pStyle w:val="3"/>
        <w:spacing w:line="400" w:lineRule="exact"/>
        <w:rPr>
          <w:b w:val="0"/>
          <w:color w:val="auto"/>
          <w:sz w:val="28"/>
          <w:szCs w:val="28"/>
        </w:rPr>
      </w:pPr>
      <w:bookmarkStart w:id="104" w:name="_Toc344475123"/>
      <w:bookmarkStart w:id="105" w:name="_Toc30590"/>
      <w:bookmarkStart w:id="106" w:name="_Toc12201"/>
      <w:r>
        <w:rPr>
          <w:rStyle w:val="67"/>
          <w:color w:val="auto"/>
        </w:rPr>
        <w:t>*</w:t>
      </w:r>
      <w:r>
        <w:rPr>
          <w:rFonts w:hint="eastAsia"/>
          <w:b w:val="0"/>
          <w:color w:val="auto"/>
          <w:sz w:val="28"/>
          <w:szCs w:val="28"/>
        </w:rPr>
        <w:t>五、知识产权</w:t>
      </w:r>
      <w:bookmarkEnd w:id="104"/>
      <w:bookmarkEnd w:id="105"/>
      <w:bookmarkEnd w:id="106"/>
    </w:p>
    <w:p w14:paraId="356312D2">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采购人在中华人民共和国境内使用成交商提供的货物及服务时免受第三方提出的侵犯其专利权或其它知识产权的起诉。如果第三方提出侵权指控，成交商应承担由此而引起的一切法律责任和费用。</w:t>
      </w:r>
    </w:p>
    <w:p w14:paraId="460E0892">
      <w:pPr>
        <w:snapToGrid w:val="0"/>
        <w:spacing w:line="440" w:lineRule="exact"/>
        <w:ind w:firstLine="480"/>
        <w:rPr>
          <w:rFonts w:ascii="宋体" w:hAnsi="宋体" w:cs="宋体"/>
          <w:color w:val="auto"/>
          <w:sz w:val="24"/>
          <w:szCs w:val="24"/>
        </w:rPr>
      </w:pPr>
      <w:r>
        <w:rPr>
          <w:rFonts w:hint="eastAsia" w:ascii="宋体" w:hAnsi="宋体" w:cs="宋体"/>
          <w:color w:val="auto"/>
          <w:sz w:val="24"/>
          <w:szCs w:val="24"/>
        </w:rPr>
        <w:t>注：若项目涉及软件开发等服务类项目知识产权的，采购人享有永久免费使用权。</w:t>
      </w:r>
      <w:bookmarkStart w:id="107" w:name="_Toc29654183"/>
    </w:p>
    <w:p w14:paraId="2613E59F">
      <w:pPr>
        <w:pStyle w:val="3"/>
        <w:spacing w:line="400" w:lineRule="exact"/>
        <w:rPr>
          <w:b w:val="0"/>
          <w:color w:val="auto"/>
          <w:sz w:val="28"/>
          <w:szCs w:val="28"/>
        </w:rPr>
      </w:pPr>
      <w:bookmarkStart w:id="108" w:name="_Toc7537"/>
      <w:bookmarkStart w:id="109" w:name="_Toc27099"/>
      <w:r>
        <w:rPr>
          <w:rStyle w:val="67"/>
          <w:color w:val="auto"/>
        </w:rPr>
        <w:t>*</w:t>
      </w:r>
      <w:r>
        <w:rPr>
          <w:rFonts w:hint="eastAsia"/>
          <w:b w:val="0"/>
          <w:color w:val="auto"/>
          <w:sz w:val="28"/>
          <w:szCs w:val="28"/>
        </w:rPr>
        <w:t>六、退出机制</w:t>
      </w:r>
      <w:bookmarkEnd w:id="107"/>
      <w:bookmarkEnd w:id="108"/>
      <w:bookmarkEnd w:id="109"/>
      <w:r>
        <w:rPr>
          <w:b w:val="0"/>
          <w:color w:val="auto"/>
          <w:sz w:val="28"/>
          <w:szCs w:val="28"/>
        </w:rPr>
        <w:t xml:space="preserve"> </w:t>
      </w:r>
    </w:p>
    <w:p w14:paraId="3ADF962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成交商必须严格履约，非法律规定或者自然灾害等不可抗力因素不得无故停止经营或退场，否则采购人有权不退还履约保证金。成交商确实有特殊原因需要提前解约，必须在学期结束的前一个月告知采购人，</w:t>
      </w:r>
      <w:r>
        <w:rPr>
          <w:rFonts w:ascii="宋体" w:hAnsi="宋体" w:cs="宋体"/>
          <w:color w:val="auto"/>
          <w:sz w:val="24"/>
          <w:szCs w:val="24"/>
        </w:rPr>
        <w:t>，经采购人批准后方可终止协议书。</w:t>
      </w:r>
    </w:p>
    <w:p w14:paraId="5E0E488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（二）成交商退出时，须在</w:t>
      </w:r>
      <w:r>
        <w:rPr>
          <w:rFonts w:ascii="宋体" w:hAnsi="宋体" w:cs="宋体"/>
          <w:color w:val="auto"/>
          <w:sz w:val="24"/>
          <w:szCs w:val="24"/>
        </w:rPr>
        <w:t>3天内无条件完成撤场并完成所有移交工作，形成书面移交手续，</w:t>
      </w:r>
      <w:r>
        <w:rPr>
          <w:rFonts w:hint="eastAsia" w:ascii="宋体" w:hAnsi="宋体" w:cs="宋体"/>
          <w:color w:val="auto"/>
          <w:sz w:val="24"/>
          <w:szCs w:val="24"/>
        </w:rPr>
        <w:t>由成交商投资的装修及设备设施不得拆除和损坏，无偿交由采购人处置且采购人不作任何补偿。否则，采购人有权不退还全部履约保证金，并列入学校黑名单，并上报相关部分纳入失信名单，所有责任由成交商自负。</w:t>
      </w:r>
    </w:p>
    <w:p w14:paraId="146D39F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（三）若成交商借故拖延移交时间，采购人有权不退还全部履约保证金；同时，超过协议期满</w:t>
      </w:r>
      <w:r>
        <w:rPr>
          <w:rFonts w:ascii="宋体" w:hAnsi="宋体" w:cs="宋体"/>
          <w:color w:val="auto"/>
          <w:sz w:val="24"/>
          <w:szCs w:val="24"/>
        </w:rPr>
        <w:t>3天后采购人认为</w:t>
      </w:r>
      <w:r>
        <w:rPr>
          <w:rFonts w:hint="eastAsia" w:ascii="宋体" w:hAnsi="宋体" w:cs="宋体"/>
          <w:color w:val="auto"/>
          <w:sz w:val="24"/>
          <w:szCs w:val="24"/>
        </w:rPr>
        <w:t>成交商已经进行了撤场处理，并视成交商经营场地里的所有物品为退还或转交给采购人的设施设备，或属于成交商废弃物，采购人有权以任何方式处置所有物品，责任由成交商自负，相关清理、处理费用由成交商负责，并从其最后一个月营业款中扣除。</w:t>
      </w:r>
    </w:p>
    <w:p w14:paraId="3201978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（四）对于成交商无偿使用的属于采购人的资产设备，成交商在撤场时未归还采购人或非正常</w:t>
      </w:r>
      <w:r>
        <w:rPr>
          <w:rFonts w:hint="eastAsia" w:ascii="宋体" w:hAnsi="宋体" w:cs="宋体"/>
          <w:color w:val="auto"/>
          <w:kern w:val="0"/>
          <w:sz w:val="24"/>
          <w:szCs w:val="24"/>
        </w:rPr>
        <w:t>损失的</w:t>
      </w:r>
      <w:r>
        <w:rPr>
          <w:rFonts w:hint="eastAsia" w:ascii="宋体" w:hAnsi="宋体" w:cs="宋体"/>
          <w:color w:val="auto"/>
          <w:sz w:val="24"/>
          <w:szCs w:val="24"/>
        </w:rPr>
        <w:t>，采购人有权从履约保证金或营业款中扣抵，具体设备设施清单详见双方确定后的移交清单。</w:t>
      </w:r>
    </w:p>
    <w:p w14:paraId="335AC6B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（五）协议期内如成交商发生严重生产安全事故，或发生食品安全事故，或发生</w:t>
      </w:r>
      <w:r>
        <w:rPr>
          <w:rFonts w:hint="eastAsia" w:ascii="宋体" w:hAnsi="宋体" w:cs="宋体"/>
          <w:color w:val="auto"/>
          <w:kern w:val="0"/>
          <w:sz w:val="24"/>
          <w:szCs w:val="24"/>
        </w:rPr>
        <w:t>较大</w:t>
      </w:r>
      <w:r>
        <w:rPr>
          <w:rFonts w:hint="eastAsia" w:ascii="宋体" w:hAnsi="宋体" w:cs="宋体"/>
          <w:color w:val="auto"/>
          <w:sz w:val="24"/>
          <w:szCs w:val="24"/>
        </w:rPr>
        <w:t>消防安全事故，或和就餐者发生冲突造成严重后果，或楼层间经营关系紧张不能主动改善，或因伙食工作引起师生或成交商内部员工（或供应商以及其他合作方）群体不满意事件等（包括“违约责任”规定的终止协议书条款），</w:t>
      </w:r>
      <w:bookmarkStart w:id="110" w:name="OLE_LINK15"/>
      <w:bookmarkStart w:id="111" w:name="OLE_LINK16"/>
      <w:r>
        <w:rPr>
          <w:rFonts w:hint="eastAsia" w:ascii="宋体" w:hAnsi="宋体" w:cs="宋体"/>
          <w:color w:val="auto"/>
          <w:sz w:val="24"/>
          <w:szCs w:val="24"/>
        </w:rPr>
        <w:t>学校有权立即终止本协议，由此产生的一切经济和法律责任一律由成交商承担，且采购人有权不退还履约保证金</w:t>
      </w:r>
      <w:bookmarkEnd w:id="110"/>
      <w:bookmarkEnd w:id="111"/>
      <w:r>
        <w:rPr>
          <w:rFonts w:hint="eastAsia" w:ascii="宋体" w:hAnsi="宋体" w:cs="宋体"/>
          <w:color w:val="auto"/>
          <w:sz w:val="24"/>
          <w:szCs w:val="24"/>
        </w:rPr>
        <w:t>。</w:t>
      </w:r>
    </w:p>
    <w:p w14:paraId="05F5FA3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（六）成交商员工擅自通过线上、线下等方式发布与采购人有关的负面信息给采购人带来重大经济或名誉损失的，</w:t>
      </w:r>
      <w:bookmarkStart w:id="112" w:name="OLE_LINK19"/>
      <w:bookmarkStart w:id="113" w:name="OLE_LINK22"/>
      <w:r>
        <w:rPr>
          <w:rFonts w:hint="eastAsia" w:ascii="宋体" w:hAnsi="宋体" w:cs="宋体"/>
          <w:color w:val="auto"/>
          <w:sz w:val="24"/>
          <w:szCs w:val="24"/>
        </w:rPr>
        <w:t>采购人有权立即终止本协议，由此产生的一切经济和法律责任一律由成交商承担，且采购人有权不退还履约保证金。</w:t>
      </w:r>
    </w:p>
    <w:p w14:paraId="6278E71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成交商在经营期内，如被采购人、行政主管部门、行业主管部门提出安全整改要求拒不整改或多次整改不达标的，采购人有权终止本协议，由此产生的一切经济和法律责任一律由成交商承担，且采购人有权不退还履约保证金。</w:t>
      </w:r>
    </w:p>
    <w:p w14:paraId="472968F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（八）采购人因机构调整，学校规划布局改变带来的校区人数发生变化等问题，由此带来的经营风险由成交商自行承担。</w:t>
      </w:r>
    </w:p>
    <w:bookmarkEnd w:id="112"/>
    <w:bookmarkEnd w:id="113"/>
    <w:p w14:paraId="766A4F21">
      <w:pPr>
        <w:pStyle w:val="22"/>
        <w:ind w:firstLine="480" w:firstLineChars="200"/>
        <w:rPr>
          <w:rFonts w:ascii="宋体" w:hAnsi="宋体" w:eastAsia="宋体" w:cs="宋体"/>
          <w:color w:val="auto"/>
          <w:sz w:val="24"/>
          <w:szCs w:val="24"/>
        </w:rPr>
      </w:pPr>
      <w:r>
        <w:rPr>
          <w:rFonts w:ascii="宋体" w:hAnsi="宋体" w:eastAsia="宋体" w:cs="宋体"/>
          <w:color w:val="auto"/>
          <w:sz w:val="24"/>
          <w:szCs w:val="24"/>
        </w:rPr>
        <w:t xml:space="preserve">(九) </w:t>
      </w:r>
      <w:r>
        <w:rPr>
          <w:rFonts w:hint="eastAsia" w:ascii="宋体" w:hAnsi="宋体" w:eastAsia="宋体" w:cs="宋体"/>
          <w:color w:val="auto"/>
          <w:sz w:val="24"/>
          <w:szCs w:val="24"/>
        </w:rPr>
        <w:t>法律、法规规定的其它解除合同的情形。</w:t>
      </w:r>
    </w:p>
    <w:p w14:paraId="04660EDC">
      <w:pPr>
        <w:pStyle w:val="3"/>
        <w:spacing w:line="400" w:lineRule="exact"/>
        <w:rPr>
          <w:b w:val="0"/>
          <w:color w:val="auto"/>
          <w:sz w:val="28"/>
          <w:szCs w:val="28"/>
        </w:rPr>
      </w:pPr>
      <w:bookmarkStart w:id="114" w:name="_Toc21810"/>
      <w:bookmarkStart w:id="115" w:name="_Toc10547"/>
      <w:bookmarkStart w:id="116" w:name="_Toc17755"/>
      <w:r>
        <w:rPr>
          <w:rStyle w:val="67"/>
          <w:color w:val="auto"/>
        </w:rPr>
        <w:t>*</w:t>
      </w:r>
      <w:r>
        <w:rPr>
          <w:rFonts w:hint="eastAsia"/>
          <w:b w:val="0"/>
          <w:color w:val="auto"/>
          <w:sz w:val="28"/>
          <w:szCs w:val="28"/>
        </w:rPr>
        <w:t>七、违约责任</w:t>
      </w:r>
      <w:bookmarkEnd w:id="114"/>
      <w:bookmarkEnd w:id="115"/>
      <w:bookmarkEnd w:id="116"/>
    </w:p>
    <w:p w14:paraId="1A390A17">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（一）成交商提供的服务质量、服务标准不符合采购文件及合同要求的、或履约过程中有违约行为的，采购人保留追究由此给采购人造成损失责任的权力。</w:t>
      </w:r>
    </w:p>
    <w:p w14:paraId="5F60EA92">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（二）本项目一律为一卡通刷卡消费的方式结算，新增</w:t>
      </w:r>
      <w:r>
        <w:rPr>
          <w:rFonts w:hint="eastAsia" w:ascii="宋体" w:hAnsi="宋体" w:cs="宋体"/>
          <w:bCs/>
          <w:color w:val="auto"/>
          <w:sz w:val="24"/>
          <w:szCs w:val="24"/>
        </w:rPr>
        <w:t>校园一卡通设备购置和安装费由成交供应商承担，</w:t>
      </w:r>
      <w:r>
        <w:rPr>
          <w:rFonts w:hint="eastAsia" w:ascii="宋体" w:hAnsi="宋体" w:cs="宋体"/>
          <w:color w:val="auto"/>
          <w:sz w:val="24"/>
          <w:szCs w:val="24"/>
        </w:rPr>
        <w:t>不得以任何非一卡通方式进行交易，否则经查实后中标方向采购人每次支付违约金</w:t>
      </w:r>
      <w:r>
        <w:rPr>
          <w:rFonts w:ascii="宋体" w:hAnsi="宋体" w:cs="宋体"/>
          <w:color w:val="auto"/>
          <w:sz w:val="24"/>
          <w:szCs w:val="24"/>
        </w:rPr>
        <w:t>20000元，若当月发现三次以上（含本数）违规交易的情况，按当月营业额的20%支付违约金，一年累计发现5次及以上，采购人有权解除合同。</w:t>
      </w:r>
    </w:p>
    <w:p w14:paraId="688997C9">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（三）除不可抗力外或采购人书面同意外，成交商在经营过程中不得以任何理由擅自停止供餐，否则每次按每档口支付违约金</w:t>
      </w:r>
      <w:r>
        <w:rPr>
          <w:rFonts w:ascii="宋体" w:hAnsi="宋体" w:cs="宋体"/>
          <w:color w:val="auto"/>
          <w:sz w:val="24"/>
          <w:szCs w:val="24"/>
        </w:rPr>
        <w:t>20000</w:t>
      </w:r>
      <w:r>
        <w:rPr>
          <w:rFonts w:hint="eastAsia" w:ascii="宋体" w:hAnsi="宋体" w:cs="宋体"/>
          <w:color w:val="auto"/>
          <w:sz w:val="24"/>
          <w:szCs w:val="24"/>
        </w:rPr>
        <w:t>元。</w:t>
      </w:r>
    </w:p>
    <w:p w14:paraId="598BA300">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（四）若成交商擅自变更食品售价，则按每个品种支付违约金</w:t>
      </w:r>
      <w:r>
        <w:rPr>
          <w:rFonts w:ascii="宋体" w:hAnsi="宋体" w:cs="宋体"/>
          <w:color w:val="auto"/>
          <w:sz w:val="24"/>
          <w:szCs w:val="24"/>
        </w:rPr>
        <w:t>5000元/次。</w:t>
      </w:r>
    </w:p>
    <w:p w14:paraId="39CC7892">
      <w:pPr>
        <w:spacing w:line="400" w:lineRule="exact"/>
        <w:jc w:val="left"/>
        <w:rPr>
          <w:rFonts w:ascii="宋体" w:hAnsi="宋体" w:cs="宋体"/>
          <w:color w:val="auto"/>
          <w:sz w:val="24"/>
          <w:szCs w:val="24"/>
        </w:rPr>
      </w:pPr>
      <w:r>
        <w:rPr>
          <w:rFonts w:ascii="宋体" w:hAnsi="宋体" w:cs="宋体"/>
          <w:color w:val="auto"/>
          <w:sz w:val="24"/>
          <w:szCs w:val="24"/>
        </w:rPr>
        <w:t>（五）若</w:t>
      </w:r>
      <w:r>
        <w:rPr>
          <w:rFonts w:hint="eastAsia" w:ascii="宋体" w:hAnsi="宋体" w:cs="宋体"/>
          <w:color w:val="auto"/>
          <w:sz w:val="24"/>
          <w:szCs w:val="24"/>
        </w:rPr>
        <w:t>成交商采购转基因食材或外国进口类食材，则按每个食材品种支付违约金</w:t>
      </w:r>
      <w:r>
        <w:rPr>
          <w:rFonts w:ascii="宋体" w:hAnsi="宋体" w:cs="宋体"/>
          <w:color w:val="auto"/>
          <w:sz w:val="24"/>
          <w:szCs w:val="24"/>
        </w:rPr>
        <w:t>10000元/次。</w:t>
      </w:r>
    </w:p>
    <w:p w14:paraId="21078A0F">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（六）若发生师生有效投诉，视其情况支付违约金</w:t>
      </w:r>
      <w:r>
        <w:rPr>
          <w:rFonts w:ascii="宋体" w:hAnsi="宋体" w:cs="宋体"/>
          <w:color w:val="auto"/>
          <w:sz w:val="24"/>
          <w:szCs w:val="24"/>
        </w:rPr>
        <w:t>500元及以上/次。</w:t>
      </w:r>
    </w:p>
    <w:p w14:paraId="00516F5D">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（七）若发现各类食材存在食品安全隐患的，视其情况支付违约金</w:t>
      </w:r>
      <w:r>
        <w:rPr>
          <w:rFonts w:ascii="宋体" w:hAnsi="宋体" w:cs="宋体"/>
          <w:color w:val="auto"/>
          <w:sz w:val="24"/>
          <w:szCs w:val="24"/>
        </w:rPr>
        <w:t>5000元-10000元/</w:t>
      </w:r>
      <w:r>
        <w:rPr>
          <w:rFonts w:hint="eastAsia" w:ascii="宋体" w:hAnsi="宋体" w:cs="宋体"/>
          <w:color w:val="auto"/>
          <w:sz w:val="24"/>
          <w:szCs w:val="24"/>
        </w:rPr>
        <w:t>次。</w:t>
      </w:r>
    </w:p>
    <w:p w14:paraId="7932E2E9">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（八）若成交商不服从采购人管理，不及时按照采购人的要求及时进行整改的，每次支付违约金</w:t>
      </w:r>
      <w:r>
        <w:rPr>
          <w:rFonts w:ascii="宋体" w:hAnsi="宋体" w:cs="宋体"/>
          <w:color w:val="auto"/>
          <w:sz w:val="24"/>
          <w:szCs w:val="24"/>
        </w:rPr>
        <w:t>10000元至50000元。</w:t>
      </w:r>
    </w:p>
    <w:p w14:paraId="3FBA57BD">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（九）成交商在接受市场监督管理局等有关职能部门以及上级机关等各级各类检查时，给采购人造成不良影响的，视其情节每发生一次支付违约金</w:t>
      </w:r>
      <w:r>
        <w:rPr>
          <w:rFonts w:ascii="宋体" w:hAnsi="宋体" w:cs="宋体"/>
          <w:color w:val="auto"/>
          <w:sz w:val="24"/>
          <w:szCs w:val="24"/>
        </w:rPr>
        <w:t>2000元及</w:t>
      </w:r>
      <w:r>
        <w:rPr>
          <w:rFonts w:hint="eastAsia" w:ascii="宋体" w:hAnsi="宋体" w:cs="宋体"/>
          <w:color w:val="auto"/>
          <w:sz w:val="24"/>
          <w:szCs w:val="24"/>
        </w:rPr>
        <w:t>以上；成交商提供霉烂变质食物（包括库存中有过期或霉变货物）等，每发生一次支付违约金10000元。</w:t>
      </w:r>
    </w:p>
    <w:p w14:paraId="1B1C585F">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十）成交商在经营过程中发生投毒或食物中毒等食品安全事故、消防安全事故时，由成交商承担一切经济责任（包括采购人及采购人相关管理人员受到的经济处罚）和法律责任，情节严重者，采购人除不退还成交商履约保证金外，还应承担</w:t>
      </w:r>
      <w:r>
        <w:rPr>
          <w:rFonts w:ascii="宋体" w:hAnsi="宋体" w:cs="宋体"/>
          <w:color w:val="auto"/>
          <w:sz w:val="24"/>
          <w:szCs w:val="24"/>
        </w:rPr>
        <w:t>50000元/次的合同违约金，且采购人有权解除合同。</w:t>
      </w:r>
    </w:p>
    <w:p w14:paraId="5FF91838">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十一）合同期满或经营期内解除合同时，成交商逾期未撤离，由此造成的一切后果与损失由成交商承担。成交商在合同期内可以对食堂进行再次装修，其装修费用均由成交商自行承担，同时，成交商再次装修方案必须经采购人书面书面同意后方可进行，否则每次支付违约金</w:t>
      </w:r>
      <w:r>
        <w:rPr>
          <w:rFonts w:ascii="宋体" w:hAnsi="宋体" w:cs="宋体"/>
          <w:color w:val="auto"/>
          <w:sz w:val="24"/>
          <w:szCs w:val="24"/>
        </w:rPr>
        <w:t>50000元。</w:t>
      </w:r>
    </w:p>
    <w:p w14:paraId="3ACDB79D">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（十二）成交商因饭菜质量、价格和卫生等问题造成学生集体上</w:t>
      </w:r>
      <w:r>
        <w:rPr>
          <w:rFonts w:hint="eastAsia" w:ascii="宋体" w:hAnsi="宋体" w:cs="宋体"/>
          <w:bCs/>
          <w:color w:val="auto"/>
          <w:sz w:val="24"/>
          <w:szCs w:val="24"/>
        </w:rPr>
        <w:t>访或</w:t>
      </w:r>
      <w:r>
        <w:rPr>
          <w:rFonts w:ascii="宋体" w:hAnsi="宋体" w:cs="宋体"/>
          <w:bCs/>
          <w:color w:val="auto"/>
          <w:sz w:val="24"/>
          <w:szCs w:val="24"/>
        </w:rPr>
        <w:t>10人及其以上</w:t>
      </w:r>
      <w:r>
        <w:rPr>
          <w:rFonts w:hint="eastAsia" w:ascii="宋体" w:hAnsi="宋体" w:cs="宋体"/>
          <w:color w:val="auto"/>
          <w:sz w:val="24"/>
          <w:szCs w:val="24"/>
        </w:rPr>
        <w:t>集体签名反映问题的，经检查、检测情况属实，则每次向采购人支付违约金</w:t>
      </w:r>
      <w:r>
        <w:rPr>
          <w:rFonts w:ascii="宋体" w:hAnsi="宋体" w:cs="宋体"/>
          <w:color w:val="auto"/>
          <w:sz w:val="24"/>
          <w:szCs w:val="24"/>
        </w:rPr>
        <w:t>50000元，情节严重者采购人有权不退还全部履约保证金直至解除委托经营合同。</w:t>
      </w:r>
    </w:p>
    <w:p w14:paraId="602CB932">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（十三）成交商在合同期内如果没有向采购人进行书面申请并获得书面同意，而擅自关闭食堂的全部或部分经营窗口的，按每档口每关闭一餐支付违约金</w:t>
      </w:r>
      <w:r>
        <w:rPr>
          <w:rFonts w:ascii="宋体" w:hAnsi="宋体" w:cs="宋体"/>
          <w:color w:val="auto"/>
          <w:sz w:val="24"/>
          <w:szCs w:val="24"/>
        </w:rPr>
        <w:t>20000</w:t>
      </w:r>
      <w:r>
        <w:rPr>
          <w:rFonts w:hint="eastAsia" w:ascii="宋体" w:hAnsi="宋体" w:cs="宋体"/>
          <w:color w:val="auto"/>
          <w:sz w:val="24"/>
          <w:szCs w:val="24"/>
        </w:rPr>
        <w:t>元。情节严重者采购人有权解除合同，并且不承担任何违约责任。</w:t>
      </w:r>
    </w:p>
    <w:p w14:paraId="1AC7DD5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（十四）成交商采购、销售、库房中存放“三无”食品或商品、不合格品及过期食品或商品、销售腐烂、变质食品及水果，如经查实，每发现一次成交商向采购人支付违约金</w:t>
      </w:r>
      <w:r>
        <w:rPr>
          <w:rFonts w:ascii="宋体" w:hAnsi="宋体" w:cs="宋体"/>
          <w:color w:val="auto"/>
          <w:sz w:val="24"/>
          <w:szCs w:val="24"/>
        </w:rPr>
        <w:t>10000元。情节严重者，采购人有权扣除全部履约保证金并终止合同。</w:t>
      </w:r>
    </w:p>
    <w:p w14:paraId="665ED94A">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（十五）成交商必须做好内部人员管理，包括安全和稳定的管理。</w:t>
      </w:r>
      <w:r>
        <w:rPr>
          <w:rFonts w:hint="eastAsia" w:ascii="宋体" w:hAnsi="宋体"/>
          <w:color w:val="auto"/>
          <w:sz w:val="24"/>
          <w:szCs w:val="24"/>
        </w:rPr>
        <w:t>若因成交商资金链接断裂、内部员工工伤、工资报酬、供货商、合作商、贷款等纠纷情况出现上访或投诉事件，一经查实，成交商每次向采购人支付违约金</w:t>
      </w:r>
      <w:r>
        <w:rPr>
          <w:rFonts w:ascii="宋体" w:hAnsi="宋体"/>
          <w:color w:val="auto"/>
          <w:sz w:val="24"/>
          <w:szCs w:val="24"/>
          <w:u w:val="single"/>
        </w:rPr>
        <w:t>500000元，</w:t>
      </w:r>
      <w:r>
        <w:rPr>
          <w:rFonts w:hint="eastAsia" w:ascii="宋体" w:hAnsi="宋体"/>
          <w:color w:val="auto"/>
          <w:sz w:val="24"/>
          <w:szCs w:val="24"/>
        </w:rPr>
        <w:t>造成重大不良影响的，采购人有权单方面解除合同，并不退还全部履约保证金。</w:t>
      </w:r>
    </w:p>
    <w:p w14:paraId="583A5AD6">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十六）成交商在合同期内提出提前解除合同的，放弃经营资格的，必须在学期结束的前一个月告知采购人，征得采购人书面同意后方可解除本合同，所有装修及设备设施必须完好无损且无偿归采购人处置，否则成交商必须承担违约责任,采购人不退还履约保证金。</w:t>
      </w:r>
    </w:p>
    <w:p w14:paraId="14684737">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（十七）成交商在合同期内，存在违法行为或者较为严重的违规等行为，不再适宜继续经营的，采购人有权单方提前解除本合同，不用承担任何责任。</w:t>
      </w:r>
    </w:p>
    <w:p w14:paraId="36A3294D">
      <w:pPr>
        <w:snapToGrid w:val="0"/>
        <w:spacing w:line="400" w:lineRule="exact"/>
        <w:ind w:firstLine="540"/>
        <w:rPr>
          <w:rFonts w:ascii="宋体" w:hAnsi="宋体" w:cs="宋体"/>
          <w:color w:val="auto"/>
          <w:sz w:val="24"/>
          <w:szCs w:val="24"/>
          <w:u w:val="single"/>
        </w:rPr>
      </w:pPr>
      <w:r>
        <w:rPr>
          <w:rFonts w:hint="eastAsia" w:ascii="宋体" w:hAnsi="宋体" w:cs="宋体"/>
          <w:color w:val="auto"/>
          <w:sz w:val="24"/>
          <w:szCs w:val="24"/>
        </w:rPr>
        <w:t>（十八）</w:t>
      </w:r>
      <w:r>
        <w:rPr>
          <w:rFonts w:hint="eastAsia" w:ascii="宋体" w:hAnsi="宋体" w:cs="宋体"/>
          <w:color w:val="auto"/>
          <w:sz w:val="24"/>
          <w:szCs w:val="24"/>
          <w:u w:val="single"/>
        </w:rPr>
        <w:t>成交商在投标时所有的承诺必须按照采购人的要求及时兑现，未能及时兑现的视为违约，采购人将对成交商扣罚违约金</w:t>
      </w:r>
      <w:r>
        <w:rPr>
          <w:rFonts w:ascii="宋体" w:hAnsi="宋体" w:cs="宋体"/>
          <w:color w:val="auto"/>
          <w:sz w:val="24"/>
          <w:szCs w:val="24"/>
          <w:u w:val="single"/>
        </w:rPr>
        <w:t>10万-50万元每项。情节严重者，采购人有权扣除全部履约保证金并终止合同。</w:t>
      </w:r>
    </w:p>
    <w:p w14:paraId="3F271026">
      <w:pPr>
        <w:pStyle w:val="3"/>
        <w:spacing w:line="400" w:lineRule="exact"/>
        <w:rPr>
          <w:b w:val="0"/>
          <w:color w:val="auto"/>
          <w:sz w:val="28"/>
          <w:szCs w:val="28"/>
        </w:rPr>
      </w:pPr>
      <w:bookmarkStart w:id="117" w:name="_Toc29951"/>
      <w:bookmarkStart w:id="118" w:name="_Toc30032"/>
      <w:bookmarkStart w:id="119" w:name="_Toc15948"/>
      <w:r>
        <w:rPr>
          <w:rFonts w:hint="eastAsia"/>
          <w:b w:val="0"/>
          <w:color w:val="auto"/>
          <w:sz w:val="28"/>
          <w:szCs w:val="28"/>
        </w:rPr>
        <w:t>八、保密</w:t>
      </w:r>
      <w:bookmarkEnd w:id="117"/>
      <w:bookmarkEnd w:id="118"/>
      <w:bookmarkEnd w:id="119"/>
    </w:p>
    <w:p w14:paraId="59AEED4D">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成交商必须对采购人所涉及的用户工作秘密、业务需求、协议等内容和相关事务保密。并严格遵守保密法规和采购人工作要求，成交商若违反以上条款，采购人有权单方面解除合同并不予退还履约保证金，同时保留追究由此给采购人造成损失责任的权利。</w:t>
      </w:r>
    </w:p>
    <w:p w14:paraId="6E112574">
      <w:pPr>
        <w:pStyle w:val="3"/>
        <w:spacing w:line="400" w:lineRule="exact"/>
        <w:rPr>
          <w:b w:val="0"/>
          <w:color w:val="auto"/>
          <w:sz w:val="28"/>
          <w:szCs w:val="28"/>
        </w:rPr>
      </w:pPr>
      <w:bookmarkStart w:id="120" w:name="_Toc344475124"/>
      <w:bookmarkStart w:id="121" w:name="_Toc17323"/>
      <w:bookmarkStart w:id="122" w:name="_Toc593"/>
      <w:r>
        <w:rPr>
          <w:rFonts w:hint="eastAsia"/>
          <w:b w:val="0"/>
          <w:color w:val="auto"/>
          <w:sz w:val="28"/>
          <w:szCs w:val="28"/>
        </w:rPr>
        <w:t>九、</w:t>
      </w:r>
      <w:bookmarkEnd w:id="120"/>
      <w:bookmarkStart w:id="123" w:name="_Toc344475125"/>
      <w:r>
        <w:rPr>
          <w:rFonts w:hint="eastAsia"/>
          <w:b w:val="0"/>
          <w:color w:val="auto"/>
          <w:sz w:val="28"/>
          <w:szCs w:val="28"/>
        </w:rPr>
        <w:t>风险提示</w:t>
      </w:r>
      <w:bookmarkEnd w:id="121"/>
      <w:bookmarkEnd w:id="122"/>
    </w:p>
    <w:bookmarkEnd w:id="123"/>
    <w:p w14:paraId="139C8ABF">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（一）成交商在经营中无论盈亏不得减少合同约定的应缴纳的费用，并不得降低合同约定的服务品质。</w:t>
      </w:r>
    </w:p>
    <w:p w14:paraId="016A8E6A">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（二）本项目因教育主管部门或学校建设、校区发展需要等政策因素规定须提前解除合同或终止部分食堂委托经营的，采购人提前</w:t>
      </w:r>
      <w:r>
        <w:rPr>
          <w:rFonts w:ascii="宋体" w:hAnsi="宋体" w:cs="宋体"/>
          <w:color w:val="auto"/>
          <w:sz w:val="24"/>
          <w:szCs w:val="24"/>
        </w:rPr>
        <w:t>30天通知成交商，</w:t>
      </w:r>
      <w:r>
        <w:rPr>
          <w:rFonts w:hint="eastAsia" w:ascii="宋体" w:hAnsi="宋体" w:cs="宋体"/>
          <w:color w:val="auto"/>
          <w:sz w:val="24"/>
          <w:szCs w:val="24"/>
        </w:rPr>
        <w:t>由成交商独立承担一切经济和法律责任，学校不承担任何责任。</w:t>
      </w:r>
    </w:p>
    <w:p w14:paraId="15B01B42">
      <w:pPr>
        <w:snapToGrid w:val="0"/>
        <w:spacing w:line="400" w:lineRule="exact"/>
        <w:ind w:firstLine="540"/>
        <w:rPr>
          <w:rFonts w:ascii="宋体" w:hAnsi="宋体" w:cs="宋体"/>
          <w:color w:val="auto"/>
          <w:sz w:val="24"/>
          <w:szCs w:val="24"/>
        </w:rPr>
      </w:pPr>
      <w:r>
        <w:rPr>
          <w:rFonts w:hint="eastAsia" w:ascii="宋体" w:hAnsi="宋体" w:cs="宋体"/>
          <w:color w:val="auto"/>
          <w:sz w:val="24"/>
          <w:szCs w:val="24"/>
        </w:rPr>
        <w:t>（三）本项目各食堂所在区域师生人数可能会因学校布局调整、招生计划调整等因素有所变化，供应商应自行承担相应风险。</w:t>
      </w:r>
    </w:p>
    <w:p w14:paraId="4805C73D">
      <w:pPr>
        <w:pStyle w:val="3"/>
        <w:spacing w:line="400" w:lineRule="exact"/>
        <w:rPr>
          <w:b w:val="0"/>
          <w:color w:val="auto"/>
          <w:sz w:val="28"/>
          <w:szCs w:val="28"/>
        </w:rPr>
      </w:pPr>
      <w:bookmarkStart w:id="124" w:name="_Toc26374"/>
      <w:bookmarkStart w:id="125" w:name="_Toc10665"/>
      <w:r>
        <w:rPr>
          <w:b w:val="0"/>
          <w:color w:val="auto"/>
          <w:sz w:val="28"/>
          <w:szCs w:val="28"/>
        </w:rPr>
        <w:t>*</w:t>
      </w:r>
      <w:r>
        <w:rPr>
          <w:rFonts w:hint="eastAsia"/>
          <w:b w:val="0"/>
          <w:color w:val="auto"/>
          <w:sz w:val="28"/>
          <w:szCs w:val="28"/>
        </w:rPr>
        <w:t>十、其他</w:t>
      </w:r>
      <w:bookmarkEnd w:id="124"/>
      <w:bookmarkEnd w:id="125"/>
    </w:p>
    <w:p w14:paraId="5DC37D1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（一）项目过程中的一切人身、财产安全问题全部由成交商负责。</w:t>
      </w:r>
    </w:p>
    <w:p w14:paraId="3C97826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（二）供应商必须在投标文件中对以上条款和服务承诺明确列出，承诺内容必须达到本篇及招标文件其他条款的要求。</w:t>
      </w:r>
    </w:p>
    <w:p w14:paraId="668AF11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（三）其他未尽事宜在本文件第六篇采购合同中详细约定。</w:t>
      </w:r>
    </w:p>
    <w:p w14:paraId="5041D31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（四）食堂原有设备设施见移交清单。</w:t>
      </w:r>
    </w:p>
    <w:p w14:paraId="4747B6A2">
      <w:pPr>
        <w:snapToGrid w:val="0"/>
        <w:spacing w:line="400" w:lineRule="exact"/>
        <w:ind w:firstLine="480" w:firstLineChars="200"/>
        <w:rPr>
          <w:rFonts w:ascii="宋体" w:hAnsi="宋体" w:cs="宋体"/>
          <w:color w:val="auto"/>
          <w:sz w:val="24"/>
          <w:szCs w:val="24"/>
        </w:rPr>
      </w:pPr>
      <w:r>
        <w:rPr>
          <w:rFonts w:hint="eastAsia" w:ascii="宋体" w:hAnsi="宋体" w:eastAsia="宋体" w:cs="宋体"/>
          <w:color w:val="auto"/>
          <w:sz w:val="24"/>
          <w:szCs w:val="24"/>
        </w:rPr>
        <w:t>（五）同一供应商投标2个或3个包（最多不超过3个）的，须提供书面承诺函（承诺如果不止一个包成为排名第一的中标人，我方将按照包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的先后顺序保留一个包），且各包书面承诺函必须一致。供应商投标1个包的无须提供此书面承诺函。</w:t>
      </w:r>
      <w:r>
        <w:rPr>
          <w:rFonts w:ascii="宋体" w:hAnsi="宋体" w:cs="宋体"/>
          <w:color w:val="auto"/>
          <w:sz w:val="24"/>
          <w:szCs w:val="24"/>
        </w:rPr>
        <w:br w:type="page"/>
      </w:r>
    </w:p>
    <w:p w14:paraId="1ED26011">
      <w:pPr>
        <w:snapToGrid w:val="0"/>
        <w:spacing w:line="400" w:lineRule="exact"/>
        <w:rPr>
          <w:rFonts w:ascii="宋体" w:hAnsi="宋体" w:cs="宋体"/>
          <w:color w:val="auto"/>
          <w:sz w:val="24"/>
          <w:szCs w:val="24"/>
        </w:rPr>
      </w:pPr>
    </w:p>
    <w:p w14:paraId="4D4177B2">
      <w:pPr>
        <w:pStyle w:val="3"/>
        <w:spacing w:before="0" w:after="0" w:line="360" w:lineRule="auto"/>
        <w:rPr>
          <w:rFonts w:ascii="宋体" w:hAnsi="宋体" w:eastAsia="宋体" w:cs="宋体"/>
          <w:b w:val="0"/>
          <w:color w:val="auto"/>
          <w:sz w:val="36"/>
          <w:szCs w:val="30"/>
        </w:rPr>
      </w:pPr>
      <w:bookmarkStart w:id="126" w:name="_Toc12140"/>
      <w:bookmarkStart w:id="127" w:name="_Toc13963"/>
      <w:bookmarkStart w:id="128" w:name="_Toc5600"/>
      <w:r>
        <w:rPr>
          <w:rFonts w:hint="eastAsia" w:ascii="宋体" w:hAnsi="宋体" w:eastAsia="宋体" w:cs="宋体"/>
          <w:b w:val="0"/>
          <w:color w:val="auto"/>
          <w:sz w:val="36"/>
          <w:szCs w:val="30"/>
        </w:rPr>
        <w:t>第四篇</w:t>
      </w:r>
      <w:r>
        <w:rPr>
          <w:rFonts w:ascii="宋体" w:hAnsi="宋体" w:eastAsia="宋体" w:cs="宋体"/>
          <w:b w:val="0"/>
          <w:color w:val="auto"/>
          <w:sz w:val="36"/>
          <w:szCs w:val="30"/>
        </w:rPr>
        <w:t xml:space="preserve">  </w:t>
      </w:r>
      <w:r>
        <w:rPr>
          <w:rFonts w:hint="eastAsia" w:ascii="宋体" w:hAnsi="宋体" w:eastAsia="宋体" w:cs="宋体"/>
          <w:b w:val="0"/>
          <w:color w:val="auto"/>
          <w:sz w:val="36"/>
          <w:szCs w:val="30"/>
        </w:rPr>
        <w:t>磋商程序及方法、评审标准、无效响应和采购终止</w:t>
      </w:r>
      <w:bookmarkEnd w:id="126"/>
      <w:bookmarkEnd w:id="127"/>
      <w:bookmarkEnd w:id="128"/>
    </w:p>
    <w:p w14:paraId="0FBEDF8D">
      <w:pPr>
        <w:pStyle w:val="4"/>
        <w:spacing w:before="0" w:after="0" w:line="440" w:lineRule="exact"/>
        <w:rPr>
          <w:rFonts w:ascii="宋体" w:hAnsi="宋体" w:cs="宋体"/>
          <w:b w:val="0"/>
          <w:color w:val="auto"/>
          <w:sz w:val="24"/>
          <w:szCs w:val="24"/>
        </w:rPr>
      </w:pPr>
      <w:bookmarkStart w:id="129" w:name="_Toc18677"/>
      <w:bookmarkStart w:id="130" w:name="_Toc6009"/>
      <w:bookmarkStart w:id="131" w:name="_Toc24377"/>
      <w:r>
        <w:rPr>
          <w:rFonts w:hint="eastAsia" w:ascii="宋体" w:hAnsi="宋体" w:cs="宋体"/>
          <w:b w:val="0"/>
          <w:color w:val="auto"/>
          <w:sz w:val="24"/>
          <w:szCs w:val="24"/>
        </w:rPr>
        <w:t>一、磋商程序及方法</w:t>
      </w:r>
      <w:bookmarkEnd w:id="129"/>
      <w:bookmarkEnd w:id="130"/>
      <w:bookmarkEnd w:id="131"/>
    </w:p>
    <w:p w14:paraId="2BBCEDF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1F8DCED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（二）磋商小组对各供应商的资格条件、响应文件的有效性、完整性和响应程度进行审查。各供应商只有在完全符合要求的前提下，才能参与正式磋商。</w:t>
      </w:r>
    </w:p>
    <w:p w14:paraId="306C2A54">
      <w:pPr>
        <w:snapToGrid w:val="0"/>
        <w:spacing w:line="400" w:lineRule="exact"/>
        <w:ind w:firstLine="480" w:firstLineChars="200"/>
        <w:rPr>
          <w:rFonts w:ascii="宋体" w:hAnsi="宋体" w:cs="宋体"/>
          <w:color w:val="auto"/>
          <w:kern w:val="0"/>
          <w:sz w:val="24"/>
          <w:szCs w:val="24"/>
        </w:rPr>
      </w:pPr>
      <w:r>
        <w:rPr>
          <w:rFonts w:ascii="宋体" w:hAnsi="宋体" w:cs="宋体"/>
          <w:color w:val="auto"/>
          <w:sz w:val="24"/>
          <w:szCs w:val="24"/>
        </w:rPr>
        <w:t>1.</w:t>
      </w:r>
      <w:r>
        <w:rPr>
          <w:rFonts w:hint="eastAsia" w:ascii="宋体" w:hAnsi="宋体" w:cs="宋体"/>
          <w:color w:val="auto"/>
          <w:kern w:val="0"/>
          <w:sz w:val="24"/>
          <w:szCs w:val="24"/>
        </w:rPr>
        <w:t>资格性检查。依据法律法规和竞争性磋商文件的规定，对响应文件中的资格证明、等进行审查，以确定供应商是否具备磋商资格。资格性检查资料表如下：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9CD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F1CCCE2">
            <w:pPr>
              <w:jc w:val="center"/>
              <w:rPr>
                <w:rFonts w:ascii="宋体" w:hAnsi="宋体" w:cs="宋体"/>
                <w:color w:val="auto"/>
                <w:kern w:val="0"/>
                <w:sz w:val="21"/>
                <w:szCs w:val="21"/>
              </w:rPr>
            </w:pPr>
            <w:r>
              <w:rPr>
                <w:rFonts w:hint="eastAsia" w:ascii="宋体" w:hAnsi="宋体" w:cs="宋体"/>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3F6B35B">
            <w:pPr>
              <w:jc w:val="center"/>
              <w:rPr>
                <w:rFonts w:ascii="宋体" w:hAnsi="宋体" w:cs="宋体"/>
                <w:color w:val="auto"/>
                <w:kern w:val="0"/>
                <w:sz w:val="21"/>
                <w:szCs w:val="21"/>
              </w:rPr>
            </w:pPr>
            <w:r>
              <w:rPr>
                <w:rFonts w:hint="eastAsia" w:ascii="宋体" w:hAnsi="宋体" w:cs="宋体"/>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464B532">
            <w:pPr>
              <w:jc w:val="center"/>
              <w:rPr>
                <w:rFonts w:ascii="宋体" w:hAnsi="宋体" w:cs="宋体"/>
                <w:color w:val="auto"/>
                <w:kern w:val="0"/>
                <w:sz w:val="21"/>
                <w:szCs w:val="21"/>
              </w:rPr>
            </w:pPr>
            <w:r>
              <w:rPr>
                <w:rFonts w:hint="eastAsia" w:ascii="宋体" w:hAnsi="宋体" w:cs="宋体"/>
                <w:color w:val="auto"/>
                <w:kern w:val="0"/>
                <w:sz w:val="21"/>
                <w:szCs w:val="21"/>
              </w:rPr>
              <w:t>检查内容</w:t>
            </w:r>
          </w:p>
        </w:tc>
      </w:tr>
      <w:tr w14:paraId="0F07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7632E69">
            <w:pPr>
              <w:jc w:val="center"/>
              <w:rPr>
                <w:rFonts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14:paraId="65A2B602">
            <w:pPr>
              <w:rPr>
                <w:rFonts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vAlign w:val="center"/>
          </w:tcPr>
          <w:p w14:paraId="381DE877">
            <w:pPr>
              <w:rPr>
                <w:rFonts w:ascii="宋体" w:hAnsi="宋体" w:cs="宋体"/>
                <w:color w:val="auto"/>
                <w:sz w:val="21"/>
                <w:szCs w:val="21"/>
              </w:rPr>
            </w:pPr>
            <w:r>
              <w:rPr>
                <w:rFonts w:ascii="宋体" w:hAnsi="宋体" w:cs="宋体"/>
                <w:color w:val="auto"/>
                <w:sz w:val="21"/>
                <w:szCs w:val="21"/>
              </w:rPr>
              <w:t>1.具有独立承担民事责任的能力</w:t>
            </w:r>
          </w:p>
        </w:tc>
        <w:tc>
          <w:tcPr>
            <w:tcW w:w="4984" w:type="dxa"/>
            <w:vAlign w:val="center"/>
          </w:tcPr>
          <w:p w14:paraId="231FB00F">
            <w:pPr>
              <w:rPr>
                <w:rFonts w:ascii="宋体" w:hAnsi="宋体" w:cs="宋体"/>
                <w:color w:val="auto"/>
                <w:sz w:val="21"/>
                <w:szCs w:val="21"/>
              </w:rPr>
            </w:pPr>
            <w:r>
              <w:rPr>
                <w:rFonts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5AA6ABC8">
            <w:pPr>
              <w:rPr>
                <w:rFonts w:ascii="宋体" w:hAnsi="宋体" w:cs="宋体"/>
                <w:color w:val="auto"/>
                <w:sz w:val="21"/>
                <w:szCs w:val="21"/>
              </w:rPr>
            </w:pPr>
            <w:r>
              <w:rPr>
                <w:rFonts w:ascii="宋体" w:hAnsi="宋体" w:cs="宋体"/>
                <w:color w:val="auto"/>
                <w:sz w:val="21"/>
                <w:szCs w:val="21"/>
              </w:rPr>
              <w:t>2.供应</w:t>
            </w:r>
            <w:r>
              <w:rPr>
                <w:rFonts w:hint="eastAsia" w:ascii="宋体" w:hAnsi="宋体" w:cs="宋体"/>
                <w:color w:val="auto"/>
                <w:sz w:val="21"/>
                <w:szCs w:val="21"/>
              </w:rPr>
              <w:t>商法定代表人身份证明和法定代表人授权代表委托书。</w:t>
            </w:r>
          </w:p>
        </w:tc>
      </w:tr>
      <w:tr w14:paraId="78BB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DA470E2">
            <w:pPr>
              <w:jc w:val="center"/>
              <w:rPr>
                <w:rFonts w:ascii="宋体" w:hAnsi="宋体" w:cs="宋体"/>
                <w:color w:val="auto"/>
                <w:sz w:val="21"/>
                <w:szCs w:val="21"/>
              </w:rPr>
            </w:pPr>
          </w:p>
        </w:tc>
        <w:tc>
          <w:tcPr>
            <w:tcW w:w="709" w:type="dxa"/>
            <w:vMerge w:val="continue"/>
            <w:vAlign w:val="center"/>
          </w:tcPr>
          <w:p w14:paraId="233D338B">
            <w:pPr>
              <w:rPr>
                <w:rFonts w:ascii="宋体" w:hAnsi="宋体" w:cs="宋体"/>
                <w:color w:val="auto"/>
                <w:sz w:val="21"/>
                <w:szCs w:val="21"/>
                <w:lang w:val="zh-CN"/>
              </w:rPr>
            </w:pPr>
          </w:p>
        </w:tc>
        <w:tc>
          <w:tcPr>
            <w:tcW w:w="3118" w:type="dxa"/>
            <w:vAlign w:val="center"/>
          </w:tcPr>
          <w:p w14:paraId="18040056">
            <w:pPr>
              <w:rPr>
                <w:rFonts w:ascii="宋体" w:hAnsi="宋体" w:cs="宋体"/>
                <w:color w:val="auto"/>
                <w:sz w:val="21"/>
                <w:szCs w:val="21"/>
              </w:rPr>
            </w:pPr>
            <w:r>
              <w:rPr>
                <w:rFonts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vAlign w:val="center"/>
          </w:tcPr>
          <w:p w14:paraId="033B79D3">
            <w:pP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rPr>
              <w:t>供应商提供“诚信声明”（格式详见第六篇）</w:t>
            </w:r>
            <w:r>
              <w:rPr>
                <w:rFonts w:hint="eastAsia" w:ascii="宋体" w:hAnsi="宋体" w:cs="宋体"/>
                <w:color w:val="auto"/>
                <w:sz w:val="21"/>
                <w:szCs w:val="21"/>
                <w:lang w:eastAsia="zh-CN"/>
              </w:rPr>
              <w:t>；</w:t>
            </w:r>
          </w:p>
          <w:p w14:paraId="58D80875">
            <w:pP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rPr>
              <w:t>供应商提供上一年度资产负债表、利润表、现金流量表复印件，本年度新成立的公司提供投标截止时间前一个月的财务状况报告(资产负债表、利润表、现金流量表复印件)</w:t>
            </w:r>
            <w:r>
              <w:rPr>
                <w:rFonts w:hint="eastAsia" w:ascii="宋体" w:hAnsi="宋体" w:cs="宋体"/>
                <w:color w:val="auto"/>
                <w:sz w:val="21"/>
                <w:szCs w:val="21"/>
                <w:lang w:eastAsia="zh-CN"/>
              </w:rPr>
              <w:t>；</w:t>
            </w:r>
          </w:p>
          <w:p w14:paraId="706D82D7">
            <w:pPr>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缴纳税收的证明材料和社会保险缴纳证明材料；</w:t>
            </w:r>
          </w:p>
          <w:p w14:paraId="4D47C250">
            <w:pPr>
              <w:rPr>
                <w:rFonts w:ascii="宋体" w:hAnsi="宋体" w:cs="宋体"/>
                <w:color w:val="auto"/>
                <w:sz w:val="21"/>
                <w:szCs w:val="21"/>
              </w:rPr>
            </w:pPr>
            <w:r>
              <w:rPr>
                <w:rFonts w:hint="eastAsia" w:ascii="宋体" w:hAnsi="宋体" w:cs="宋体"/>
                <w:color w:val="auto"/>
                <w:sz w:val="21"/>
                <w:szCs w:val="21"/>
                <w:lang w:val="en-US" w:eastAsia="zh-CN"/>
              </w:rPr>
              <w:t>4.诚信声明与</w:t>
            </w:r>
            <w:r>
              <w:rPr>
                <w:rFonts w:hint="eastAsia" w:ascii="宋体" w:hAnsi="宋体" w:cs="宋体"/>
                <w:color w:val="auto"/>
                <w:sz w:val="21"/>
                <w:szCs w:val="21"/>
                <w:lang w:eastAsia="zh-CN"/>
              </w:rPr>
              <w:t>信用中国网站(www.creditchina.gov.cn)“信用信息”(包括“失信被执行人”及“重大税收违法案件当事人名单”)及“行政处罚”查询结果以及中国政府采购网(wmw</w:t>
            </w:r>
            <w:r>
              <w:rPr>
                <w:rFonts w:hint="eastAsia" w:ascii="宋体" w:hAnsi="宋体" w:cs="宋体"/>
                <w:color w:val="auto"/>
                <w:sz w:val="21"/>
                <w:szCs w:val="21"/>
                <w:lang w:val="en-US" w:eastAsia="zh-CN"/>
              </w:rPr>
              <w:t>.cc</w:t>
            </w:r>
            <w:r>
              <w:rPr>
                <w:rFonts w:hint="eastAsia" w:ascii="宋体" w:hAnsi="宋体" w:cs="宋体"/>
                <w:color w:val="auto"/>
                <w:sz w:val="21"/>
                <w:szCs w:val="21"/>
                <w:lang w:eastAsia="zh-CN"/>
              </w:rPr>
              <w:t>gp. gov.m)“政府采购严重违法失信行为纪录名单”查询结果(上述两个网站查询结果网页打印件并加盖投标人公章)。查询结果为本项目采购公告发布之日起至投标截止时间前</w:t>
            </w:r>
            <w:r>
              <w:rPr>
                <w:rFonts w:hint="eastAsia" w:ascii="宋体" w:hAnsi="宋体" w:cs="宋体"/>
                <w:color w:val="auto"/>
                <w:sz w:val="21"/>
                <w:szCs w:val="21"/>
              </w:rPr>
              <w:t>。</w:t>
            </w:r>
          </w:p>
        </w:tc>
      </w:tr>
      <w:tr w14:paraId="27B7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53C0CB9">
            <w:pPr>
              <w:jc w:val="center"/>
              <w:rPr>
                <w:rFonts w:ascii="宋体" w:hAnsi="宋体" w:cs="宋体"/>
                <w:color w:val="auto"/>
                <w:sz w:val="21"/>
                <w:szCs w:val="21"/>
              </w:rPr>
            </w:pPr>
          </w:p>
        </w:tc>
        <w:tc>
          <w:tcPr>
            <w:tcW w:w="709" w:type="dxa"/>
            <w:vMerge w:val="continue"/>
            <w:vAlign w:val="center"/>
          </w:tcPr>
          <w:p w14:paraId="6AE49708">
            <w:pPr>
              <w:rPr>
                <w:rFonts w:ascii="宋体" w:hAnsi="宋体" w:cs="宋体"/>
                <w:color w:val="auto"/>
                <w:sz w:val="21"/>
                <w:szCs w:val="21"/>
                <w:lang w:val="zh-CN"/>
              </w:rPr>
            </w:pPr>
          </w:p>
        </w:tc>
        <w:tc>
          <w:tcPr>
            <w:tcW w:w="3118" w:type="dxa"/>
            <w:vAlign w:val="center"/>
          </w:tcPr>
          <w:p w14:paraId="322ABDF3">
            <w:pPr>
              <w:rPr>
                <w:rFonts w:ascii="宋体" w:hAnsi="宋体" w:cs="宋体"/>
                <w:color w:val="auto"/>
                <w:sz w:val="21"/>
                <w:szCs w:val="21"/>
                <w:lang w:val="zh-CN"/>
              </w:rPr>
            </w:pPr>
            <w:r>
              <w:rPr>
                <w:rFonts w:ascii="宋体" w:hAnsi="宋体" w:cs="宋体"/>
                <w:color w:val="auto"/>
                <w:sz w:val="21"/>
                <w:szCs w:val="21"/>
                <w:lang w:val="zh-CN"/>
              </w:rPr>
              <w:t>3.具有履行合同所必需的设备和专业技术能力</w:t>
            </w:r>
          </w:p>
        </w:tc>
        <w:tc>
          <w:tcPr>
            <w:tcW w:w="4984" w:type="dxa"/>
            <w:vMerge w:val="continue"/>
            <w:vAlign w:val="center"/>
          </w:tcPr>
          <w:p w14:paraId="5891A130">
            <w:pPr>
              <w:rPr>
                <w:rFonts w:ascii="宋体" w:hAnsi="宋体" w:cs="宋体"/>
                <w:color w:val="auto"/>
                <w:sz w:val="21"/>
                <w:szCs w:val="21"/>
              </w:rPr>
            </w:pPr>
          </w:p>
        </w:tc>
      </w:tr>
      <w:tr w14:paraId="265E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74CAD67">
            <w:pPr>
              <w:jc w:val="center"/>
              <w:rPr>
                <w:rFonts w:ascii="宋体" w:hAnsi="宋体" w:cs="宋体"/>
                <w:color w:val="auto"/>
                <w:sz w:val="21"/>
                <w:szCs w:val="21"/>
              </w:rPr>
            </w:pPr>
          </w:p>
        </w:tc>
        <w:tc>
          <w:tcPr>
            <w:tcW w:w="709" w:type="dxa"/>
            <w:vMerge w:val="continue"/>
            <w:vAlign w:val="center"/>
          </w:tcPr>
          <w:p w14:paraId="70280673">
            <w:pPr>
              <w:rPr>
                <w:rFonts w:ascii="宋体" w:hAnsi="宋体" w:cs="宋体"/>
                <w:color w:val="auto"/>
                <w:sz w:val="21"/>
                <w:szCs w:val="21"/>
                <w:lang w:val="zh-CN"/>
              </w:rPr>
            </w:pPr>
          </w:p>
        </w:tc>
        <w:tc>
          <w:tcPr>
            <w:tcW w:w="3118" w:type="dxa"/>
            <w:vAlign w:val="center"/>
          </w:tcPr>
          <w:p w14:paraId="06AED1BA">
            <w:pPr>
              <w:rPr>
                <w:rFonts w:ascii="宋体" w:hAnsi="宋体" w:cs="宋体"/>
                <w:color w:val="auto"/>
                <w:sz w:val="21"/>
                <w:szCs w:val="21"/>
                <w:lang w:val="zh-CN"/>
              </w:rPr>
            </w:pPr>
            <w:r>
              <w:rPr>
                <w:rFonts w:ascii="宋体" w:hAnsi="宋体" w:cs="宋体"/>
                <w:color w:val="auto"/>
                <w:sz w:val="21"/>
                <w:szCs w:val="21"/>
                <w:lang w:val="zh-CN"/>
              </w:rPr>
              <w:t>4.有依法缴纳税收和社会保障金的良好记录</w:t>
            </w:r>
          </w:p>
        </w:tc>
        <w:tc>
          <w:tcPr>
            <w:tcW w:w="4984" w:type="dxa"/>
            <w:vMerge w:val="continue"/>
            <w:vAlign w:val="center"/>
          </w:tcPr>
          <w:p w14:paraId="29B3A674">
            <w:pPr>
              <w:rPr>
                <w:rFonts w:ascii="宋体" w:hAnsi="宋体" w:cs="宋体"/>
                <w:color w:val="auto"/>
                <w:sz w:val="21"/>
                <w:szCs w:val="21"/>
              </w:rPr>
            </w:pPr>
          </w:p>
        </w:tc>
      </w:tr>
      <w:tr w14:paraId="7872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883CA17">
            <w:pPr>
              <w:jc w:val="center"/>
              <w:rPr>
                <w:rFonts w:ascii="宋体" w:hAnsi="宋体" w:cs="宋体"/>
                <w:color w:val="auto"/>
                <w:sz w:val="21"/>
                <w:szCs w:val="21"/>
              </w:rPr>
            </w:pPr>
          </w:p>
        </w:tc>
        <w:tc>
          <w:tcPr>
            <w:tcW w:w="709" w:type="dxa"/>
            <w:vMerge w:val="continue"/>
            <w:vAlign w:val="center"/>
          </w:tcPr>
          <w:p w14:paraId="7FF0C2B1">
            <w:pPr>
              <w:rPr>
                <w:rFonts w:ascii="宋体" w:hAnsi="宋体" w:cs="宋体"/>
                <w:color w:val="auto"/>
                <w:sz w:val="21"/>
                <w:szCs w:val="21"/>
                <w:lang w:val="zh-CN"/>
              </w:rPr>
            </w:pPr>
          </w:p>
        </w:tc>
        <w:tc>
          <w:tcPr>
            <w:tcW w:w="3118" w:type="dxa"/>
            <w:vAlign w:val="center"/>
          </w:tcPr>
          <w:p w14:paraId="3059B815">
            <w:pPr>
              <w:rPr>
                <w:rFonts w:ascii="宋体" w:hAnsi="宋体" w:cs="宋体"/>
                <w:color w:val="auto"/>
                <w:sz w:val="21"/>
                <w:szCs w:val="21"/>
                <w:lang w:val="zh-CN"/>
              </w:rPr>
            </w:pPr>
            <w:r>
              <w:rPr>
                <w:rFonts w:ascii="宋体" w:hAnsi="宋体" w:cs="宋体"/>
                <w:color w:val="auto"/>
                <w:sz w:val="21"/>
                <w:szCs w:val="21"/>
              </w:rPr>
              <w:t>5.参加政府采购活动前三年内，在经营活动中没有重大违法记录</w:t>
            </w:r>
          </w:p>
        </w:tc>
        <w:tc>
          <w:tcPr>
            <w:tcW w:w="4984" w:type="dxa"/>
            <w:vMerge w:val="continue"/>
            <w:vAlign w:val="center"/>
          </w:tcPr>
          <w:p w14:paraId="311D22FA">
            <w:pPr>
              <w:rPr>
                <w:rFonts w:ascii="宋体" w:hAnsi="宋体" w:cs="宋体"/>
                <w:color w:val="auto"/>
                <w:sz w:val="21"/>
                <w:szCs w:val="21"/>
              </w:rPr>
            </w:pPr>
          </w:p>
        </w:tc>
      </w:tr>
      <w:tr w14:paraId="1AAC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CE09653">
            <w:pPr>
              <w:jc w:val="center"/>
              <w:rPr>
                <w:rFonts w:ascii="宋体" w:hAnsi="宋体" w:cs="宋体"/>
                <w:color w:val="auto"/>
                <w:sz w:val="21"/>
                <w:szCs w:val="21"/>
              </w:rPr>
            </w:pPr>
          </w:p>
        </w:tc>
        <w:tc>
          <w:tcPr>
            <w:tcW w:w="709" w:type="dxa"/>
            <w:vMerge w:val="continue"/>
            <w:vAlign w:val="center"/>
          </w:tcPr>
          <w:p w14:paraId="0A7F8DCA">
            <w:pPr>
              <w:rPr>
                <w:rFonts w:ascii="宋体" w:hAnsi="宋体" w:cs="宋体"/>
                <w:color w:val="auto"/>
                <w:sz w:val="21"/>
                <w:szCs w:val="21"/>
              </w:rPr>
            </w:pPr>
          </w:p>
        </w:tc>
        <w:tc>
          <w:tcPr>
            <w:tcW w:w="3118" w:type="dxa"/>
            <w:vAlign w:val="center"/>
          </w:tcPr>
          <w:p w14:paraId="616AFB52">
            <w:pPr>
              <w:rPr>
                <w:rFonts w:ascii="宋体" w:hAnsi="宋体" w:cs="宋体"/>
                <w:color w:val="auto"/>
                <w:sz w:val="21"/>
                <w:szCs w:val="21"/>
              </w:rPr>
            </w:pPr>
            <w:r>
              <w:rPr>
                <w:rFonts w:ascii="宋体" w:hAnsi="宋体" w:cs="宋体"/>
                <w:color w:val="auto"/>
                <w:sz w:val="21"/>
                <w:szCs w:val="21"/>
              </w:rPr>
              <w:t>6.法律、行政法规规定的其他条件</w:t>
            </w:r>
          </w:p>
        </w:tc>
        <w:tc>
          <w:tcPr>
            <w:tcW w:w="4984" w:type="dxa"/>
            <w:vAlign w:val="center"/>
          </w:tcPr>
          <w:p w14:paraId="67B1FA78">
            <w:pPr>
              <w:rPr>
                <w:rFonts w:ascii="宋体" w:hAnsi="宋体" w:cs="宋体"/>
                <w:color w:val="auto"/>
                <w:sz w:val="21"/>
                <w:szCs w:val="21"/>
              </w:rPr>
            </w:pPr>
          </w:p>
        </w:tc>
      </w:tr>
      <w:tr w14:paraId="610C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D546AF4">
            <w:pPr>
              <w:jc w:val="center"/>
              <w:rPr>
                <w:rFonts w:ascii="宋体" w:hAnsi="宋体" w:cs="宋体"/>
                <w:color w:val="auto"/>
                <w:sz w:val="21"/>
                <w:szCs w:val="21"/>
              </w:rPr>
            </w:pPr>
          </w:p>
        </w:tc>
        <w:tc>
          <w:tcPr>
            <w:tcW w:w="709" w:type="dxa"/>
            <w:vMerge w:val="continue"/>
            <w:vAlign w:val="center"/>
          </w:tcPr>
          <w:p w14:paraId="48399FAC">
            <w:pPr>
              <w:rPr>
                <w:rFonts w:ascii="宋体" w:hAnsi="宋体" w:cs="宋体"/>
                <w:color w:val="auto"/>
                <w:sz w:val="21"/>
                <w:szCs w:val="21"/>
              </w:rPr>
            </w:pPr>
          </w:p>
        </w:tc>
        <w:tc>
          <w:tcPr>
            <w:tcW w:w="3118" w:type="dxa"/>
            <w:vAlign w:val="center"/>
          </w:tcPr>
          <w:p w14:paraId="3D89928A">
            <w:pPr>
              <w:rPr>
                <w:rFonts w:ascii="宋体" w:hAnsi="宋体" w:cs="宋体"/>
                <w:color w:val="auto"/>
                <w:sz w:val="21"/>
                <w:szCs w:val="21"/>
              </w:rPr>
            </w:pPr>
            <w:r>
              <w:rPr>
                <w:rFonts w:ascii="宋体" w:hAnsi="宋体" w:cs="宋体"/>
                <w:color w:val="auto"/>
                <w:sz w:val="21"/>
                <w:szCs w:val="21"/>
              </w:rPr>
              <w:t>7.本项目的特定资格要求</w:t>
            </w:r>
          </w:p>
        </w:tc>
        <w:tc>
          <w:tcPr>
            <w:tcW w:w="4984" w:type="dxa"/>
            <w:vAlign w:val="center"/>
          </w:tcPr>
          <w:p w14:paraId="1FB06623">
            <w:pPr>
              <w:rPr>
                <w:rFonts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按“第一篇三、供应商资格要求（三）本项目的特定资格要求”的要求提交（如果有）。</w:t>
            </w:r>
          </w:p>
        </w:tc>
      </w:tr>
      <w:tr w14:paraId="09EA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F094DCF">
            <w:pPr>
              <w:jc w:val="center"/>
              <w:rPr>
                <w:rFonts w:ascii="宋体" w:hAnsi="宋体" w:cs="宋体"/>
                <w:color w:val="auto"/>
                <w:sz w:val="21"/>
                <w:szCs w:val="21"/>
              </w:rPr>
            </w:pPr>
            <w:r>
              <w:rPr>
                <w:rFonts w:hint="eastAsia" w:ascii="宋体" w:hAnsi="宋体" w:cs="宋体"/>
                <w:color w:val="auto"/>
                <w:sz w:val="21"/>
                <w:szCs w:val="21"/>
              </w:rPr>
              <w:t>（二）</w:t>
            </w:r>
          </w:p>
        </w:tc>
        <w:tc>
          <w:tcPr>
            <w:tcW w:w="3827" w:type="dxa"/>
            <w:gridSpan w:val="2"/>
            <w:vAlign w:val="center"/>
          </w:tcPr>
          <w:p w14:paraId="52F94B7E">
            <w:pPr>
              <w:rPr>
                <w:rFonts w:ascii="宋体" w:hAnsi="宋体" w:cs="宋体"/>
                <w:color w:val="auto"/>
                <w:sz w:val="21"/>
                <w:szCs w:val="21"/>
              </w:rPr>
            </w:pPr>
            <w:r>
              <w:rPr>
                <w:rFonts w:hint="eastAsia" w:ascii="宋体" w:hAnsi="宋体" w:cs="宋体"/>
                <w:color w:val="auto"/>
                <w:sz w:val="21"/>
                <w:szCs w:val="21"/>
              </w:rPr>
              <w:t>保证金</w:t>
            </w:r>
          </w:p>
        </w:tc>
        <w:tc>
          <w:tcPr>
            <w:tcW w:w="4984" w:type="dxa"/>
            <w:vAlign w:val="center"/>
          </w:tcPr>
          <w:p w14:paraId="3542F028">
            <w:pPr>
              <w:rPr>
                <w:rFonts w:ascii="宋体" w:hAnsi="宋体" w:cs="宋体"/>
                <w:color w:val="auto"/>
                <w:sz w:val="21"/>
                <w:szCs w:val="21"/>
              </w:rPr>
            </w:pPr>
            <w:r>
              <w:rPr>
                <w:rFonts w:hint="eastAsia" w:ascii="宋体" w:hAnsi="宋体" w:cs="宋体"/>
                <w:color w:val="auto"/>
                <w:sz w:val="21"/>
                <w:szCs w:val="21"/>
              </w:rPr>
              <w:t>按照竞争性</w:t>
            </w:r>
            <w:r>
              <w:rPr>
                <w:rFonts w:hint="eastAsia" w:ascii="宋体" w:hAnsi="宋体" w:cs="宋体"/>
                <w:color w:val="auto"/>
                <w:sz w:val="21"/>
                <w:szCs w:val="21"/>
                <w:lang w:val="en-US" w:eastAsia="zh-CN"/>
              </w:rPr>
              <w:t>磋商</w:t>
            </w:r>
            <w:r>
              <w:rPr>
                <w:rFonts w:hint="eastAsia" w:ascii="宋体" w:hAnsi="宋体" w:cs="宋体"/>
                <w:color w:val="auto"/>
                <w:sz w:val="21"/>
                <w:szCs w:val="21"/>
              </w:rPr>
              <w:t>文件要求足额交纳所参与包的保证金。</w:t>
            </w:r>
          </w:p>
        </w:tc>
      </w:tr>
    </w:tbl>
    <w:p w14:paraId="1CC20FB8">
      <w:pPr>
        <w:snapToGrid w:val="0"/>
        <w:spacing w:line="400" w:lineRule="exact"/>
        <w:ind w:firstLine="480" w:firstLineChars="200"/>
        <w:rPr>
          <w:rFonts w:ascii="宋体" w:hAnsi="宋体" w:cs="宋体"/>
          <w:bCs/>
          <w:color w:val="auto"/>
          <w:kern w:val="0"/>
          <w:sz w:val="24"/>
          <w:szCs w:val="24"/>
          <w:u w:val="single"/>
        </w:rPr>
      </w:pPr>
      <w:r>
        <w:rPr>
          <w:rFonts w:hint="eastAsia" w:ascii="宋体" w:hAnsi="宋体" w:cs="宋体"/>
          <w:color w:val="auto"/>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Pr>
          <w:rFonts w:ascii="宋体" w:hAnsi="宋体" w:cs="宋体"/>
          <w:color w:val="auto"/>
          <w:kern w:val="0"/>
          <w:sz w:val="24"/>
          <w:szCs w:val="24"/>
        </w:rPr>
        <w:t xml:space="preserve">2022〕3 </w:t>
      </w:r>
      <w:r>
        <w:rPr>
          <w:rFonts w:hint="eastAsia" w:ascii="宋体" w:hAnsi="宋体" w:cs="宋体"/>
          <w:color w:val="auto"/>
          <w:kern w:val="0"/>
          <w:sz w:val="24"/>
          <w:szCs w:val="24"/>
        </w:rPr>
        <w:t>号）”执行。</w:t>
      </w:r>
      <w:r>
        <w:rPr>
          <w:rFonts w:hint="eastAsia" w:ascii="宋体" w:hAnsi="宋体" w:cs="宋体"/>
          <w:bCs/>
          <w:color w:val="auto"/>
          <w:kern w:val="0"/>
          <w:sz w:val="24"/>
          <w:szCs w:val="24"/>
          <w:u w:val="single"/>
        </w:rPr>
        <w:t>供应商可于响应文件递交截止时间前通过</w:t>
      </w:r>
      <w:r>
        <w:rPr>
          <w:rFonts w:ascii="宋体" w:hAnsi="宋体" w:cs="宋体"/>
          <w:bCs/>
          <w:color w:val="auto"/>
          <w:kern w:val="0"/>
          <w:sz w:val="24"/>
          <w:szCs w:val="24"/>
          <w:u w:val="single"/>
        </w:rPr>
        <w:t xml:space="preserve"> </w:t>
      </w:r>
      <w:r>
        <w:rPr>
          <w:rFonts w:hint="eastAsia" w:ascii="宋体" w:hAnsi="宋体" w:cs="宋体"/>
          <w:bCs/>
          <w:color w:val="auto"/>
          <w:kern w:val="0"/>
          <w:sz w:val="24"/>
          <w:szCs w:val="24"/>
          <w:u w:val="single"/>
        </w:rPr>
        <w:t>“信用中国”网站</w:t>
      </w:r>
      <w:r>
        <w:rPr>
          <w:rFonts w:ascii="宋体" w:hAnsi="宋体" w:cs="宋体"/>
          <w:bCs/>
          <w:color w:val="auto"/>
          <w:kern w:val="0"/>
          <w:sz w:val="24"/>
          <w:szCs w:val="24"/>
          <w:u w:val="single"/>
        </w:rPr>
        <w:t>(www.creditchina.gov.cn)、"中国政府采购网"(www.ccgp.gov.cn)等渠道查询信用记录并提交查询结果截图。</w:t>
      </w:r>
    </w:p>
    <w:p w14:paraId="2973397F">
      <w:pPr>
        <w:spacing w:line="400" w:lineRule="exact"/>
        <w:ind w:firstLine="480" w:firstLineChars="200"/>
        <w:rPr>
          <w:rFonts w:ascii="宋体" w:hAnsi="宋体" w:cs="宋体"/>
          <w:color w:val="auto"/>
          <w:kern w:val="0"/>
          <w:sz w:val="24"/>
          <w:szCs w:val="24"/>
        </w:rPr>
      </w:pPr>
      <w:r>
        <w:rPr>
          <w:rFonts w:ascii="宋体" w:hAnsi="宋体" w:cs="宋体"/>
          <w:color w:val="auto"/>
          <w:kern w:val="0"/>
          <w:sz w:val="24"/>
          <w:szCs w:val="24"/>
        </w:rPr>
        <w:t>2.符合性审查。依据竞争性磋商文件的规定，从响应文件的有效性、完整性和对竞争性磋商文件的响应程度进行审查，以确定是否对竞争性磋商文件的实质性要求</w:t>
      </w:r>
      <w:r>
        <w:rPr>
          <w:rFonts w:hint="eastAsia" w:ascii="宋体" w:hAnsi="宋体" w:cs="宋体"/>
          <w:color w:val="auto"/>
          <w:kern w:val="0"/>
          <w:sz w:val="24"/>
          <w:szCs w:val="24"/>
        </w:rPr>
        <w:t>作出响应。符合性审查资料表如下：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1C4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11FA55F">
            <w:pPr>
              <w:jc w:val="center"/>
              <w:rPr>
                <w:rFonts w:ascii="宋体" w:hAnsi="宋体" w:cs="宋体"/>
                <w:color w:val="auto"/>
                <w:kern w:val="0"/>
                <w:sz w:val="21"/>
                <w:szCs w:val="21"/>
              </w:rPr>
            </w:pPr>
            <w:r>
              <w:rPr>
                <w:rFonts w:hint="eastAsia" w:ascii="宋体" w:hAnsi="宋体" w:cs="宋体"/>
                <w:color w:val="auto"/>
                <w:kern w:val="0"/>
                <w:sz w:val="21"/>
                <w:szCs w:val="21"/>
              </w:rPr>
              <w:t>序号</w:t>
            </w:r>
          </w:p>
        </w:tc>
        <w:tc>
          <w:tcPr>
            <w:tcW w:w="3544" w:type="dxa"/>
            <w:gridSpan w:val="2"/>
            <w:vAlign w:val="center"/>
          </w:tcPr>
          <w:p w14:paraId="2DA0688E">
            <w:pPr>
              <w:jc w:val="center"/>
              <w:rPr>
                <w:rFonts w:ascii="宋体" w:hAnsi="宋体" w:cs="宋体"/>
                <w:color w:val="auto"/>
                <w:kern w:val="0"/>
                <w:sz w:val="21"/>
                <w:szCs w:val="21"/>
              </w:rPr>
            </w:pPr>
            <w:r>
              <w:rPr>
                <w:rFonts w:hint="eastAsia" w:ascii="宋体" w:hAnsi="宋体" w:cs="宋体"/>
                <w:color w:val="auto"/>
                <w:kern w:val="0"/>
                <w:sz w:val="21"/>
                <w:szCs w:val="21"/>
              </w:rPr>
              <w:t>评审因素</w:t>
            </w:r>
          </w:p>
        </w:tc>
        <w:tc>
          <w:tcPr>
            <w:tcW w:w="5409" w:type="dxa"/>
            <w:vAlign w:val="center"/>
          </w:tcPr>
          <w:p w14:paraId="0F518518">
            <w:pPr>
              <w:jc w:val="center"/>
              <w:rPr>
                <w:rFonts w:ascii="宋体" w:hAnsi="宋体" w:cs="宋体"/>
                <w:color w:val="auto"/>
                <w:kern w:val="0"/>
                <w:sz w:val="21"/>
                <w:szCs w:val="21"/>
              </w:rPr>
            </w:pPr>
            <w:r>
              <w:rPr>
                <w:rFonts w:hint="eastAsia" w:ascii="宋体" w:hAnsi="宋体" w:cs="宋体"/>
                <w:color w:val="auto"/>
                <w:kern w:val="0"/>
                <w:sz w:val="21"/>
                <w:szCs w:val="21"/>
              </w:rPr>
              <w:t>评审标准</w:t>
            </w:r>
          </w:p>
        </w:tc>
      </w:tr>
      <w:tr w14:paraId="69DF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573E6D5">
            <w:pPr>
              <w:jc w:val="center"/>
              <w:rPr>
                <w:rFonts w:ascii="宋体" w:hAnsi="宋体" w:cs="宋体"/>
                <w:color w:val="auto"/>
                <w:kern w:val="0"/>
                <w:sz w:val="21"/>
                <w:szCs w:val="21"/>
              </w:rPr>
            </w:pPr>
            <w:r>
              <w:rPr>
                <w:rFonts w:ascii="宋体" w:hAnsi="宋体" w:cs="宋体"/>
                <w:color w:val="auto"/>
                <w:kern w:val="0"/>
                <w:sz w:val="21"/>
                <w:szCs w:val="21"/>
              </w:rPr>
              <w:t>1</w:t>
            </w:r>
          </w:p>
        </w:tc>
        <w:tc>
          <w:tcPr>
            <w:tcW w:w="1560" w:type="dxa"/>
            <w:vMerge w:val="restart"/>
            <w:vAlign w:val="center"/>
          </w:tcPr>
          <w:p w14:paraId="41845088">
            <w:pPr>
              <w:rPr>
                <w:rFonts w:ascii="宋体" w:hAnsi="宋体" w:cs="宋体"/>
                <w:color w:val="auto"/>
                <w:kern w:val="0"/>
                <w:sz w:val="21"/>
                <w:szCs w:val="21"/>
              </w:rPr>
            </w:pPr>
            <w:r>
              <w:rPr>
                <w:rFonts w:hint="eastAsia" w:ascii="宋体" w:hAnsi="宋体" w:cs="宋体"/>
                <w:color w:val="auto"/>
                <w:kern w:val="0"/>
                <w:sz w:val="21"/>
                <w:szCs w:val="21"/>
              </w:rPr>
              <w:t>有效性审查</w:t>
            </w:r>
          </w:p>
        </w:tc>
        <w:tc>
          <w:tcPr>
            <w:tcW w:w="1984" w:type="dxa"/>
            <w:vAlign w:val="center"/>
          </w:tcPr>
          <w:p w14:paraId="7D70942D">
            <w:pPr>
              <w:rPr>
                <w:rFonts w:ascii="宋体" w:hAnsi="宋体" w:cs="宋体"/>
                <w:color w:val="auto"/>
                <w:kern w:val="0"/>
                <w:sz w:val="21"/>
                <w:szCs w:val="21"/>
              </w:rPr>
            </w:pPr>
            <w:r>
              <w:rPr>
                <w:rFonts w:hint="eastAsia" w:ascii="宋体" w:hAnsi="宋体" w:cs="宋体"/>
                <w:color w:val="auto"/>
                <w:sz w:val="21"/>
                <w:szCs w:val="21"/>
              </w:rPr>
              <w:t>响应文件签署或盖章</w:t>
            </w:r>
          </w:p>
        </w:tc>
        <w:tc>
          <w:tcPr>
            <w:tcW w:w="5409" w:type="dxa"/>
            <w:vAlign w:val="center"/>
          </w:tcPr>
          <w:p w14:paraId="63B7E171">
            <w:pPr>
              <w:rPr>
                <w:rFonts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14:paraId="3E4F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D23BA2F">
            <w:pPr>
              <w:jc w:val="center"/>
              <w:rPr>
                <w:rFonts w:ascii="宋体" w:hAnsi="宋体" w:cs="宋体"/>
                <w:color w:val="auto"/>
                <w:kern w:val="0"/>
                <w:sz w:val="21"/>
                <w:szCs w:val="21"/>
              </w:rPr>
            </w:pPr>
          </w:p>
        </w:tc>
        <w:tc>
          <w:tcPr>
            <w:tcW w:w="1560" w:type="dxa"/>
            <w:vMerge w:val="continue"/>
            <w:vAlign w:val="center"/>
          </w:tcPr>
          <w:p w14:paraId="2CDCC5B0">
            <w:pPr>
              <w:rPr>
                <w:rFonts w:ascii="宋体" w:hAnsi="宋体" w:cs="宋体"/>
                <w:color w:val="auto"/>
                <w:kern w:val="0"/>
                <w:sz w:val="21"/>
                <w:szCs w:val="21"/>
              </w:rPr>
            </w:pPr>
          </w:p>
        </w:tc>
        <w:tc>
          <w:tcPr>
            <w:tcW w:w="1984" w:type="dxa"/>
            <w:vAlign w:val="center"/>
          </w:tcPr>
          <w:p w14:paraId="714F61F0">
            <w:pPr>
              <w:rPr>
                <w:rFonts w:ascii="宋体" w:hAnsi="宋体" w:cs="宋体"/>
                <w:color w:val="auto"/>
                <w:sz w:val="21"/>
                <w:szCs w:val="21"/>
              </w:rPr>
            </w:pPr>
            <w:r>
              <w:rPr>
                <w:rFonts w:hint="eastAsia" w:ascii="宋体" w:hAnsi="宋体" w:cs="宋体"/>
                <w:color w:val="auto"/>
                <w:sz w:val="21"/>
                <w:szCs w:val="21"/>
              </w:rPr>
              <w:t>法定代表人身份证明及授权委托书</w:t>
            </w:r>
          </w:p>
        </w:tc>
        <w:tc>
          <w:tcPr>
            <w:tcW w:w="5409" w:type="dxa"/>
            <w:vAlign w:val="center"/>
          </w:tcPr>
          <w:p w14:paraId="44085267">
            <w:pPr>
              <w:rPr>
                <w:rFonts w:ascii="宋体" w:hAnsi="宋体" w:cs="宋体"/>
                <w:color w:val="auto"/>
                <w:sz w:val="21"/>
                <w:szCs w:val="21"/>
              </w:rPr>
            </w:pPr>
            <w:r>
              <w:rPr>
                <w:rFonts w:hint="eastAsia" w:ascii="宋体" w:hAnsi="宋体" w:cs="宋体"/>
                <w:color w:val="auto"/>
                <w:sz w:val="21"/>
                <w:szCs w:val="21"/>
              </w:rPr>
              <w:t>法定代表人身份证明及授权委托书有效，符合竞争性磋商文件规定的格式，签署或盖章齐全。</w:t>
            </w:r>
          </w:p>
        </w:tc>
      </w:tr>
      <w:tr w14:paraId="3AB8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660A7E9">
            <w:pPr>
              <w:jc w:val="center"/>
              <w:rPr>
                <w:rFonts w:ascii="宋体" w:hAnsi="宋体" w:cs="宋体"/>
                <w:color w:val="auto"/>
                <w:kern w:val="0"/>
                <w:sz w:val="21"/>
                <w:szCs w:val="21"/>
              </w:rPr>
            </w:pPr>
          </w:p>
        </w:tc>
        <w:tc>
          <w:tcPr>
            <w:tcW w:w="1560" w:type="dxa"/>
            <w:vMerge w:val="continue"/>
            <w:vAlign w:val="center"/>
          </w:tcPr>
          <w:p w14:paraId="32178361">
            <w:pPr>
              <w:rPr>
                <w:rFonts w:ascii="宋体" w:hAnsi="宋体" w:cs="宋体"/>
                <w:color w:val="auto"/>
                <w:kern w:val="0"/>
                <w:sz w:val="21"/>
                <w:szCs w:val="21"/>
              </w:rPr>
            </w:pPr>
          </w:p>
        </w:tc>
        <w:tc>
          <w:tcPr>
            <w:tcW w:w="1984" w:type="dxa"/>
            <w:vAlign w:val="center"/>
          </w:tcPr>
          <w:p w14:paraId="70D66E24">
            <w:pPr>
              <w:rPr>
                <w:rFonts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409" w:type="dxa"/>
            <w:vAlign w:val="center"/>
          </w:tcPr>
          <w:p w14:paraId="29ED746B">
            <w:pPr>
              <w:rPr>
                <w:rFonts w:ascii="宋体" w:hAnsi="宋体" w:cs="宋体"/>
                <w:color w:val="auto"/>
                <w:kern w:val="0"/>
                <w:sz w:val="21"/>
                <w:szCs w:val="21"/>
              </w:rPr>
            </w:pPr>
            <w:r>
              <w:rPr>
                <w:rFonts w:hint="eastAsia" w:ascii="宋体" w:hAnsi="宋体" w:cs="宋体"/>
                <w:color w:val="auto"/>
                <w:sz w:val="21"/>
                <w:szCs w:val="21"/>
                <w:lang w:val="zh-CN"/>
              </w:rPr>
              <w:t>每个包只能有一个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7244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21FB19A5">
            <w:pPr>
              <w:jc w:val="center"/>
              <w:rPr>
                <w:rFonts w:ascii="宋体" w:hAnsi="宋体" w:cs="宋体"/>
                <w:color w:val="auto"/>
                <w:kern w:val="0"/>
                <w:sz w:val="21"/>
                <w:szCs w:val="21"/>
              </w:rPr>
            </w:pPr>
          </w:p>
        </w:tc>
        <w:tc>
          <w:tcPr>
            <w:tcW w:w="1560" w:type="dxa"/>
            <w:vMerge w:val="continue"/>
            <w:vAlign w:val="center"/>
          </w:tcPr>
          <w:p w14:paraId="4CADD197">
            <w:pPr>
              <w:rPr>
                <w:rFonts w:ascii="宋体" w:hAnsi="宋体" w:cs="宋体"/>
                <w:color w:val="auto"/>
                <w:kern w:val="0"/>
                <w:sz w:val="21"/>
                <w:szCs w:val="21"/>
              </w:rPr>
            </w:pPr>
          </w:p>
        </w:tc>
        <w:tc>
          <w:tcPr>
            <w:tcW w:w="1984" w:type="dxa"/>
            <w:vAlign w:val="center"/>
          </w:tcPr>
          <w:p w14:paraId="6AA263E8">
            <w:pPr>
              <w:rPr>
                <w:rFonts w:ascii="宋体" w:hAnsi="宋体" w:cs="宋体"/>
                <w:color w:val="auto"/>
                <w:sz w:val="21"/>
                <w:szCs w:val="21"/>
                <w:lang w:val="zh-CN"/>
              </w:rPr>
            </w:pPr>
            <w:r>
              <w:rPr>
                <w:rFonts w:hint="eastAsia" w:ascii="宋体" w:hAnsi="宋体" w:cs="宋体"/>
                <w:color w:val="auto"/>
                <w:sz w:val="21"/>
                <w:szCs w:val="21"/>
              </w:rPr>
              <w:t>报价唯一</w:t>
            </w:r>
          </w:p>
        </w:tc>
        <w:tc>
          <w:tcPr>
            <w:tcW w:w="5409" w:type="dxa"/>
            <w:vAlign w:val="center"/>
          </w:tcPr>
          <w:p w14:paraId="7EF3E9DC">
            <w:pPr>
              <w:rPr>
                <w:rFonts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14:paraId="249E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910E051">
            <w:pPr>
              <w:jc w:val="center"/>
              <w:rPr>
                <w:rFonts w:ascii="宋体" w:hAnsi="宋体" w:cs="宋体"/>
                <w:color w:val="auto"/>
                <w:kern w:val="0"/>
                <w:sz w:val="21"/>
                <w:szCs w:val="21"/>
              </w:rPr>
            </w:pPr>
            <w:r>
              <w:rPr>
                <w:rFonts w:ascii="宋体" w:hAnsi="宋体" w:cs="宋体"/>
                <w:color w:val="auto"/>
                <w:kern w:val="0"/>
                <w:sz w:val="21"/>
                <w:szCs w:val="21"/>
              </w:rPr>
              <w:t>2</w:t>
            </w:r>
          </w:p>
        </w:tc>
        <w:tc>
          <w:tcPr>
            <w:tcW w:w="1560" w:type="dxa"/>
            <w:vAlign w:val="center"/>
          </w:tcPr>
          <w:p w14:paraId="7D66A3DE">
            <w:pPr>
              <w:rPr>
                <w:rFonts w:ascii="宋体" w:hAnsi="宋体" w:cs="宋体"/>
                <w:color w:val="auto"/>
                <w:kern w:val="0"/>
                <w:sz w:val="21"/>
                <w:szCs w:val="21"/>
              </w:rPr>
            </w:pPr>
            <w:r>
              <w:rPr>
                <w:rFonts w:hint="eastAsia" w:ascii="宋体" w:hAnsi="宋体" w:cs="宋体"/>
                <w:color w:val="auto"/>
                <w:kern w:val="0"/>
                <w:sz w:val="21"/>
                <w:szCs w:val="21"/>
              </w:rPr>
              <w:t>完整性审查</w:t>
            </w:r>
          </w:p>
        </w:tc>
        <w:tc>
          <w:tcPr>
            <w:tcW w:w="1984" w:type="dxa"/>
            <w:vAlign w:val="center"/>
          </w:tcPr>
          <w:p w14:paraId="77644682">
            <w:pPr>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409" w:type="dxa"/>
            <w:vAlign w:val="center"/>
          </w:tcPr>
          <w:p w14:paraId="71648890">
            <w:pPr>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14:paraId="2C0E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9B6B782">
            <w:pPr>
              <w:jc w:val="center"/>
              <w:rPr>
                <w:rFonts w:ascii="宋体" w:hAnsi="宋体" w:cs="宋体"/>
                <w:color w:val="auto"/>
                <w:kern w:val="0"/>
                <w:sz w:val="21"/>
                <w:szCs w:val="21"/>
              </w:rPr>
            </w:pPr>
            <w:r>
              <w:rPr>
                <w:rFonts w:ascii="宋体" w:hAnsi="宋体" w:cs="宋体"/>
                <w:color w:val="auto"/>
                <w:kern w:val="0"/>
                <w:sz w:val="21"/>
                <w:szCs w:val="21"/>
              </w:rPr>
              <w:t>3</w:t>
            </w:r>
          </w:p>
        </w:tc>
        <w:tc>
          <w:tcPr>
            <w:tcW w:w="1560" w:type="dxa"/>
            <w:vMerge w:val="restart"/>
            <w:vAlign w:val="center"/>
          </w:tcPr>
          <w:p w14:paraId="2766A87C">
            <w:pPr>
              <w:rPr>
                <w:rFonts w:ascii="宋体" w:hAnsi="宋体" w:cs="宋体"/>
                <w:color w:val="auto"/>
                <w:sz w:val="21"/>
                <w:szCs w:val="21"/>
                <w:lang w:val="zh-CN"/>
              </w:rPr>
            </w:pPr>
            <w:r>
              <w:rPr>
                <w:rFonts w:hint="eastAsia" w:ascii="宋体" w:hAnsi="宋体" w:cs="宋体"/>
                <w:color w:val="auto"/>
                <w:kern w:val="0"/>
                <w:sz w:val="21"/>
                <w:szCs w:val="21"/>
              </w:rPr>
              <w:t>响应程度审查</w:t>
            </w:r>
          </w:p>
        </w:tc>
        <w:tc>
          <w:tcPr>
            <w:tcW w:w="1984" w:type="dxa"/>
            <w:vAlign w:val="center"/>
          </w:tcPr>
          <w:p w14:paraId="400633FD">
            <w:pPr>
              <w:rPr>
                <w:rFonts w:ascii="宋体" w:hAnsi="宋体" w:cs="宋体"/>
                <w:color w:val="auto"/>
                <w:kern w:val="0"/>
                <w:sz w:val="21"/>
                <w:szCs w:val="21"/>
              </w:rPr>
            </w:pPr>
            <w:r>
              <w:rPr>
                <w:rFonts w:hint="eastAsia" w:ascii="宋体" w:hAnsi="宋体" w:cs="宋体"/>
                <w:color w:val="auto"/>
                <w:kern w:val="0"/>
                <w:sz w:val="21"/>
                <w:szCs w:val="21"/>
              </w:rPr>
              <w:t>实质性响应</w:t>
            </w:r>
          </w:p>
        </w:tc>
        <w:tc>
          <w:tcPr>
            <w:tcW w:w="5409" w:type="dxa"/>
            <w:vAlign w:val="center"/>
          </w:tcPr>
          <w:p w14:paraId="1CA51155">
            <w:pPr>
              <w:pStyle w:val="32"/>
              <w:rPr>
                <w:rFonts w:ascii="宋体" w:hAnsi="宋体" w:cs="宋体"/>
                <w:color w:val="auto"/>
                <w:kern w:val="0"/>
                <w:sz w:val="21"/>
                <w:szCs w:val="21"/>
              </w:rPr>
            </w:pPr>
            <w:r>
              <w:rPr>
                <w:rFonts w:hint="eastAsia" w:ascii="宋体" w:hAnsi="宋体" w:cs="宋体"/>
                <w:color w:val="auto"/>
                <w:kern w:val="0"/>
                <w:sz w:val="21"/>
                <w:szCs w:val="21"/>
              </w:rPr>
              <w:t>竞争性磋商文件第二篇、第三篇“</w:t>
            </w:r>
            <w:r>
              <w:rPr>
                <w:rFonts w:ascii="宋体" w:hAnsi="宋体" w:cs="宋体"/>
                <w:color w:val="auto"/>
                <w:sz w:val="24"/>
                <w:szCs w:val="24"/>
              </w:rPr>
              <w:t>*</w:t>
            </w:r>
            <w:r>
              <w:rPr>
                <w:rFonts w:hint="eastAsia" w:ascii="宋体" w:hAnsi="宋体" w:cs="宋体"/>
                <w:color w:val="auto"/>
                <w:kern w:val="0"/>
                <w:sz w:val="21"/>
                <w:szCs w:val="21"/>
              </w:rPr>
              <w:t>”标注部分。</w:t>
            </w:r>
          </w:p>
        </w:tc>
      </w:tr>
      <w:tr w14:paraId="6287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3FDD86FB">
            <w:pPr>
              <w:jc w:val="center"/>
              <w:rPr>
                <w:rFonts w:ascii="宋体" w:hAnsi="宋体" w:cs="宋体"/>
                <w:color w:val="auto"/>
                <w:kern w:val="0"/>
                <w:sz w:val="21"/>
                <w:szCs w:val="21"/>
              </w:rPr>
            </w:pPr>
          </w:p>
        </w:tc>
        <w:tc>
          <w:tcPr>
            <w:tcW w:w="1560" w:type="dxa"/>
            <w:vMerge w:val="continue"/>
            <w:vAlign w:val="center"/>
          </w:tcPr>
          <w:p w14:paraId="2490F597">
            <w:pPr>
              <w:rPr>
                <w:rFonts w:ascii="宋体" w:hAnsi="宋体" w:cs="宋体"/>
                <w:color w:val="auto"/>
                <w:sz w:val="21"/>
                <w:szCs w:val="21"/>
                <w:lang w:val="zh-CN"/>
              </w:rPr>
            </w:pPr>
          </w:p>
        </w:tc>
        <w:tc>
          <w:tcPr>
            <w:tcW w:w="1984" w:type="dxa"/>
            <w:vAlign w:val="center"/>
          </w:tcPr>
          <w:p w14:paraId="083D5B67">
            <w:pPr>
              <w:rPr>
                <w:rFonts w:ascii="宋体" w:hAnsi="宋体" w:cs="宋体"/>
                <w:color w:val="auto"/>
                <w:kern w:val="0"/>
                <w:sz w:val="21"/>
                <w:szCs w:val="21"/>
              </w:rPr>
            </w:pPr>
            <w:r>
              <w:rPr>
                <w:rFonts w:hint="eastAsia" w:ascii="宋体" w:hAnsi="宋体" w:cs="宋体"/>
                <w:color w:val="auto"/>
                <w:kern w:val="0"/>
                <w:sz w:val="21"/>
                <w:szCs w:val="21"/>
              </w:rPr>
              <w:t>磋商有效期</w:t>
            </w:r>
          </w:p>
        </w:tc>
        <w:tc>
          <w:tcPr>
            <w:tcW w:w="5409" w:type="dxa"/>
            <w:vAlign w:val="center"/>
          </w:tcPr>
          <w:p w14:paraId="57B65367">
            <w:pPr>
              <w:rPr>
                <w:rFonts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w:t>
            </w:r>
            <w:r>
              <w:rPr>
                <w:rFonts w:ascii="宋体" w:hAnsi="宋体" w:cs="宋体"/>
                <w:color w:val="auto"/>
                <w:kern w:val="0"/>
                <w:sz w:val="21"/>
                <w:szCs w:val="21"/>
              </w:rPr>
              <w:t>90天。</w:t>
            </w:r>
          </w:p>
        </w:tc>
      </w:tr>
    </w:tbl>
    <w:p w14:paraId="724FF25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318FC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9EA38A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（五）在磋商过程中磋商的任何一方不得向他人透露与磋商有关的服务资料、价格或其他信息。</w:t>
      </w:r>
    </w:p>
    <w:p w14:paraId="76E4AFF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515631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（七）供应商在磋商时作出的所有书面承诺须由法定代表人（或其授权代表）或自然人（供应商为自然人）签署。</w:t>
      </w:r>
    </w:p>
    <w:p w14:paraId="288A5D3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1027B1C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（九）磋商小组采用综合评分法对提交最后报价的供应商的响应文件和最后报价（含有效书面承诺）进行综合评分。</w:t>
      </w:r>
      <w:r>
        <w:rPr>
          <w:rFonts w:hint="eastAsia" w:ascii="宋体" w:hAnsi="宋体" w:cs="宋体"/>
          <w:color w:val="auto"/>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w:t>
      </w:r>
      <w:r>
        <w:rPr>
          <w:rFonts w:ascii="宋体" w:hAnsi="宋体" w:cs="宋体"/>
          <w:color w:val="auto"/>
          <w:kern w:val="0"/>
          <w:sz w:val="24"/>
          <w:szCs w:val="24"/>
        </w:rPr>
        <w:t>100分</w:t>
      </w:r>
      <w:r>
        <w:rPr>
          <w:rFonts w:hint="eastAsia" w:ascii="宋体" w:hAnsi="宋体" w:cs="宋体"/>
          <w:color w:val="auto"/>
          <w:sz w:val="24"/>
          <w:szCs w:val="24"/>
        </w:rPr>
        <w:t>。</w:t>
      </w:r>
    </w:p>
    <w:p w14:paraId="06C712F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（十）磋商小组各成员独立对每个有效响应（通过资格性审查、</w:t>
      </w:r>
      <w:r>
        <w:rPr>
          <w:rFonts w:hint="eastAsia" w:ascii="宋体" w:hAnsi="宋体" w:cs="宋体"/>
          <w:color w:val="auto"/>
          <w:kern w:val="0"/>
          <w:sz w:val="24"/>
          <w:szCs w:val="24"/>
        </w:rPr>
        <w:t>符合性审查的供应商</w:t>
      </w:r>
      <w:r>
        <w:rPr>
          <w:rFonts w:hint="eastAsia" w:ascii="宋体" w:hAnsi="宋体" w:cs="宋体"/>
          <w:color w:val="auto"/>
          <w:sz w:val="24"/>
          <w:szCs w:val="24"/>
        </w:rPr>
        <w:t>）的文件进行评价、打分，然后汇总每个供应商每项评分因素的得分，并根据综合评分情况按照评审得分由高到低顺序推荐</w:t>
      </w:r>
      <w:r>
        <w:rPr>
          <w:rFonts w:ascii="宋体" w:hAnsi="宋体" w:cs="宋体"/>
          <w:color w:val="auto"/>
          <w:sz w:val="24"/>
          <w:szCs w:val="24"/>
        </w:rPr>
        <w:t>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0分的供应商成为成交候选供应商，应在</w:t>
      </w:r>
      <w:r>
        <w:rPr>
          <w:rFonts w:hint="eastAsia" w:ascii="宋体" w:hAnsi="宋体" w:cs="宋体"/>
          <w:color w:val="auto"/>
          <w:kern w:val="0"/>
          <w:sz w:val="24"/>
          <w:szCs w:val="24"/>
        </w:rPr>
        <w:t>竞争性磋商文件</w:t>
      </w:r>
      <w:r>
        <w:rPr>
          <w:rFonts w:hint="eastAsia" w:ascii="宋体" w:hAnsi="宋体" w:cs="宋体"/>
          <w:color w:val="auto"/>
          <w:sz w:val="24"/>
          <w:szCs w:val="24"/>
        </w:rPr>
        <w:t>中对该种情况的处理方式予以明确。）</w:t>
      </w:r>
    </w:p>
    <w:p w14:paraId="1DEAF4DE">
      <w:pPr>
        <w:pStyle w:val="4"/>
        <w:spacing w:before="0" w:after="0" w:line="440" w:lineRule="exact"/>
        <w:rPr>
          <w:rFonts w:hint="eastAsia" w:ascii="宋体" w:hAnsi="宋体" w:eastAsia="宋体" w:cs="宋体"/>
          <w:b w:val="0"/>
          <w:color w:val="auto"/>
          <w:sz w:val="24"/>
          <w:szCs w:val="24"/>
          <w:lang w:eastAsia="zh-CN"/>
        </w:rPr>
      </w:pPr>
      <w:bookmarkStart w:id="132" w:name="_Toc21379"/>
      <w:bookmarkStart w:id="133" w:name="_Toc12008"/>
      <w:bookmarkStart w:id="134" w:name="_Toc342913394"/>
      <w:bookmarkStart w:id="135" w:name="_Toc102227320"/>
      <w:r>
        <w:rPr>
          <w:rFonts w:hint="eastAsia" w:ascii="宋体" w:hAnsi="宋体" w:cs="宋体"/>
          <w:b w:val="0"/>
          <w:color w:val="auto"/>
          <w:sz w:val="24"/>
          <w:szCs w:val="24"/>
        </w:rPr>
        <w:t>二、评审标准</w:t>
      </w:r>
      <w:bookmarkEnd w:id="132"/>
      <w:r>
        <w:rPr>
          <w:rFonts w:hint="eastAsia" w:ascii="宋体" w:hAnsi="宋体" w:cs="宋体"/>
          <w:b w:val="0"/>
          <w:color w:val="auto"/>
          <w:sz w:val="24"/>
          <w:szCs w:val="24"/>
          <w:lang w:eastAsia="zh-CN"/>
        </w:rPr>
        <w:t>（</w:t>
      </w:r>
      <w:r>
        <w:rPr>
          <w:rFonts w:hint="eastAsia" w:ascii="宋体" w:hAnsi="宋体" w:cs="宋体"/>
          <w:b w:val="0"/>
          <w:color w:val="auto"/>
          <w:sz w:val="24"/>
          <w:szCs w:val="24"/>
          <w:lang w:val="en-US" w:eastAsia="zh-CN"/>
        </w:rPr>
        <w:t>适用于包1</w:t>
      </w:r>
      <w:r>
        <w:rPr>
          <w:rFonts w:hint="eastAsia" w:ascii="微软雅黑" w:hAnsi="微软雅黑" w:eastAsia="微软雅黑" w:cs="微软雅黑"/>
          <w:b w:val="0"/>
          <w:color w:val="auto"/>
          <w:sz w:val="24"/>
          <w:szCs w:val="24"/>
          <w:lang w:val="en-US" w:eastAsia="zh-CN"/>
        </w:rPr>
        <w:t>～</w:t>
      </w:r>
      <w:r>
        <w:rPr>
          <w:rFonts w:hint="eastAsia" w:ascii="宋体" w:hAnsi="宋体" w:cs="宋体"/>
          <w:b w:val="0"/>
          <w:color w:val="auto"/>
          <w:sz w:val="24"/>
          <w:szCs w:val="24"/>
          <w:lang w:val="en-US" w:eastAsia="zh-CN"/>
        </w:rPr>
        <w:t>包5</w:t>
      </w:r>
      <w:r>
        <w:rPr>
          <w:rFonts w:hint="eastAsia" w:ascii="宋体" w:hAnsi="宋体" w:cs="宋体"/>
          <w:b w:val="0"/>
          <w:color w:val="auto"/>
          <w:sz w:val="24"/>
          <w:szCs w:val="24"/>
          <w:lang w:eastAsia="zh-CN"/>
        </w:rPr>
        <w:t>）</w:t>
      </w:r>
      <w:bookmarkEnd w:id="133"/>
    </w:p>
    <w:tbl>
      <w:tblPr>
        <w:tblStyle w:val="59"/>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36"/>
        <w:gridCol w:w="688"/>
        <w:gridCol w:w="5361"/>
        <w:gridCol w:w="1995"/>
      </w:tblGrid>
      <w:tr w14:paraId="3888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9259563">
            <w:pPr>
              <w:snapToGrid w:val="0"/>
              <w:spacing w:line="400" w:lineRule="exact"/>
              <w:rPr>
                <w:rFonts w:ascii="宋体" w:hAnsi="宋体" w:cs="宋体"/>
                <w:b/>
                <w:bCs/>
                <w:color w:val="auto"/>
                <w:sz w:val="24"/>
                <w:szCs w:val="24"/>
              </w:rPr>
            </w:pPr>
            <w:r>
              <w:rPr>
                <w:rFonts w:hint="eastAsia" w:ascii="宋体" w:hAnsi="宋体" w:cs="宋体"/>
                <w:b/>
                <w:bCs/>
                <w:color w:val="auto"/>
                <w:sz w:val="24"/>
                <w:szCs w:val="24"/>
              </w:rPr>
              <w:t>序号</w:t>
            </w:r>
          </w:p>
        </w:tc>
        <w:tc>
          <w:tcPr>
            <w:tcW w:w="1134" w:type="dxa"/>
            <w:vAlign w:val="center"/>
          </w:tcPr>
          <w:p w14:paraId="446A16CB">
            <w:pPr>
              <w:snapToGrid w:val="0"/>
              <w:spacing w:line="400" w:lineRule="exact"/>
              <w:rPr>
                <w:rFonts w:ascii="宋体" w:hAnsi="宋体" w:cs="宋体"/>
                <w:b/>
                <w:bCs/>
                <w:color w:val="auto"/>
                <w:sz w:val="24"/>
                <w:szCs w:val="24"/>
              </w:rPr>
            </w:pPr>
            <w:r>
              <w:rPr>
                <w:rFonts w:hint="eastAsia" w:ascii="宋体" w:hAnsi="宋体" w:cs="宋体"/>
                <w:b/>
                <w:bCs/>
                <w:color w:val="auto"/>
                <w:sz w:val="24"/>
                <w:szCs w:val="24"/>
              </w:rPr>
              <w:t>评分因素及权值</w:t>
            </w:r>
          </w:p>
        </w:tc>
        <w:tc>
          <w:tcPr>
            <w:tcW w:w="724" w:type="dxa"/>
            <w:gridSpan w:val="2"/>
            <w:vAlign w:val="center"/>
          </w:tcPr>
          <w:p w14:paraId="4A76D565">
            <w:pPr>
              <w:snapToGrid w:val="0"/>
              <w:spacing w:line="400" w:lineRule="exact"/>
              <w:rPr>
                <w:rFonts w:ascii="宋体" w:hAnsi="宋体" w:cs="宋体"/>
                <w:b/>
                <w:bCs/>
                <w:color w:val="auto"/>
                <w:sz w:val="24"/>
                <w:szCs w:val="24"/>
              </w:rPr>
            </w:pPr>
            <w:r>
              <w:rPr>
                <w:rFonts w:hint="eastAsia" w:ascii="宋体" w:hAnsi="宋体" w:cs="宋体"/>
                <w:b/>
                <w:bCs/>
                <w:color w:val="auto"/>
                <w:sz w:val="24"/>
                <w:szCs w:val="24"/>
              </w:rPr>
              <w:t>分值</w:t>
            </w:r>
          </w:p>
        </w:tc>
        <w:tc>
          <w:tcPr>
            <w:tcW w:w="5361" w:type="dxa"/>
            <w:vAlign w:val="center"/>
          </w:tcPr>
          <w:p w14:paraId="1D6FB57B">
            <w:pPr>
              <w:snapToGrid w:val="0"/>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评分标准</w:t>
            </w:r>
          </w:p>
        </w:tc>
        <w:tc>
          <w:tcPr>
            <w:tcW w:w="1995" w:type="dxa"/>
            <w:vAlign w:val="center"/>
          </w:tcPr>
          <w:p w14:paraId="72F0703B">
            <w:pPr>
              <w:snapToGrid w:val="0"/>
              <w:spacing w:line="400" w:lineRule="exact"/>
              <w:rPr>
                <w:rFonts w:ascii="宋体" w:hAnsi="宋体" w:cs="宋体"/>
                <w:b/>
                <w:bCs/>
                <w:color w:val="auto"/>
                <w:sz w:val="24"/>
                <w:szCs w:val="24"/>
              </w:rPr>
            </w:pPr>
            <w:r>
              <w:rPr>
                <w:rFonts w:hint="eastAsia" w:ascii="宋体" w:hAnsi="宋体" w:cs="宋体"/>
                <w:b/>
                <w:bCs/>
                <w:color w:val="auto"/>
                <w:sz w:val="24"/>
                <w:szCs w:val="24"/>
              </w:rPr>
              <w:t>备注</w:t>
            </w:r>
          </w:p>
        </w:tc>
      </w:tr>
      <w:tr w14:paraId="5303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jc w:val="center"/>
        </w:trPr>
        <w:tc>
          <w:tcPr>
            <w:tcW w:w="675" w:type="dxa"/>
            <w:vAlign w:val="center"/>
          </w:tcPr>
          <w:p w14:paraId="142C825A">
            <w:pPr>
              <w:snapToGrid w:val="0"/>
              <w:spacing w:line="400" w:lineRule="exact"/>
              <w:rPr>
                <w:rFonts w:ascii="宋体" w:hAnsi="宋体" w:cs="宋体"/>
                <w:b/>
                <w:bCs/>
                <w:color w:val="auto"/>
                <w:sz w:val="21"/>
                <w:szCs w:val="21"/>
              </w:rPr>
            </w:pPr>
            <w:r>
              <w:rPr>
                <w:rFonts w:hint="eastAsia" w:ascii="宋体" w:hAnsi="宋体" w:cs="宋体"/>
                <w:b/>
                <w:bCs/>
                <w:color w:val="auto"/>
                <w:sz w:val="21"/>
                <w:szCs w:val="21"/>
              </w:rPr>
              <w:t>1</w:t>
            </w:r>
          </w:p>
        </w:tc>
        <w:tc>
          <w:tcPr>
            <w:tcW w:w="1134" w:type="dxa"/>
            <w:vAlign w:val="center"/>
          </w:tcPr>
          <w:p w14:paraId="780BB9CE">
            <w:pPr>
              <w:snapToGrid w:val="0"/>
              <w:spacing w:line="400" w:lineRule="exact"/>
              <w:rPr>
                <w:rFonts w:ascii="宋体" w:hAnsi="宋体" w:cs="宋体"/>
                <w:b/>
                <w:bCs/>
                <w:color w:val="auto"/>
                <w:sz w:val="21"/>
                <w:szCs w:val="21"/>
              </w:rPr>
            </w:pPr>
            <w:r>
              <w:rPr>
                <w:rFonts w:hint="eastAsia" w:ascii="宋体" w:hAnsi="宋体" w:cs="宋体"/>
                <w:b/>
                <w:bCs/>
                <w:color w:val="auto"/>
                <w:sz w:val="21"/>
                <w:szCs w:val="21"/>
              </w:rPr>
              <w:t>考核费（</w:t>
            </w:r>
            <w:r>
              <w:rPr>
                <w:rFonts w:ascii="宋体" w:hAnsi="宋体" w:cs="宋体"/>
                <w:b/>
                <w:bCs/>
                <w:color w:val="auto"/>
                <w:sz w:val="21"/>
                <w:szCs w:val="21"/>
              </w:rPr>
              <w:t>75%</w:t>
            </w:r>
            <w:r>
              <w:rPr>
                <w:rFonts w:hint="eastAsia" w:ascii="宋体" w:hAnsi="宋体" w:cs="宋体"/>
                <w:b/>
                <w:bCs/>
                <w:color w:val="auto"/>
                <w:sz w:val="21"/>
                <w:szCs w:val="21"/>
              </w:rPr>
              <w:t>）</w:t>
            </w:r>
          </w:p>
        </w:tc>
        <w:tc>
          <w:tcPr>
            <w:tcW w:w="724" w:type="dxa"/>
            <w:gridSpan w:val="2"/>
            <w:vAlign w:val="center"/>
          </w:tcPr>
          <w:p w14:paraId="01DE318D">
            <w:pPr>
              <w:widowControl/>
              <w:jc w:val="left"/>
              <w:rPr>
                <w:rFonts w:ascii="宋体" w:hAnsi="宋体" w:cs="宋体"/>
                <w:b/>
                <w:bCs/>
                <w:color w:val="auto"/>
                <w:sz w:val="21"/>
                <w:szCs w:val="21"/>
              </w:rPr>
            </w:pPr>
          </w:p>
          <w:p w14:paraId="3B31C8A2">
            <w:pPr>
              <w:snapToGrid w:val="0"/>
              <w:spacing w:line="400" w:lineRule="exact"/>
              <w:rPr>
                <w:rFonts w:ascii="宋体" w:hAnsi="宋体" w:cs="宋体"/>
                <w:b/>
                <w:bCs/>
                <w:color w:val="auto"/>
                <w:sz w:val="21"/>
                <w:szCs w:val="21"/>
              </w:rPr>
            </w:pPr>
            <w:r>
              <w:rPr>
                <w:rFonts w:ascii="宋体" w:hAnsi="宋体" w:cs="宋体"/>
                <w:b/>
                <w:bCs/>
                <w:color w:val="auto"/>
                <w:sz w:val="21"/>
                <w:szCs w:val="21"/>
              </w:rPr>
              <w:t>75</w:t>
            </w:r>
            <w:r>
              <w:rPr>
                <w:rFonts w:hint="eastAsia" w:ascii="宋体" w:hAnsi="宋体" w:cs="宋体"/>
                <w:b/>
                <w:bCs/>
                <w:color w:val="auto"/>
                <w:sz w:val="21"/>
                <w:szCs w:val="21"/>
              </w:rPr>
              <w:t>分</w:t>
            </w:r>
          </w:p>
        </w:tc>
        <w:tc>
          <w:tcPr>
            <w:tcW w:w="5361" w:type="dxa"/>
            <w:vAlign w:val="center"/>
          </w:tcPr>
          <w:p w14:paraId="14D181ED">
            <w:pPr>
              <w:snapToGrid w:val="0"/>
              <w:spacing w:line="240" w:lineRule="exact"/>
              <w:ind w:firstLine="420" w:firstLineChars="200"/>
              <w:rPr>
                <w:rFonts w:ascii="宋体" w:hAnsi="宋体" w:cs="宋体"/>
                <w:bCs/>
                <w:color w:val="auto"/>
                <w:sz w:val="21"/>
                <w:szCs w:val="21"/>
              </w:rPr>
            </w:pPr>
            <w:r>
              <w:rPr>
                <w:rFonts w:hint="eastAsia" w:ascii="宋体" w:hAnsi="宋体" w:cs="宋体"/>
                <w:bCs/>
                <w:color w:val="auto"/>
                <w:sz w:val="21"/>
                <w:szCs w:val="21"/>
              </w:rPr>
              <w:t>本项目按营业收入的一定比例暂扣考核费，考核费报价为</w:t>
            </w:r>
            <w:r>
              <w:rPr>
                <w:rFonts w:ascii="宋体" w:hAnsi="宋体" w:cs="宋体"/>
                <w:bCs/>
                <w:color w:val="auto"/>
                <w:sz w:val="21"/>
                <w:szCs w:val="21"/>
              </w:rPr>
              <w:t>:</w:t>
            </w:r>
            <w:r>
              <w:rPr>
                <w:rFonts w:hint="eastAsia" w:ascii="宋体" w:hAnsi="宋体" w:cs="宋体"/>
                <w:bCs/>
                <w:color w:val="auto"/>
                <w:sz w:val="21"/>
                <w:szCs w:val="21"/>
              </w:rPr>
              <w:t>按百分比报价。</w:t>
            </w:r>
          </w:p>
          <w:p w14:paraId="472024F6">
            <w:pPr>
              <w:snapToGrid w:val="0"/>
              <w:spacing w:line="240" w:lineRule="exact"/>
              <w:rPr>
                <w:rFonts w:ascii="宋体" w:hAnsi="宋体" w:cs="宋体"/>
                <w:bCs/>
                <w:color w:val="auto"/>
                <w:sz w:val="21"/>
                <w:szCs w:val="21"/>
              </w:rPr>
            </w:pPr>
            <w:r>
              <w:rPr>
                <w:rFonts w:hint="eastAsia" w:ascii="宋体" w:hAnsi="宋体" w:cs="宋体"/>
                <w:bCs/>
                <w:color w:val="auto"/>
                <w:sz w:val="21"/>
                <w:szCs w:val="21"/>
              </w:rPr>
              <w:t>评分规则说明：</w:t>
            </w:r>
            <w:r>
              <w:rPr>
                <w:rFonts w:ascii="宋体" w:hAnsi="宋体" w:cs="宋体"/>
                <w:bCs/>
                <w:color w:val="auto"/>
                <w:sz w:val="21"/>
                <w:szCs w:val="21"/>
              </w:rPr>
              <w:t xml:space="preserve">  </w:t>
            </w:r>
          </w:p>
          <w:p w14:paraId="5CA3176C">
            <w:pPr>
              <w:snapToGrid w:val="0"/>
              <w:spacing w:line="240" w:lineRule="exact"/>
              <w:ind w:firstLine="420" w:firstLineChars="200"/>
              <w:rPr>
                <w:rFonts w:ascii="宋体" w:hAnsi="宋体" w:cs="宋体"/>
                <w:bCs/>
                <w:color w:val="auto"/>
                <w:sz w:val="21"/>
                <w:szCs w:val="21"/>
              </w:rPr>
            </w:pPr>
            <w:r>
              <w:rPr>
                <w:rFonts w:hint="eastAsia" w:ascii="宋体" w:hAnsi="宋体" w:cs="宋体"/>
                <w:bCs/>
                <w:color w:val="auto"/>
                <w:sz w:val="21"/>
                <w:szCs w:val="21"/>
              </w:rPr>
              <w:t>满足资格性、符合性要求且最后报价最高的供应商的价格为磋商基准价，价格评分采用反向计分法，报价越高得分越高。最低报价得</w:t>
            </w:r>
            <w:r>
              <w:rPr>
                <w:rFonts w:ascii="宋体" w:hAnsi="宋体" w:cs="宋体"/>
                <w:bCs/>
                <w:color w:val="auto"/>
                <w:sz w:val="21"/>
                <w:szCs w:val="21"/>
              </w:rPr>
              <w:t>60</w:t>
            </w:r>
            <w:r>
              <w:rPr>
                <w:rFonts w:hint="eastAsia" w:ascii="宋体" w:hAnsi="宋体" w:cs="宋体"/>
                <w:bCs/>
                <w:color w:val="auto"/>
                <w:sz w:val="21"/>
                <w:szCs w:val="21"/>
              </w:rPr>
              <w:t>分，最高报价得</w:t>
            </w:r>
            <w:r>
              <w:rPr>
                <w:rFonts w:ascii="宋体" w:hAnsi="宋体" w:cs="宋体"/>
                <w:bCs/>
                <w:color w:val="auto"/>
                <w:sz w:val="21"/>
                <w:szCs w:val="21"/>
              </w:rPr>
              <w:t>75</w:t>
            </w:r>
            <w:r>
              <w:rPr>
                <w:rFonts w:hint="eastAsia" w:ascii="宋体" w:hAnsi="宋体" w:cs="宋体"/>
                <w:bCs/>
                <w:color w:val="auto"/>
                <w:sz w:val="21"/>
                <w:szCs w:val="21"/>
              </w:rPr>
              <w:t>分，中间报价按线性插值法计算。</w:t>
            </w:r>
          </w:p>
          <w:p w14:paraId="0ABA3A8A">
            <w:pPr>
              <w:snapToGrid w:val="0"/>
              <w:spacing w:line="240" w:lineRule="exact"/>
              <w:rPr>
                <w:rFonts w:ascii="宋体" w:hAnsi="宋体" w:cs="宋体"/>
                <w:bCs/>
                <w:color w:val="auto"/>
                <w:sz w:val="21"/>
                <w:szCs w:val="21"/>
              </w:rPr>
            </w:pPr>
            <w:r>
              <w:rPr>
                <w:rFonts w:hint="eastAsia" w:ascii="宋体" w:hAnsi="宋体" w:cs="宋体"/>
                <w:bCs/>
                <w:color w:val="auto"/>
                <w:sz w:val="21"/>
                <w:szCs w:val="21"/>
              </w:rPr>
              <w:t>价格得分计算公式：</w:t>
            </w:r>
            <w:r>
              <w:rPr>
                <w:rFonts w:ascii="宋体" w:hAnsi="宋体" w:cs="宋体"/>
                <w:bCs/>
                <w:color w:val="auto"/>
                <w:sz w:val="21"/>
                <w:szCs w:val="21"/>
              </w:rPr>
              <w:t xml:space="preserve">  </w:t>
            </w:r>
          </w:p>
          <w:p w14:paraId="01C80966">
            <w:pPr>
              <w:snapToGrid w:val="0"/>
              <w:spacing w:line="240" w:lineRule="exact"/>
              <w:rPr>
                <w:rFonts w:ascii="宋体" w:hAnsi="宋体" w:cs="宋体"/>
                <w:bCs/>
                <w:color w:val="auto"/>
                <w:sz w:val="21"/>
                <w:szCs w:val="21"/>
              </w:rPr>
            </w:pPr>
            <w:r>
              <w:rPr>
                <w:rFonts w:hint="eastAsia" w:ascii="宋体" w:hAnsi="宋体" w:cs="宋体"/>
                <w:bCs/>
                <w:color w:val="auto"/>
                <w:sz w:val="21"/>
                <w:szCs w:val="21"/>
              </w:rPr>
              <w:t>价格得分</w:t>
            </w:r>
            <w:r>
              <w:rPr>
                <w:rFonts w:ascii="宋体" w:hAnsi="宋体" w:cs="宋体"/>
                <w:bCs/>
                <w:color w:val="auto"/>
                <w:sz w:val="21"/>
                <w:szCs w:val="21"/>
              </w:rPr>
              <w:t>=60+15</w:t>
            </w:r>
            <w:r>
              <w:rPr>
                <w:rFonts w:hint="eastAsia" w:ascii="宋体" w:hAnsi="宋体" w:cs="宋体"/>
                <w:bCs/>
                <w:color w:val="auto"/>
                <w:sz w:val="21"/>
                <w:szCs w:val="21"/>
              </w:rPr>
              <w:t>×</w:t>
            </w:r>
            <w:r>
              <w:rPr>
                <w:rFonts w:ascii="宋体" w:hAnsi="宋体" w:cs="宋体"/>
                <w:bCs/>
                <w:color w:val="auto"/>
                <w:sz w:val="21"/>
                <w:szCs w:val="21"/>
              </w:rPr>
              <w:t>[(</w:t>
            </w:r>
            <w:r>
              <w:rPr>
                <w:rFonts w:hint="eastAsia" w:ascii="宋体" w:hAnsi="宋体" w:cs="宋体"/>
                <w:bCs/>
                <w:color w:val="auto"/>
                <w:sz w:val="21"/>
                <w:szCs w:val="21"/>
              </w:rPr>
              <w:t>投标报价</w:t>
            </w:r>
            <w:r>
              <w:rPr>
                <w:rFonts w:ascii="宋体" w:hAnsi="宋体" w:cs="宋体"/>
                <w:bCs/>
                <w:color w:val="auto"/>
                <w:sz w:val="21"/>
                <w:szCs w:val="21"/>
              </w:rPr>
              <w:t>-</w:t>
            </w:r>
            <w:r>
              <w:rPr>
                <w:rFonts w:hint="eastAsia" w:ascii="宋体" w:hAnsi="宋体" w:cs="宋体"/>
                <w:bCs/>
                <w:color w:val="auto"/>
                <w:sz w:val="21"/>
                <w:szCs w:val="21"/>
              </w:rPr>
              <w:t>最低报价</w:t>
            </w:r>
            <w:r>
              <w:rPr>
                <w:rFonts w:ascii="宋体" w:hAnsi="宋体" w:cs="宋体"/>
                <w:bCs/>
                <w:color w:val="auto"/>
                <w:sz w:val="21"/>
                <w:szCs w:val="21"/>
              </w:rPr>
              <w:t>)/(</w:t>
            </w:r>
            <w:r>
              <w:rPr>
                <w:rFonts w:hint="eastAsia" w:ascii="宋体" w:hAnsi="宋体" w:cs="宋体"/>
                <w:bCs/>
                <w:color w:val="auto"/>
                <w:sz w:val="21"/>
                <w:szCs w:val="21"/>
              </w:rPr>
              <w:t>最高报价</w:t>
            </w:r>
            <w:r>
              <w:rPr>
                <w:rFonts w:ascii="宋体" w:hAnsi="宋体" w:cs="宋体"/>
                <w:bCs/>
                <w:color w:val="auto"/>
                <w:sz w:val="21"/>
                <w:szCs w:val="21"/>
              </w:rPr>
              <w:t>-</w:t>
            </w:r>
            <w:r>
              <w:rPr>
                <w:rFonts w:hint="eastAsia" w:ascii="宋体" w:hAnsi="宋体" w:cs="宋体"/>
                <w:bCs/>
                <w:color w:val="auto"/>
                <w:sz w:val="21"/>
                <w:szCs w:val="21"/>
              </w:rPr>
              <w:t>最低报价</w:t>
            </w:r>
            <w:r>
              <w:rPr>
                <w:rFonts w:ascii="宋体" w:hAnsi="宋体" w:cs="宋体"/>
                <w:bCs/>
                <w:color w:val="auto"/>
                <w:sz w:val="21"/>
                <w:szCs w:val="21"/>
              </w:rPr>
              <w:t xml:space="preserve">)] </w:t>
            </w:r>
          </w:p>
          <w:p w14:paraId="54E38019">
            <w:pPr>
              <w:snapToGrid w:val="0"/>
              <w:spacing w:line="240" w:lineRule="exact"/>
              <w:rPr>
                <w:rFonts w:ascii="宋体" w:hAnsi="宋体" w:cs="宋体"/>
                <w:bCs/>
                <w:color w:val="auto"/>
                <w:sz w:val="21"/>
                <w:szCs w:val="21"/>
              </w:rPr>
            </w:pPr>
            <w:r>
              <w:rPr>
                <w:rFonts w:ascii="宋体" w:hAnsi="宋体" w:cs="宋体"/>
                <w:bCs/>
                <w:color w:val="auto"/>
                <w:sz w:val="21"/>
                <w:szCs w:val="21"/>
              </w:rPr>
              <w:t>1.</w:t>
            </w:r>
            <w:r>
              <w:rPr>
                <w:rFonts w:hint="eastAsia" w:ascii="宋体" w:hAnsi="宋体" w:cs="宋体"/>
                <w:bCs/>
                <w:color w:val="auto"/>
                <w:sz w:val="21"/>
                <w:szCs w:val="21"/>
              </w:rPr>
              <w:t>异常处理：所有报价相同时：均得</w:t>
            </w:r>
            <w:r>
              <w:rPr>
                <w:rFonts w:ascii="宋体" w:hAnsi="宋体" w:cs="宋体"/>
                <w:bCs/>
                <w:color w:val="auto"/>
                <w:sz w:val="21"/>
                <w:szCs w:val="21"/>
              </w:rPr>
              <w:t>67.5</w:t>
            </w:r>
            <w:r>
              <w:rPr>
                <w:rFonts w:hint="eastAsia" w:ascii="宋体" w:hAnsi="宋体" w:cs="宋体"/>
                <w:bCs/>
                <w:color w:val="auto"/>
                <w:sz w:val="21"/>
                <w:szCs w:val="21"/>
              </w:rPr>
              <w:t>分（区间中值）</w:t>
            </w:r>
            <w:r>
              <w:rPr>
                <w:rFonts w:ascii="宋体" w:hAnsi="宋体" w:cs="宋体"/>
                <w:bCs/>
                <w:color w:val="auto"/>
                <w:sz w:val="21"/>
                <w:szCs w:val="21"/>
              </w:rPr>
              <w:t xml:space="preserve">  </w:t>
            </w:r>
          </w:p>
          <w:p w14:paraId="3A189D4B">
            <w:pPr>
              <w:snapToGrid w:val="0"/>
              <w:spacing w:line="240" w:lineRule="exact"/>
              <w:rPr>
                <w:rFonts w:ascii="宋体" w:hAnsi="宋体" w:cs="宋体"/>
                <w:bCs/>
                <w:color w:val="auto"/>
                <w:sz w:val="21"/>
                <w:szCs w:val="21"/>
              </w:rPr>
            </w:pPr>
            <w:r>
              <w:rPr>
                <w:rFonts w:ascii="宋体" w:hAnsi="宋体" w:cs="宋体"/>
                <w:bCs/>
                <w:color w:val="auto"/>
                <w:sz w:val="21"/>
                <w:szCs w:val="21"/>
              </w:rPr>
              <w:t>2.</w:t>
            </w:r>
            <w:r>
              <w:rPr>
                <w:rFonts w:hint="eastAsia" w:ascii="宋体" w:hAnsi="宋体" w:cs="宋体"/>
                <w:bCs/>
                <w:color w:val="auto"/>
                <w:sz w:val="21"/>
                <w:szCs w:val="21"/>
              </w:rPr>
              <w:t>数据修正：计算结果保留两位小数，小数点后第三位四舍五入。</w:t>
            </w:r>
            <w:r>
              <w:rPr>
                <w:rFonts w:ascii="宋体" w:hAnsi="宋体" w:cs="宋体"/>
                <w:bCs/>
                <w:color w:val="auto"/>
                <w:sz w:val="21"/>
                <w:szCs w:val="21"/>
              </w:rPr>
              <w:t xml:space="preserve"> </w:t>
            </w:r>
          </w:p>
          <w:p w14:paraId="668CF97D">
            <w:pPr>
              <w:snapToGrid w:val="0"/>
              <w:spacing w:line="240" w:lineRule="exact"/>
              <w:rPr>
                <w:rFonts w:hint="eastAsia" w:ascii="宋体" w:hAnsi="宋体" w:eastAsia="宋体" w:cs="宋体"/>
                <w:bCs/>
                <w:color w:val="auto"/>
                <w:sz w:val="21"/>
                <w:szCs w:val="21"/>
                <w:lang w:eastAsia="zh-CN"/>
              </w:rPr>
            </w:pPr>
            <w:r>
              <w:rPr>
                <w:rFonts w:ascii="宋体" w:hAnsi="宋体" w:cs="宋体"/>
                <w:bCs/>
                <w:color w:val="auto"/>
                <w:sz w:val="21"/>
                <w:szCs w:val="21"/>
              </w:rPr>
              <w:t>3.</w:t>
            </w:r>
            <w:r>
              <w:rPr>
                <w:rFonts w:hint="eastAsia" w:ascii="宋体" w:hAnsi="宋体" w:cs="宋体"/>
                <w:bCs/>
                <w:color w:val="auto"/>
                <w:sz w:val="21"/>
                <w:szCs w:val="21"/>
              </w:rPr>
              <w:t>举例：假定</w:t>
            </w:r>
            <w:r>
              <w:rPr>
                <w:rFonts w:ascii="宋体" w:hAnsi="宋体" w:cs="宋体"/>
                <w:bCs/>
                <w:color w:val="auto"/>
                <w:sz w:val="21"/>
                <w:szCs w:val="21"/>
              </w:rPr>
              <w:t>4</w:t>
            </w:r>
            <w:r>
              <w:rPr>
                <w:rFonts w:hint="eastAsia" w:ascii="宋体" w:hAnsi="宋体" w:cs="宋体"/>
                <w:bCs/>
                <w:color w:val="auto"/>
                <w:sz w:val="21"/>
                <w:szCs w:val="21"/>
              </w:rPr>
              <w:t>人投标，投标人</w:t>
            </w:r>
            <w:r>
              <w:rPr>
                <w:rFonts w:ascii="宋体" w:hAnsi="宋体" w:cs="宋体"/>
                <w:bCs/>
                <w:color w:val="auto"/>
                <w:sz w:val="21"/>
                <w:szCs w:val="21"/>
              </w:rPr>
              <w:t>1</w:t>
            </w:r>
            <w:r>
              <w:rPr>
                <w:rFonts w:hint="eastAsia" w:ascii="宋体" w:hAnsi="宋体" w:cs="宋体"/>
                <w:bCs/>
                <w:color w:val="auto"/>
                <w:sz w:val="21"/>
                <w:szCs w:val="21"/>
              </w:rPr>
              <w:t>报价</w:t>
            </w:r>
            <w:r>
              <w:rPr>
                <w:rFonts w:ascii="宋体" w:hAnsi="宋体" w:cs="宋体"/>
                <w:bCs/>
                <w:color w:val="auto"/>
                <w:sz w:val="21"/>
                <w:szCs w:val="21"/>
              </w:rPr>
              <w:t>8%</w:t>
            </w:r>
            <w:r>
              <w:rPr>
                <w:rFonts w:hint="eastAsia" w:ascii="宋体" w:hAnsi="宋体" w:cs="宋体"/>
                <w:bCs/>
                <w:color w:val="auto"/>
                <w:sz w:val="21"/>
                <w:szCs w:val="21"/>
              </w:rPr>
              <w:t>，投标人</w:t>
            </w:r>
            <w:r>
              <w:rPr>
                <w:rFonts w:ascii="宋体" w:hAnsi="宋体" w:cs="宋体"/>
                <w:bCs/>
                <w:color w:val="auto"/>
                <w:sz w:val="21"/>
                <w:szCs w:val="21"/>
              </w:rPr>
              <w:t>2</w:t>
            </w:r>
            <w:r>
              <w:rPr>
                <w:rFonts w:hint="eastAsia" w:ascii="宋体" w:hAnsi="宋体" w:cs="宋体"/>
                <w:bCs/>
                <w:color w:val="auto"/>
                <w:sz w:val="21"/>
                <w:szCs w:val="21"/>
              </w:rPr>
              <w:t>报价</w:t>
            </w:r>
            <w:r>
              <w:rPr>
                <w:rFonts w:ascii="宋体" w:hAnsi="宋体" w:cs="宋体"/>
                <w:bCs/>
                <w:color w:val="auto"/>
                <w:sz w:val="21"/>
                <w:szCs w:val="21"/>
              </w:rPr>
              <w:t>10%</w:t>
            </w:r>
            <w:r>
              <w:rPr>
                <w:rFonts w:hint="eastAsia" w:ascii="宋体" w:hAnsi="宋体" w:cs="宋体"/>
                <w:bCs/>
                <w:color w:val="auto"/>
                <w:sz w:val="21"/>
                <w:szCs w:val="21"/>
              </w:rPr>
              <w:t>，投标人</w:t>
            </w:r>
            <w:r>
              <w:rPr>
                <w:rFonts w:ascii="宋体" w:hAnsi="宋体" w:cs="宋体"/>
                <w:bCs/>
                <w:color w:val="auto"/>
                <w:sz w:val="21"/>
                <w:szCs w:val="21"/>
              </w:rPr>
              <w:t>3</w:t>
            </w:r>
            <w:r>
              <w:rPr>
                <w:rFonts w:hint="eastAsia" w:ascii="宋体" w:hAnsi="宋体" w:cs="宋体"/>
                <w:bCs/>
                <w:color w:val="auto"/>
                <w:sz w:val="21"/>
                <w:szCs w:val="21"/>
              </w:rPr>
              <w:t>报价</w:t>
            </w:r>
            <w:r>
              <w:rPr>
                <w:rFonts w:ascii="宋体" w:hAnsi="宋体" w:cs="宋体"/>
                <w:bCs/>
                <w:color w:val="auto"/>
                <w:sz w:val="21"/>
                <w:szCs w:val="21"/>
              </w:rPr>
              <w:t>12%</w:t>
            </w:r>
            <w:r>
              <w:rPr>
                <w:rFonts w:hint="eastAsia" w:ascii="宋体" w:hAnsi="宋体" w:cs="宋体"/>
                <w:bCs/>
                <w:color w:val="auto"/>
                <w:sz w:val="21"/>
                <w:szCs w:val="21"/>
              </w:rPr>
              <w:t>，投标人</w:t>
            </w:r>
            <w:r>
              <w:rPr>
                <w:rFonts w:ascii="宋体" w:hAnsi="宋体" w:cs="宋体"/>
                <w:bCs/>
                <w:color w:val="auto"/>
                <w:sz w:val="21"/>
                <w:szCs w:val="21"/>
              </w:rPr>
              <w:t>4</w:t>
            </w:r>
            <w:r>
              <w:rPr>
                <w:rFonts w:hint="eastAsia" w:ascii="宋体" w:hAnsi="宋体" w:cs="宋体"/>
                <w:bCs/>
                <w:color w:val="auto"/>
                <w:sz w:val="21"/>
                <w:szCs w:val="21"/>
              </w:rPr>
              <w:t>报价</w:t>
            </w:r>
            <w:r>
              <w:rPr>
                <w:rFonts w:ascii="宋体" w:hAnsi="宋体" w:cs="宋体"/>
                <w:bCs/>
                <w:color w:val="auto"/>
                <w:sz w:val="21"/>
                <w:szCs w:val="21"/>
              </w:rPr>
              <w:t>15%</w:t>
            </w:r>
            <w:r>
              <w:rPr>
                <w:rFonts w:hint="eastAsia" w:ascii="宋体" w:hAnsi="宋体" w:cs="宋体"/>
                <w:bCs/>
                <w:color w:val="auto"/>
                <w:sz w:val="21"/>
                <w:szCs w:val="21"/>
                <w:lang w:eastAsia="zh-CN"/>
              </w:rPr>
              <w:t>。</w:t>
            </w:r>
          </w:p>
          <w:p w14:paraId="7B1150C2">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投标人</w:t>
            </w:r>
            <w:r>
              <w:rPr>
                <w:rFonts w:ascii="宋体" w:hAnsi="宋体" w:cs="宋体"/>
                <w:bCs/>
                <w:color w:val="auto"/>
                <w:sz w:val="21"/>
                <w:szCs w:val="21"/>
              </w:rPr>
              <w:t>1</w:t>
            </w:r>
            <w:r>
              <w:rPr>
                <w:rFonts w:hint="eastAsia" w:ascii="宋体" w:hAnsi="宋体" w:cs="宋体"/>
                <w:bCs/>
                <w:color w:val="auto"/>
                <w:sz w:val="21"/>
                <w:szCs w:val="21"/>
              </w:rPr>
              <w:t>报价得分</w:t>
            </w:r>
            <w:r>
              <w:rPr>
                <w:rFonts w:ascii="宋体" w:hAnsi="宋体" w:cs="宋体"/>
                <w:bCs/>
                <w:color w:val="auto"/>
                <w:sz w:val="21"/>
                <w:szCs w:val="21"/>
              </w:rPr>
              <w:t>=60+15*[(8%-8%)/(15%-8%)]=60</w:t>
            </w:r>
            <w:r>
              <w:rPr>
                <w:rFonts w:hint="eastAsia" w:ascii="宋体" w:hAnsi="宋体" w:cs="宋体"/>
                <w:bCs/>
                <w:color w:val="auto"/>
                <w:sz w:val="21"/>
                <w:szCs w:val="21"/>
              </w:rPr>
              <w:t>分</w:t>
            </w:r>
          </w:p>
          <w:p w14:paraId="4E3FBA18">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投标人</w:t>
            </w:r>
            <w:r>
              <w:rPr>
                <w:rFonts w:ascii="宋体" w:hAnsi="宋体" w:cs="宋体"/>
                <w:bCs/>
                <w:color w:val="auto"/>
                <w:sz w:val="21"/>
                <w:szCs w:val="21"/>
              </w:rPr>
              <w:t>2</w:t>
            </w:r>
            <w:r>
              <w:rPr>
                <w:rFonts w:hint="eastAsia" w:ascii="宋体" w:hAnsi="宋体" w:cs="宋体"/>
                <w:bCs/>
                <w:color w:val="auto"/>
                <w:sz w:val="21"/>
                <w:szCs w:val="21"/>
              </w:rPr>
              <w:t>报价得分</w:t>
            </w:r>
            <w:r>
              <w:rPr>
                <w:rFonts w:ascii="宋体" w:hAnsi="宋体" w:cs="宋体"/>
                <w:bCs/>
                <w:color w:val="auto"/>
                <w:sz w:val="21"/>
                <w:szCs w:val="21"/>
              </w:rPr>
              <w:t>=60+15*[(10%-8%)/(15%-8%)]=64.29</w:t>
            </w:r>
            <w:r>
              <w:rPr>
                <w:rFonts w:hint="eastAsia" w:ascii="宋体" w:hAnsi="宋体" w:cs="宋体"/>
                <w:bCs/>
                <w:color w:val="auto"/>
                <w:sz w:val="21"/>
                <w:szCs w:val="21"/>
              </w:rPr>
              <w:t>分</w:t>
            </w:r>
          </w:p>
          <w:p w14:paraId="58E205C7">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投标人</w:t>
            </w:r>
            <w:r>
              <w:rPr>
                <w:rFonts w:ascii="宋体" w:hAnsi="宋体" w:cs="宋体"/>
                <w:bCs/>
                <w:color w:val="auto"/>
                <w:sz w:val="21"/>
                <w:szCs w:val="21"/>
              </w:rPr>
              <w:t>3</w:t>
            </w:r>
            <w:r>
              <w:rPr>
                <w:rFonts w:hint="eastAsia" w:ascii="宋体" w:hAnsi="宋体" w:cs="宋体"/>
                <w:bCs/>
                <w:color w:val="auto"/>
                <w:sz w:val="21"/>
                <w:szCs w:val="21"/>
              </w:rPr>
              <w:t>报价得分</w:t>
            </w:r>
            <w:r>
              <w:rPr>
                <w:rFonts w:ascii="宋体" w:hAnsi="宋体" w:cs="宋体"/>
                <w:bCs/>
                <w:color w:val="auto"/>
                <w:sz w:val="21"/>
                <w:szCs w:val="21"/>
              </w:rPr>
              <w:t>=60+15*[(12%-8%)/(15%-8%)]=68.57</w:t>
            </w:r>
            <w:r>
              <w:rPr>
                <w:rFonts w:hint="eastAsia" w:ascii="宋体" w:hAnsi="宋体" w:cs="宋体"/>
                <w:bCs/>
                <w:color w:val="auto"/>
                <w:sz w:val="21"/>
                <w:szCs w:val="21"/>
              </w:rPr>
              <w:t>分</w:t>
            </w:r>
          </w:p>
          <w:p w14:paraId="35FB7671">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投标人</w:t>
            </w:r>
            <w:r>
              <w:rPr>
                <w:rFonts w:ascii="宋体" w:hAnsi="宋体" w:cs="宋体"/>
                <w:bCs/>
                <w:color w:val="auto"/>
                <w:sz w:val="21"/>
                <w:szCs w:val="21"/>
              </w:rPr>
              <w:t>4</w:t>
            </w:r>
            <w:r>
              <w:rPr>
                <w:rFonts w:hint="eastAsia" w:ascii="宋体" w:hAnsi="宋体" w:cs="宋体"/>
                <w:bCs/>
                <w:color w:val="auto"/>
                <w:sz w:val="21"/>
                <w:szCs w:val="21"/>
              </w:rPr>
              <w:t>报价得分</w:t>
            </w:r>
            <w:r>
              <w:rPr>
                <w:rFonts w:ascii="宋体" w:hAnsi="宋体" w:cs="宋体"/>
                <w:bCs/>
                <w:color w:val="auto"/>
                <w:sz w:val="21"/>
                <w:szCs w:val="21"/>
              </w:rPr>
              <w:t>=60+15*[(15%-8%)/(15%-8%)]=75</w:t>
            </w:r>
            <w:r>
              <w:rPr>
                <w:rFonts w:hint="eastAsia" w:ascii="宋体" w:hAnsi="宋体" w:cs="宋体"/>
                <w:bCs/>
                <w:color w:val="auto"/>
                <w:sz w:val="21"/>
                <w:szCs w:val="21"/>
              </w:rPr>
              <w:t>分</w:t>
            </w:r>
          </w:p>
        </w:tc>
        <w:tc>
          <w:tcPr>
            <w:tcW w:w="1995" w:type="dxa"/>
            <w:vAlign w:val="center"/>
          </w:tcPr>
          <w:p w14:paraId="2B53605F">
            <w:pPr>
              <w:snapToGrid w:val="0"/>
              <w:spacing w:line="240" w:lineRule="exact"/>
              <w:rPr>
                <w:rFonts w:ascii="宋体" w:hAnsi="宋体" w:cs="宋体"/>
                <w:bCs/>
                <w:color w:val="auto"/>
                <w:sz w:val="21"/>
                <w:szCs w:val="21"/>
              </w:rPr>
            </w:pPr>
          </w:p>
        </w:tc>
      </w:tr>
      <w:tr w14:paraId="16C3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675" w:type="dxa"/>
            <w:vMerge w:val="restart"/>
            <w:vAlign w:val="center"/>
          </w:tcPr>
          <w:p w14:paraId="61D49A03">
            <w:pPr>
              <w:snapToGrid w:val="0"/>
              <w:spacing w:line="400" w:lineRule="exact"/>
              <w:rPr>
                <w:rFonts w:ascii="宋体" w:hAnsi="宋体" w:cs="宋体"/>
                <w:color w:val="auto"/>
                <w:sz w:val="21"/>
                <w:szCs w:val="21"/>
              </w:rPr>
            </w:pPr>
            <w:r>
              <w:rPr>
                <w:rFonts w:hint="eastAsia" w:ascii="宋体" w:hAnsi="宋体" w:cs="宋体"/>
                <w:b/>
                <w:bCs/>
                <w:color w:val="auto"/>
                <w:sz w:val="21"/>
                <w:szCs w:val="21"/>
              </w:rPr>
              <w:t>2</w:t>
            </w:r>
          </w:p>
        </w:tc>
        <w:tc>
          <w:tcPr>
            <w:tcW w:w="1134" w:type="dxa"/>
            <w:vMerge w:val="restart"/>
            <w:vAlign w:val="center"/>
          </w:tcPr>
          <w:p w14:paraId="68E00008">
            <w:pPr>
              <w:snapToGrid w:val="0"/>
              <w:spacing w:line="400" w:lineRule="exact"/>
              <w:rPr>
                <w:rFonts w:ascii="宋体" w:hAnsi="宋体" w:cs="宋体"/>
                <w:b/>
                <w:bCs/>
                <w:color w:val="auto"/>
                <w:sz w:val="21"/>
                <w:szCs w:val="21"/>
              </w:rPr>
            </w:pPr>
            <w:r>
              <w:rPr>
                <w:rFonts w:hint="eastAsia" w:ascii="宋体" w:hAnsi="宋体" w:cs="宋体"/>
                <w:b/>
                <w:bCs/>
                <w:color w:val="auto"/>
                <w:sz w:val="21"/>
                <w:szCs w:val="21"/>
              </w:rPr>
              <w:t>技术标得分</w:t>
            </w:r>
          </w:p>
          <w:p w14:paraId="05BA7EDE">
            <w:pPr>
              <w:snapToGrid w:val="0"/>
              <w:spacing w:line="400" w:lineRule="exact"/>
              <w:rPr>
                <w:rFonts w:ascii="宋体" w:hAnsi="宋体" w:cs="宋体"/>
                <w:color w:val="auto"/>
                <w:sz w:val="21"/>
                <w:szCs w:val="21"/>
              </w:rPr>
            </w:pPr>
            <w:r>
              <w:rPr>
                <w:rFonts w:ascii="宋体" w:hAnsi="宋体" w:cs="宋体"/>
                <w:b/>
                <w:bCs/>
                <w:color w:val="auto"/>
                <w:sz w:val="21"/>
                <w:szCs w:val="21"/>
              </w:rPr>
              <w:t>(5%)</w:t>
            </w:r>
          </w:p>
        </w:tc>
        <w:tc>
          <w:tcPr>
            <w:tcW w:w="724" w:type="dxa"/>
            <w:gridSpan w:val="2"/>
            <w:vMerge w:val="restart"/>
            <w:vAlign w:val="center"/>
          </w:tcPr>
          <w:p w14:paraId="58EF6A2B">
            <w:pPr>
              <w:widowControl/>
              <w:jc w:val="left"/>
              <w:rPr>
                <w:rFonts w:ascii="宋体" w:hAnsi="宋体" w:cs="宋体"/>
                <w:color w:val="auto"/>
                <w:sz w:val="21"/>
                <w:szCs w:val="21"/>
              </w:rPr>
            </w:pPr>
            <w:r>
              <w:rPr>
                <w:rFonts w:ascii="宋体" w:hAnsi="宋体" w:cs="宋体"/>
                <w:b/>
                <w:bCs/>
                <w:color w:val="auto"/>
                <w:sz w:val="21"/>
                <w:szCs w:val="21"/>
              </w:rPr>
              <w:t>5</w:t>
            </w:r>
            <w:r>
              <w:rPr>
                <w:rFonts w:hint="eastAsia" w:ascii="宋体" w:hAnsi="宋体" w:cs="宋体"/>
                <w:b/>
                <w:bCs/>
                <w:color w:val="auto"/>
                <w:sz w:val="21"/>
                <w:szCs w:val="21"/>
              </w:rPr>
              <w:t>分</w:t>
            </w:r>
          </w:p>
        </w:tc>
        <w:tc>
          <w:tcPr>
            <w:tcW w:w="5361" w:type="dxa"/>
          </w:tcPr>
          <w:p w14:paraId="51BF73A5">
            <w:pPr>
              <w:numPr>
                <w:ilvl w:val="-1"/>
                <w:numId w:val="0"/>
              </w:numPr>
              <w:snapToGrid w:val="0"/>
              <w:spacing w:line="240" w:lineRule="exact"/>
              <w:rPr>
                <w:rFonts w:ascii="宋体" w:hAnsi="宋体" w:cs="宋体"/>
                <w:bCs/>
                <w:color w:val="auto"/>
                <w:sz w:val="21"/>
                <w:szCs w:val="21"/>
              </w:rPr>
            </w:pPr>
            <w:r>
              <w:rPr>
                <w:rFonts w:hint="eastAsia" w:ascii="宋体" w:hAnsi="宋体" w:cs="宋体"/>
                <w:bCs/>
                <w:color w:val="auto"/>
                <w:sz w:val="21"/>
                <w:szCs w:val="21"/>
              </w:rPr>
              <w:t>技术参数</w:t>
            </w:r>
            <w:r>
              <w:rPr>
                <w:rFonts w:ascii="宋体" w:hAnsi="宋体" w:cs="宋体"/>
                <w:bCs/>
                <w:color w:val="auto"/>
                <w:sz w:val="21"/>
                <w:szCs w:val="21"/>
              </w:rPr>
              <w:t>1.5</w:t>
            </w:r>
            <w:r>
              <w:rPr>
                <w:rFonts w:hint="eastAsia" w:ascii="宋体" w:hAnsi="宋体" w:cs="宋体"/>
                <w:bCs/>
                <w:color w:val="auto"/>
                <w:sz w:val="21"/>
                <w:szCs w:val="21"/>
              </w:rPr>
              <w:t>分</w:t>
            </w:r>
          </w:p>
          <w:p w14:paraId="767FFBB5">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有效供应商的起评分为</w:t>
            </w:r>
            <w:r>
              <w:rPr>
                <w:rFonts w:ascii="宋体" w:hAnsi="宋体" w:cs="宋体"/>
                <w:bCs/>
                <w:color w:val="auto"/>
                <w:sz w:val="21"/>
                <w:szCs w:val="21"/>
              </w:rPr>
              <w:t>1.5</w:t>
            </w:r>
            <w:r>
              <w:rPr>
                <w:rFonts w:hint="eastAsia" w:ascii="宋体" w:hAnsi="宋体" w:cs="宋体"/>
                <w:bCs/>
                <w:color w:val="auto"/>
                <w:sz w:val="21"/>
                <w:szCs w:val="21"/>
              </w:rPr>
              <w:t>分。</w:t>
            </w:r>
          </w:p>
          <w:p w14:paraId="609C4334">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扣分条款：</w:t>
            </w:r>
          </w:p>
          <w:p w14:paraId="0F53E84E">
            <w:pPr>
              <w:snapToGrid w:val="0"/>
              <w:spacing w:line="240" w:lineRule="exact"/>
              <w:rPr>
                <w:rFonts w:ascii="宋体" w:hAnsi="宋体" w:cs="宋体"/>
                <w:bCs/>
                <w:color w:val="auto"/>
                <w:sz w:val="21"/>
                <w:szCs w:val="21"/>
              </w:rPr>
            </w:pPr>
            <w:r>
              <w:rPr>
                <w:rFonts w:hint="eastAsia" w:ascii="宋体" w:hAnsi="宋体" w:cs="宋体"/>
                <w:bCs/>
                <w:color w:val="auto"/>
                <w:sz w:val="21"/>
                <w:szCs w:val="21"/>
              </w:rPr>
              <w:t>重要参数【本招标文件第二篇中带</w:t>
            </w:r>
            <w:r>
              <w:rPr>
                <w:rFonts w:ascii="宋体" w:hAnsi="宋体" w:cs="宋体"/>
                <w:bCs/>
                <w:color w:val="auto"/>
                <w:sz w:val="21"/>
                <w:szCs w:val="21"/>
              </w:rPr>
              <w:t>*</w:t>
            </w:r>
            <w:r>
              <w:rPr>
                <w:rFonts w:hint="eastAsia" w:ascii="宋体" w:hAnsi="宋体" w:cs="宋体"/>
                <w:bCs/>
                <w:color w:val="auto"/>
                <w:sz w:val="21"/>
                <w:szCs w:val="21"/>
              </w:rPr>
              <w:t>号标注的部分】，必须全部达到招标文件要求，如有负偏离，技术标得分为</w:t>
            </w:r>
            <w:r>
              <w:rPr>
                <w:rFonts w:ascii="宋体" w:hAnsi="宋体" w:cs="宋体"/>
                <w:bCs/>
                <w:color w:val="auto"/>
                <w:sz w:val="21"/>
                <w:szCs w:val="21"/>
              </w:rPr>
              <w:t>0</w:t>
            </w:r>
            <w:r>
              <w:rPr>
                <w:rFonts w:hint="eastAsia" w:ascii="宋体" w:hAnsi="宋体" w:cs="宋体"/>
                <w:bCs/>
                <w:color w:val="auto"/>
                <w:sz w:val="21"/>
                <w:szCs w:val="21"/>
              </w:rPr>
              <w:t>分，该标作为废标处理。</w:t>
            </w:r>
          </w:p>
          <w:p w14:paraId="79354C14">
            <w:pPr>
              <w:snapToGrid w:val="0"/>
              <w:spacing w:line="240" w:lineRule="exact"/>
              <w:rPr>
                <w:rFonts w:ascii="宋体" w:hAnsi="宋体" w:cs="宋体"/>
                <w:bCs/>
                <w:color w:val="auto"/>
                <w:sz w:val="21"/>
                <w:szCs w:val="21"/>
              </w:rPr>
            </w:pPr>
            <w:r>
              <w:rPr>
                <w:rFonts w:hint="eastAsia" w:ascii="宋体" w:hAnsi="宋体" w:cs="宋体"/>
                <w:bCs/>
                <w:color w:val="auto"/>
                <w:sz w:val="21"/>
                <w:szCs w:val="21"/>
              </w:rPr>
              <w:t>一般参数【本招标文件第二篇中未带</w:t>
            </w:r>
            <w:r>
              <w:rPr>
                <w:rFonts w:ascii="宋体" w:hAnsi="宋体" w:cs="宋体"/>
                <w:bCs/>
                <w:color w:val="auto"/>
                <w:sz w:val="21"/>
                <w:szCs w:val="21"/>
              </w:rPr>
              <w:t>*</w:t>
            </w:r>
            <w:r>
              <w:rPr>
                <w:rFonts w:hint="eastAsia" w:ascii="宋体" w:hAnsi="宋体" w:cs="宋体"/>
                <w:bCs/>
                <w:color w:val="auto"/>
                <w:sz w:val="21"/>
                <w:szCs w:val="21"/>
              </w:rPr>
              <w:t>号标注的部分】达不到招标文件要求的，每负偏离一条从起评分中扣除</w:t>
            </w:r>
            <w:r>
              <w:rPr>
                <w:rFonts w:ascii="宋体" w:hAnsi="宋体" w:cs="宋体"/>
                <w:bCs/>
                <w:color w:val="auto"/>
                <w:sz w:val="21"/>
                <w:szCs w:val="21"/>
              </w:rPr>
              <w:t>0.5</w:t>
            </w:r>
            <w:r>
              <w:rPr>
                <w:rFonts w:hint="eastAsia" w:ascii="宋体" w:hAnsi="宋体" w:cs="宋体"/>
                <w:bCs/>
                <w:color w:val="auto"/>
                <w:sz w:val="21"/>
                <w:szCs w:val="21"/>
              </w:rPr>
              <w:t>分，起评分</w:t>
            </w:r>
            <w:r>
              <w:rPr>
                <w:rFonts w:ascii="宋体" w:hAnsi="宋体" w:cs="宋体"/>
                <w:bCs/>
                <w:color w:val="auto"/>
                <w:sz w:val="21"/>
                <w:szCs w:val="21"/>
              </w:rPr>
              <w:t>1.5</w:t>
            </w:r>
            <w:r>
              <w:rPr>
                <w:rFonts w:hint="eastAsia" w:ascii="宋体" w:hAnsi="宋体" w:cs="宋体"/>
                <w:bCs/>
                <w:color w:val="auto"/>
                <w:sz w:val="21"/>
                <w:szCs w:val="21"/>
              </w:rPr>
              <w:t>分扣完为止。</w:t>
            </w:r>
          </w:p>
        </w:tc>
        <w:tc>
          <w:tcPr>
            <w:tcW w:w="1995" w:type="dxa"/>
          </w:tcPr>
          <w:p w14:paraId="450A8AE3">
            <w:pPr>
              <w:snapToGrid w:val="0"/>
              <w:spacing w:line="240" w:lineRule="exact"/>
              <w:rPr>
                <w:rFonts w:ascii="宋体" w:hAnsi="宋体" w:cs="宋体"/>
                <w:bCs/>
                <w:color w:val="auto"/>
                <w:sz w:val="21"/>
                <w:szCs w:val="21"/>
              </w:rPr>
            </w:pPr>
          </w:p>
        </w:tc>
      </w:tr>
      <w:tr w14:paraId="4648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75" w:type="dxa"/>
            <w:vMerge w:val="continue"/>
            <w:vAlign w:val="center"/>
          </w:tcPr>
          <w:p w14:paraId="22C36787">
            <w:pPr>
              <w:snapToGrid w:val="0"/>
              <w:spacing w:line="400" w:lineRule="exact"/>
              <w:rPr>
                <w:rFonts w:ascii="宋体" w:hAnsi="宋体" w:cs="宋体"/>
                <w:b/>
                <w:bCs/>
                <w:color w:val="auto"/>
                <w:sz w:val="21"/>
                <w:szCs w:val="21"/>
              </w:rPr>
            </w:pPr>
          </w:p>
        </w:tc>
        <w:tc>
          <w:tcPr>
            <w:tcW w:w="1134" w:type="dxa"/>
            <w:vMerge w:val="continue"/>
            <w:vAlign w:val="center"/>
          </w:tcPr>
          <w:p w14:paraId="24C27FD4">
            <w:pPr>
              <w:snapToGrid w:val="0"/>
              <w:spacing w:line="400" w:lineRule="exact"/>
              <w:rPr>
                <w:rFonts w:ascii="宋体" w:hAnsi="宋体" w:cs="宋体"/>
                <w:b/>
                <w:bCs/>
                <w:color w:val="auto"/>
                <w:sz w:val="21"/>
                <w:szCs w:val="21"/>
              </w:rPr>
            </w:pPr>
          </w:p>
        </w:tc>
        <w:tc>
          <w:tcPr>
            <w:tcW w:w="724" w:type="dxa"/>
            <w:gridSpan w:val="2"/>
            <w:vMerge w:val="continue"/>
            <w:vAlign w:val="center"/>
          </w:tcPr>
          <w:p w14:paraId="7120A811">
            <w:pPr>
              <w:widowControl/>
              <w:jc w:val="left"/>
              <w:rPr>
                <w:rFonts w:ascii="宋体" w:hAnsi="宋体" w:cs="宋体"/>
                <w:b/>
                <w:bCs/>
                <w:color w:val="auto"/>
                <w:sz w:val="21"/>
                <w:szCs w:val="21"/>
              </w:rPr>
            </w:pPr>
          </w:p>
        </w:tc>
        <w:tc>
          <w:tcPr>
            <w:tcW w:w="5361" w:type="dxa"/>
          </w:tcPr>
          <w:p w14:paraId="1451557A">
            <w:pPr>
              <w:snapToGrid w:val="0"/>
              <w:spacing w:line="240" w:lineRule="exact"/>
              <w:rPr>
                <w:rFonts w:ascii="宋体" w:hAnsi="宋体" w:cs="宋体"/>
                <w:bCs/>
                <w:color w:val="auto"/>
                <w:sz w:val="21"/>
                <w:szCs w:val="21"/>
              </w:rPr>
            </w:pPr>
            <w:r>
              <w:rPr>
                <w:rFonts w:hint="eastAsia" w:ascii="宋体" w:hAnsi="宋体" w:cs="宋体"/>
                <w:bCs/>
                <w:color w:val="auto"/>
                <w:sz w:val="21"/>
                <w:szCs w:val="21"/>
              </w:rPr>
              <w:t>二、项目管理班子人员配备（</w:t>
            </w:r>
            <w:r>
              <w:rPr>
                <w:rFonts w:ascii="宋体" w:hAnsi="宋体" w:cs="宋体"/>
                <w:bCs/>
                <w:color w:val="auto"/>
                <w:sz w:val="21"/>
                <w:szCs w:val="21"/>
              </w:rPr>
              <w:t>3.5</w:t>
            </w:r>
            <w:r>
              <w:rPr>
                <w:rFonts w:hint="eastAsia" w:ascii="宋体" w:hAnsi="宋体" w:cs="宋体"/>
                <w:bCs/>
                <w:color w:val="auto"/>
                <w:sz w:val="21"/>
                <w:szCs w:val="21"/>
              </w:rPr>
              <w:t>分）</w:t>
            </w:r>
          </w:p>
          <w:p w14:paraId="6BD13F46">
            <w:pPr>
              <w:snapToGrid w:val="0"/>
              <w:spacing w:line="240" w:lineRule="exact"/>
              <w:rPr>
                <w:rFonts w:ascii="宋体" w:hAnsi="宋体" w:cs="宋体"/>
                <w:bCs/>
                <w:color w:val="auto"/>
                <w:sz w:val="21"/>
                <w:szCs w:val="21"/>
              </w:rPr>
            </w:pPr>
            <w:r>
              <w:rPr>
                <w:rFonts w:ascii="宋体" w:hAnsi="宋体" w:cs="宋体"/>
                <w:bCs/>
                <w:color w:val="auto"/>
                <w:sz w:val="21"/>
                <w:szCs w:val="21"/>
              </w:rPr>
              <w:t>1.</w:t>
            </w:r>
            <w:r>
              <w:rPr>
                <w:rFonts w:hint="eastAsia" w:ascii="宋体" w:hAnsi="宋体" w:cs="宋体"/>
                <w:bCs/>
                <w:color w:val="auto"/>
                <w:sz w:val="21"/>
                <w:szCs w:val="21"/>
              </w:rPr>
              <w:t>项目负责人素质、经验（</w:t>
            </w:r>
            <w:r>
              <w:rPr>
                <w:rFonts w:ascii="宋体" w:hAnsi="宋体" w:cs="宋体"/>
                <w:bCs/>
                <w:color w:val="auto"/>
                <w:sz w:val="21"/>
                <w:szCs w:val="21"/>
              </w:rPr>
              <w:t>2</w:t>
            </w:r>
            <w:r>
              <w:rPr>
                <w:rFonts w:hint="eastAsia" w:ascii="宋体" w:hAnsi="宋体" w:cs="宋体"/>
                <w:bCs/>
                <w:color w:val="auto"/>
                <w:sz w:val="21"/>
                <w:szCs w:val="21"/>
              </w:rPr>
              <w:t>分）</w:t>
            </w:r>
          </w:p>
          <w:p w14:paraId="525DE22E">
            <w:pPr>
              <w:snapToGrid w:val="0"/>
              <w:spacing w:line="240" w:lineRule="exact"/>
              <w:rPr>
                <w:rFonts w:ascii="宋体" w:hAnsi="宋体" w:cs="宋体"/>
                <w:bCs/>
                <w:color w:val="auto"/>
                <w:sz w:val="21"/>
                <w:szCs w:val="21"/>
              </w:rPr>
            </w:pPr>
            <w:r>
              <w:rPr>
                <w:rFonts w:hint="eastAsia" w:ascii="宋体" w:hAnsi="宋体" w:cs="宋体"/>
                <w:bCs/>
                <w:color w:val="auto"/>
                <w:sz w:val="21"/>
                <w:szCs w:val="21"/>
              </w:rPr>
              <w:t>项目负责人经验丰富，同一人同时满足以下条件（取得相关证书日期应在公告发布日期之前）得分</w:t>
            </w:r>
            <w:r>
              <w:rPr>
                <w:rFonts w:ascii="宋体" w:hAnsi="宋体" w:cs="宋体"/>
                <w:bCs/>
                <w:color w:val="auto"/>
                <w:sz w:val="21"/>
                <w:szCs w:val="21"/>
              </w:rPr>
              <w:t>2</w:t>
            </w:r>
            <w:r>
              <w:rPr>
                <w:rFonts w:hint="eastAsia" w:ascii="宋体" w:hAnsi="宋体" w:cs="宋体"/>
                <w:bCs/>
                <w:color w:val="auto"/>
                <w:sz w:val="21"/>
                <w:szCs w:val="21"/>
              </w:rPr>
              <w:t>分，不同时满足不得分：</w:t>
            </w:r>
          </w:p>
          <w:p w14:paraId="39A09D76">
            <w:pPr>
              <w:snapToGrid w:val="0"/>
              <w:spacing w:line="240" w:lineRule="exact"/>
              <w:rPr>
                <w:rFonts w:ascii="宋体" w:hAnsi="宋体" w:cs="宋体"/>
                <w:bCs/>
                <w:color w:val="auto"/>
                <w:sz w:val="21"/>
                <w:szCs w:val="21"/>
              </w:rPr>
            </w:pPr>
            <w:r>
              <w:rPr>
                <w:rFonts w:ascii="宋体" w:hAnsi="宋体" w:cs="宋体"/>
                <w:bCs/>
                <w:color w:val="auto"/>
                <w:sz w:val="21"/>
                <w:szCs w:val="21"/>
              </w:rPr>
              <w:t>a.</w:t>
            </w:r>
            <w:r>
              <w:rPr>
                <w:rFonts w:hint="eastAsia" w:ascii="宋体" w:hAnsi="宋体" w:cs="宋体"/>
                <w:bCs/>
                <w:color w:val="auto"/>
                <w:sz w:val="21"/>
                <w:szCs w:val="21"/>
              </w:rPr>
              <w:t>具有专科及以上学历</w:t>
            </w:r>
            <w:r>
              <w:rPr>
                <w:rFonts w:ascii="宋体" w:hAnsi="宋体" w:cs="宋体"/>
                <w:bCs/>
                <w:color w:val="auto"/>
                <w:sz w:val="21"/>
                <w:szCs w:val="21"/>
              </w:rPr>
              <w:t>(</w:t>
            </w:r>
            <w:r>
              <w:rPr>
                <w:rFonts w:hint="eastAsia" w:ascii="宋体" w:hAnsi="宋体" w:cs="宋体"/>
                <w:bCs/>
                <w:color w:val="auto"/>
                <w:sz w:val="21"/>
                <w:szCs w:val="21"/>
              </w:rPr>
              <w:t>提供毕业证书复印件和学信网查询截图）。</w:t>
            </w:r>
          </w:p>
          <w:p w14:paraId="612E73E1">
            <w:pPr>
              <w:snapToGrid w:val="0"/>
              <w:spacing w:line="240" w:lineRule="exact"/>
              <w:rPr>
                <w:rFonts w:ascii="宋体" w:hAnsi="宋体" w:cs="宋体"/>
                <w:bCs/>
                <w:color w:val="auto"/>
                <w:sz w:val="21"/>
                <w:szCs w:val="21"/>
              </w:rPr>
            </w:pPr>
            <w:r>
              <w:rPr>
                <w:rFonts w:ascii="宋体" w:hAnsi="宋体" w:cs="宋体"/>
                <w:bCs/>
                <w:color w:val="auto"/>
                <w:sz w:val="21"/>
                <w:szCs w:val="21"/>
              </w:rPr>
              <w:t>b.</w:t>
            </w:r>
            <w:r>
              <w:rPr>
                <w:rFonts w:hint="eastAsia" w:ascii="宋体" w:hAnsi="宋体" w:cs="宋体"/>
                <w:bCs/>
                <w:color w:val="auto"/>
                <w:sz w:val="21"/>
                <w:szCs w:val="21"/>
              </w:rPr>
              <w:t>具有连续</w:t>
            </w:r>
            <w:r>
              <w:rPr>
                <w:rFonts w:ascii="宋体" w:hAnsi="宋体" w:cs="宋体"/>
                <w:bCs/>
                <w:color w:val="auto"/>
                <w:sz w:val="21"/>
                <w:szCs w:val="21"/>
              </w:rPr>
              <w:t>5</w:t>
            </w:r>
            <w:r>
              <w:rPr>
                <w:rFonts w:hint="eastAsia" w:ascii="宋体" w:hAnsi="宋体" w:cs="宋体"/>
                <w:bCs/>
                <w:color w:val="auto"/>
                <w:sz w:val="21"/>
                <w:szCs w:val="21"/>
              </w:rPr>
              <w:t>年高校食堂餐饮管理经验。（提供供应商所服务高校的正式合同复印件加盖供应商鲜章、任职经历证明并加盖供应商所服务高校公章，提供供应商社保缴纳证明材料，连续</w:t>
            </w:r>
            <w:r>
              <w:rPr>
                <w:rFonts w:ascii="宋体" w:hAnsi="宋体" w:cs="宋体"/>
                <w:bCs/>
                <w:color w:val="auto"/>
                <w:sz w:val="21"/>
                <w:szCs w:val="21"/>
              </w:rPr>
              <w:t>5</w:t>
            </w:r>
            <w:r>
              <w:rPr>
                <w:rFonts w:hint="eastAsia" w:ascii="宋体" w:hAnsi="宋体" w:cs="宋体"/>
                <w:bCs/>
                <w:color w:val="auto"/>
                <w:sz w:val="21"/>
                <w:szCs w:val="21"/>
              </w:rPr>
              <w:t>年社保）</w:t>
            </w:r>
          </w:p>
          <w:p w14:paraId="60604FCF">
            <w:pPr>
              <w:snapToGrid w:val="0"/>
              <w:spacing w:line="240" w:lineRule="exact"/>
              <w:rPr>
                <w:rFonts w:ascii="宋体" w:hAnsi="宋体" w:cs="宋体"/>
                <w:bCs/>
                <w:color w:val="auto"/>
                <w:sz w:val="21"/>
                <w:szCs w:val="21"/>
              </w:rPr>
            </w:pPr>
            <w:r>
              <w:rPr>
                <w:rFonts w:ascii="宋体" w:hAnsi="宋体" w:cs="宋体"/>
                <w:bCs/>
                <w:color w:val="auto"/>
                <w:sz w:val="21"/>
                <w:szCs w:val="21"/>
              </w:rPr>
              <w:t>c.</w:t>
            </w:r>
            <w:r>
              <w:rPr>
                <w:rFonts w:hint="eastAsia" w:ascii="宋体" w:hAnsi="宋体" w:cs="宋体"/>
                <w:bCs/>
                <w:color w:val="auto"/>
                <w:sz w:val="21"/>
                <w:szCs w:val="21"/>
              </w:rPr>
              <w:t>具有高级餐饮职业经理人资格证书（提供证书复印件并加盖供应商公章）。</w:t>
            </w:r>
          </w:p>
          <w:p w14:paraId="690FA045">
            <w:pPr>
              <w:snapToGrid w:val="0"/>
              <w:spacing w:line="240" w:lineRule="exact"/>
              <w:rPr>
                <w:rFonts w:ascii="宋体" w:hAnsi="宋体" w:cs="宋体"/>
                <w:bCs/>
                <w:color w:val="auto"/>
                <w:sz w:val="21"/>
                <w:szCs w:val="21"/>
              </w:rPr>
            </w:pPr>
            <w:r>
              <w:rPr>
                <w:rFonts w:ascii="宋体" w:hAnsi="宋体" w:cs="宋体"/>
                <w:bCs/>
                <w:color w:val="auto"/>
                <w:sz w:val="21"/>
                <w:szCs w:val="21"/>
              </w:rPr>
              <w:t>d.</w:t>
            </w:r>
            <w:r>
              <w:rPr>
                <w:rFonts w:hint="eastAsia" w:ascii="宋体" w:hAnsi="宋体" w:cs="宋体"/>
                <w:bCs/>
                <w:color w:val="auto"/>
                <w:sz w:val="21"/>
                <w:szCs w:val="21"/>
              </w:rPr>
              <w:t>具有国家市场监督管理总局认证认可的食品安全总监或者食品安全管理员证书（提供证书复印件并加盖供应商公章）。</w:t>
            </w:r>
          </w:p>
          <w:p w14:paraId="04A8B668">
            <w:pPr>
              <w:snapToGrid w:val="0"/>
              <w:spacing w:line="240" w:lineRule="exact"/>
              <w:rPr>
                <w:rFonts w:ascii="宋体" w:hAnsi="宋体" w:cs="宋体"/>
                <w:bCs/>
                <w:color w:val="auto"/>
                <w:sz w:val="21"/>
                <w:szCs w:val="21"/>
              </w:rPr>
            </w:pPr>
            <w:r>
              <w:rPr>
                <w:rFonts w:ascii="宋体" w:hAnsi="宋体" w:cs="宋体"/>
                <w:bCs/>
                <w:color w:val="auto"/>
                <w:sz w:val="21"/>
                <w:szCs w:val="21"/>
              </w:rPr>
              <w:t>2.</w:t>
            </w:r>
            <w:r>
              <w:rPr>
                <w:rFonts w:hint="eastAsia" w:ascii="宋体" w:hAnsi="宋体" w:cs="宋体"/>
                <w:bCs/>
                <w:color w:val="auto"/>
                <w:sz w:val="21"/>
                <w:szCs w:val="21"/>
              </w:rPr>
              <w:t>厨师长资质，供应商为本项目配备的厨师长具备人力资源和社会保障部门颁发的一级</w:t>
            </w:r>
            <w:r>
              <w:rPr>
                <w:rFonts w:ascii="宋体" w:hAnsi="宋体" w:cs="宋体"/>
                <w:bCs/>
                <w:color w:val="auto"/>
                <w:sz w:val="21"/>
                <w:szCs w:val="21"/>
              </w:rPr>
              <w:t>/</w:t>
            </w:r>
            <w:r>
              <w:rPr>
                <w:rFonts w:hint="eastAsia" w:ascii="宋体" w:hAnsi="宋体" w:cs="宋体"/>
                <w:bCs/>
                <w:color w:val="auto"/>
                <w:sz w:val="21"/>
                <w:szCs w:val="21"/>
              </w:rPr>
              <w:t>高级技师烹调师证书或者一级</w:t>
            </w:r>
            <w:r>
              <w:rPr>
                <w:rFonts w:ascii="宋体" w:hAnsi="宋体" w:cs="宋体"/>
                <w:bCs/>
                <w:color w:val="auto"/>
                <w:sz w:val="21"/>
                <w:szCs w:val="21"/>
              </w:rPr>
              <w:t>/</w:t>
            </w:r>
            <w:r>
              <w:rPr>
                <w:rFonts w:hint="eastAsia" w:ascii="宋体" w:hAnsi="宋体" w:cs="宋体"/>
                <w:bCs/>
                <w:color w:val="auto"/>
                <w:sz w:val="21"/>
                <w:szCs w:val="21"/>
              </w:rPr>
              <w:t>高级技师厨师证书，</w:t>
            </w:r>
            <w:r>
              <w:rPr>
                <w:rFonts w:ascii="宋体" w:hAnsi="宋体" w:cs="宋体"/>
                <w:bCs/>
                <w:color w:val="auto"/>
                <w:sz w:val="21"/>
                <w:szCs w:val="21"/>
              </w:rPr>
              <w:t>0.5</w:t>
            </w:r>
            <w:r>
              <w:rPr>
                <w:rFonts w:hint="eastAsia" w:ascii="宋体" w:hAnsi="宋体" w:cs="宋体"/>
                <w:bCs/>
                <w:color w:val="auto"/>
                <w:sz w:val="21"/>
                <w:szCs w:val="21"/>
              </w:rPr>
              <w:t>分。提供证书复印并加盖供应商公章。</w:t>
            </w:r>
          </w:p>
          <w:p w14:paraId="6C4F9709">
            <w:pPr>
              <w:snapToGrid w:val="0"/>
              <w:spacing w:line="240" w:lineRule="exact"/>
              <w:rPr>
                <w:rFonts w:ascii="宋体" w:hAnsi="宋体" w:cs="宋体"/>
                <w:bCs/>
                <w:color w:val="auto"/>
                <w:sz w:val="21"/>
                <w:szCs w:val="21"/>
              </w:rPr>
            </w:pPr>
            <w:r>
              <w:rPr>
                <w:rFonts w:ascii="宋体" w:hAnsi="宋体" w:cs="宋体"/>
                <w:bCs/>
                <w:color w:val="auto"/>
                <w:sz w:val="21"/>
                <w:szCs w:val="21"/>
              </w:rPr>
              <w:t>3.</w:t>
            </w:r>
            <w:r>
              <w:rPr>
                <w:rFonts w:hint="eastAsia" w:ascii="宋体" w:hAnsi="宋体" w:cs="宋体"/>
                <w:bCs/>
                <w:color w:val="auto"/>
                <w:sz w:val="21"/>
                <w:szCs w:val="21"/>
              </w:rPr>
              <w:t>供应商为本项目配备的安全员为专科及以上学历同时具备国家级市场监督管理总局认证认可的食品安全员证书得</w:t>
            </w:r>
            <w:r>
              <w:rPr>
                <w:rFonts w:ascii="宋体" w:hAnsi="宋体" w:cs="宋体"/>
                <w:bCs/>
                <w:color w:val="auto"/>
                <w:sz w:val="21"/>
                <w:szCs w:val="21"/>
              </w:rPr>
              <w:t>0.5</w:t>
            </w:r>
            <w:r>
              <w:rPr>
                <w:rFonts w:hint="eastAsia" w:ascii="宋体" w:hAnsi="宋体" w:cs="宋体"/>
                <w:bCs/>
                <w:color w:val="auto"/>
                <w:sz w:val="21"/>
                <w:szCs w:val="21"/>
              </w:rPr>
              <w:t>分。提供证书复印并加盖供应商公章。</w:t>
            </w:r>
          </w:p>
          <w:p w14:paraId="050C463B">
            <w:pPr>
              <w:snapToGrid w:val="0"/>
              <w:spacing w:line="240" w:lineRule="exact"/>
              <w:rPr>
                <w:rFonts w:ascii="宋体" w:hAnsi="宋体" w:cs="宋体"/>
                <w:bCs/>
                <w:color w:val="auto"/>
                <w:sz w:val="21"/>
                <w:szCs w:val="21"/>
              </w:rPr>
            </w:pPr>
            <w:r>
              <w:rPr>
                <w:rFonts w:ascii="宋体" w:hAnsi="宋体" w:cs="宋体"/>
                <w:bCs/>
                <w:color w:val="auto"/>
                <w:sz w:val="21"/>
                <w:szCs w:val="21"/>
              </w:rPr>
              <w:t>4.</w:t>
            </w:r>
            <w:r>
              <w:rPr>
                <w:rFonts w:hint="eastAsia" w:ascii="宋体" w:hAnsi="宋体" w:cs="宋体"/>
                <w:bCs/>
                <w:color w:val="auto"/>
                <w:sz w:val="21"/>
                <w:szCs w:val="21"/>
              </w:rPr>
              <w:t>供应商承诺投保最低额为</w:t>
            </w:r>
            <w:r>
              <w:rPr>
                <w:rFonts w:ascii="宋体" w:hAnsi="宋体" w:cs="宋体"/>
                <w:bCs/>
                <w:color w:val="auto"/>
                <w:sz w:val="21"/>
                <w:szCs w:val="21"/>
              </w:rPr>
              <w:t>1000</w:t>
            </w:r>
            <w:r>
              <w:rPr>
                <w:rFonts w:hint="eastAsia" w:ascii="宋体" w:hAnsi="宋体" w:cs="宋体"/>
                <w:bCs/>
                <w:color w:val="auto"/>
                <w:sz w:val="21"/>
                <w:szCs w:val="21"/>
              </w:rPr>
              <w:t>万元人民币的食品安全责任险（含公众责任险），且每人财产损失险保额不低于</w:t>
            </w:r>
            <w:r>
              <w:rPr>
                <w:rFonts w:ascii="宋体" w:hAnsi="宋体" w:cs="宋体"/>
                <w:bCs/>
                <w:color w:val="auto"/>
                <w:sz w:val="21"/>
                <w:szCs w:val="21"/>
              </w:rPr>
              <w:t>10</w:t>
            </w:r>
            <w:r>
              <w:rPr>
                <w:rFonts w:hint="eastAsia" w:ascii="宋体" w:hAnsi="宋体" w:cs="宋体"/>
                <w:bCs/>
                <w:color w:val="auto"/>
                <w:sz w:val="21"/>
                <w:szCs w:val="21"/>
              </w:rPr>
              <w:t>万和人身伤害每人不低于</w:t>
            </w:r>
            <w:r>
              <w:rPr>
                <w:rFonts w:ascii="宋体" w:hAnsi="宋体" w:cs="宋体"/>
                <w:bCs/>
                <w:color w:val="auto"/>
                <w:sz w:val="21"/>
                <w:szCs w:val="21"/>
              </w:rPr>
              <w:t>50</w:t>
            </w:r>
            <w:r>
              <w:rPr>
                <w:rFonts w:hint="eastAsia" w:ascii="宋体" w:hAnsi="宋体" w:cs="宋体"/>
                <w:bCs/>
                <w:color w:val="auto"/>
                <w:sz w:val="21"/>
                <w:szCs w:val="21"/>
              </w:rPr>
              <w:t>万，得</w:t>
            </w:r>
            <w:r>
              <w:rPr>
                <w:rFonts w:ascii="宋体" w:hAnsi="宋体" w:cs="宋体"/>
                <w:bCs/>
                <w:color w:val="auto"/>
                <w:sz w:val="21"/>
                <w:szCs w:val="21"/>
              </w:rPr>
              <w:t>0.5</w:t>
            </w:r>
            <w:r>
              <w:rPr>
                <w:rFonts w:hint="eastAsia" w:ascii="宋体" w:hAnsi="宋体" w:cs="宋体"/>
                <w:bCs/>
                <w:color w:val="auto"/>
                <w:sz w:val="21"/>
                <w:szCs w:val="21"/>
              </w:rPr>
              <w:t>分。无承诺的，该项得</w:t>
            </w:r>
            <w:r>
              <w:rPr>
                <w:rFonts w:ascii="宋体" w:hAnsi="宋体" w:cs="宋体"/>
                <w:bCs/>
                <w:color w:val="auto"/>
                <w:sz w:val="21"/>
                <w:szCs w:val="21"/>
              </w:rPr>
              <w:t>0</w:t>
            </w:r>
            <w:r>
              <w:rPr>
                <w:rFonts w:hint="eastAsia" w:ascii="宋体" w:hAnsi="宋体" w:cs="宋体"/>
                <w:bCs/>
                <w:color w:val="auto"/>
                <w:sz w:val="21"/>
                <w:szCs w:val="21"/>
              </w:rPr>
              <w:t>分。（提供承诺书加盖供应商公章，格式自定）。若开业前成交商未按承诺购买，则由采购人代购，费用由成交商承担（采购人从最近一次营业款中扣除）</w:t>
            </w:r>
          </w:p>
          <w:p w14:paraId="41F2D42F">
            <w:pPr>
              <w:snapToGrid w:val="0"/>
              <w:spacing w:line="240" w:lineRule="exact"/>
              <w:ind w:firstLine="420" w:firstLineChars="200"/>
              <w:rPr>
                <w:rFonts w:ascii="宋体" w:hAnsi="宋体" w:cs="宋体"/>
                <w:bCs/>
                <w:color w:val="auto"/>
                <w:sz w:val="21"/>
                <w:szCs w:val="21"/>
              </w:rPr>
            </w:pPr>
          </w:p>
        </w:tc>
        <w:tc>
          <w:tcPr>
            <w:tcW w:w="1995" w:type="dxa"/>
          </w:tcPr>
          <w:p w14:paraId="7A7F317F">
            <w:pPr>
              <w:snapToGrid w:val="0"/>
              <w:spacing w:line="240" w:lineRule="exact"/>
              <w:rPr>
                <w:rFonts w:ascii="宋体" w:hAnsi="宋体" w:cs="宋体"/>
                <w:bCs/>
                <w:color w:val="auto"/>
                <w:sz w:val="21"/>
                <w:szCs w:val="21"/>
              </w:rPr>
            </w:pPr>
          </w:p>
          <w:p w14:paraId="78D1F511">
            <w:pPr>
              <w:snapToGrid w:val="0"/>
              <w:spacing w:line="240" w:lineRule="exact"/>
              <w:rPr>
                <w:rFonts w:ascii="宋体" w:hAnsi="宋体" w:cs="宋体"/>
                <w:bCs/>
                <w:color w:val="auto"/>
                <w:sz w:val="21"/>
                <w:szCs w:val="21"/>
              </w:rPr>
            </w:pPr>
          </w:p>
          <w:p w14:paraId="415F0BB1">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提供项目管理班子人员劳动合同复印件加盖供应商公章和2025年1月至2025年5月期间连续5个月的养老保险证明材料（复印件加盖供应商公章，原件现场备查）。 提供购买本项目食品安全责任险承诺书原件。</w:t>
            </w:r>
          </w:p>
          <w:p w14:paraId="155463FC">
            <w:pPr>
              <w:snapToGrid w:val="0"/>
              <w:spacing w:line="240" w:lineRule="exact"/>
              <w:rPr>
                <w:rFonts w:ascii="宋体" w:hAnsi="宋体" w:cs="宋体"/>
                <w:color w:val="auto"/>
                <w:sz w:val="21"/>
                <w:szCs w:val="21"/>
              </w:rPr>
            </w:pPr>
          </w:p>
        </w:tc>
      </w:tr>
      <w:tr w14:paraId="5C61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9" w:type="dxa"/>
            <w:gridSpan w:val="6"/>
            <w:vAlign w:val="center"/>
          </w:tcPr>
          <w:p w14:paraId="4DBA2648">
            <w:pPr>
              <w:snapToGrid w:val="0"/>
              <w:spacing w:line="400" w:lineRule="exact"/>
              <w:rPr>
                <w:rFonts w:ascii="宋体" w:hAnsi="宋体" w:cs="宋体"/>
                <w:bCs/>
                <w:color w:val="auto"/>
                <w:sz w:val="21"/>
                <w:szCs w:val="21"/>
              </w:rPr>
            </w:pPr>
            <w:bookmarkStart w:id="136" w:name="OLE_LINK23"/>
            <w:r>
              <w:rPr>
                <w:rFonts w:hint="eastAsia" w:ascii="宋体" w:hAnsi="宋体" w:cs="宋体"/>
                <w:b/>
                <w:color w:val="auto"/>
                <w:sz w:val="21"/>
                <w:szCs w:val="21"/>
              </w:rPr>
              <w:t>供应商的应答应满足招标文件“第三篇 项目商务要求”，有一条不满足的，商务标分（20分）为0分，且不再进入商务部分的评审。</w:t>
            </w:r>
            <w:bookmarkEnd w:id="136"/>
          </w:p>
        </w:tc>
      </w:tr>
      <w:tr w14:paraId="57DF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75" w:type="dxa"/>
            <w:vMerge w:val="restart"/>
            <w:vAlign w:val="center"/>
          </w:tcPr>
          <w:p w14:paraId="0AD6CCDD">
            <w:pPr>
              <w:jc w:val="center"/>
              <w:rPr>
                <w:rFonts w:ascii="宋体" w:hAnsi="宋体" w:cs="宋体"/>
                <w:color w:val="auto"/>
                <w:sz w:val="21"/>
                <w:szCs w:val="21"/>
              </w:rPr>
            </w:pPr>
            <w:r>
              <w:rPr>
                <w:rFonts w:hint="eastAsia" w:ascii="宋体" w:hAnsi="宋体" w:cs="宋体"/>
                <w:b/>
                <w:bCs/>
                <w:color w:val="auto"/>
                <w:sz w:val="21"/>
                <w:szCs w:val="21"/>
              </w:rPr>
              <w:t>3</w:t>
            </w:r>
          </w:p>
        </w:tc>
        <w:tc>
          <w:tcPr>
            <w:tcW w:w="1170" w:type="dxa"/>
            <w:gridSpan w:val="2"/>
            <w:vMerge w:val="restart"/>
            <w:vAlign w:val="center"/>
          </w:tcPr>
          <w:p w14:paraId="20C6EEAC">
            <w:pPr>
              <w:ind w:firstLine="28"/>
              <w:jc w:val="center"/>
              <w:rPr>
                <w:rFonts w:ascii="宋体" w:hAnsi="宋体" w:cs="宋体"/>
                <w:b/>
                <w:bCs/>
                <w:color w:val="auto"/>
                <w:sz w:val="21"/>
                <w:szCs w:val="21"/>
              </w:rPr>
            </w:pPr>
            <w:r>
              <w:rPr>
                <w:rFonts w:hint="eastAsia" w:ascii="宋体" w:hAnsi="宋体" w:cs="宋体"/>
                <w:b/>
                <w:bCs/>
                <w:color w:val="auto"/>
                <w:sz w:val="21"/>
                <w:szCs w:val="21"/>
              </w:rPr>
              <w:t>商务标</w:t>
            </w:r>
          </w:p>
          <w:p w14:paraId="3B33C12B">
            <w:pPr>
              <w:ind w:firstLine="28"/>
              <w:jc w:val="center"/>
              <w:rPr>
                <w:rFonts w:ascii="宋体" w:hAnsi="宋体" w:cs="宋体"/>
                <w:b/>
                <w:bCs/>
                <w:color w:val="auto"/>
                <w:sz w:val="21"/>
                <w:szCs w:val="21"/>
              </w:rPr>
            </w:pPr>
            <w:r>
              <w:rPr>
                <w:rFonts w:hint="eastAsia" w:ascii="宋体" w:hAnsi="宋体" w:cs="宋体"/>
                <w:b/>
                <w:bCs/>
                <w:color w:val="auto"/>
                <w:sz w:val="21"/>
                <w:szCs w:val="21"/>
              </w:rPr>
              <w:t>得分</w:t>
            </w:r>
          </w:p>
          <w:p w14:paraId="4C9F9AD7">
            <w:pPr>
              <w:ind w:firstLine="28"/>
              <w:jc w:val="center"/>
              <w:rPr>
                <w:rFonts w:ascii="宋体" w:hAnsi="宋体" w:cs="宋体"/>
                <w:color w:val="auto"/>
                <w:sz w:val="21"/>
                <w:szCs w:val="21"/>
              </w:rPr>
            </w:pPr>
            <w:r>
              <w:rPr>
                <w:rFonts w:hint="eastAsia" w:ascii="宋体" w:hAnsi="宋体" w:cs="宋体"/>
                <w:b/>
                <w:bCs/>
                <w:color w:val="auto"/>
                <w:sz w:val="21"/>
                <w:szCs w:val="21"/>
              </w:rPr>
              <w:t>(20%)</w:t>
            </w:r>
          </w:p>
        </w:tc>
        <w:tc>
          <w:tcPr>
            <w:tcW w:w="688" w:type="dxa"/>
            <w:vMerge w:val="restart"/>
            <w:vAlign w:val="center"/>
          </w:tcPr>
          <w:p w14:paraId="41E0FF9E">
            <w:pPr>
              <w:ind w:firstLine="28"/>
              <w:jc w:val="center"/>
              <w:rPr>
                <w:rFonts w:ascii="宋体" w:hAnsi="宋体" w:cs="宋体"/>
                <w:color w:val="auto"/>
                <w:sz w:val="21"/>
                <w:szCs w:val="21"/>
              </w:rPr>
            </w:pPr>
            <w:r>
              <w:rPr>
                <w:rFonts w:hint="eastAsia" w:ascii="宋体" w:hAnsi="宋体" w:cs="宋体"/>
                <w:b/>
                <w:bCs/>
                <w:color w:val="auto"/>
                <w:sz w:val="21"/>
                <w:szCs w:val="21"/>
              </w:rPr>
              <w:t>20分</w:t>
            </w:r>
          </w:p>
        </w:tc>
        <w:tc>
          <w:tcPr>
            <w:tcW w:w="5361" w:type="dxa"/>
          </w:tcPr>
          <w:p w14:paraId="6FDA3AEE">
            <w:pPr>
              <w:snapToGrid w:val="0"/>
              <w:spacing w:line="240" w:lineRule="exact"/>
              <w:rPr>
                <w:rFonts w:ascii="宋体" w:hAnsi="宋体" w:cs="宋体"/>
                <w:bCs/>
                <w:color w:val="auto"/>
                <w:sz w:val="21"/>
                <w:szCs w:val="21"/>
              </w:rPr>
            </w:pPr>
            <w:r>
              <w:rPr>
                <w:rFonts w:hint="eastAsia" w:ascii="宋体" w:hAnsi="宋体" w:cs="宋体"/>
                <w:bCs/>
                <w:color w:val="auto"/>
                <w:sz w:val="21"/>
                <w:szCs w:val="21"/>
              </w:rPr>
              <w:t>一、企业实力（</w:t>
            </w:r>
            <w:r>
              <w:rPr>
                <w:rFonts w:ascii="宋体" w:hAnsi="宋体" w:cs="宋体"/>
                <w:bCs/>
                <w:color w:val="auto"/>
                <w:sz w:val="21"/>
                <w:szCs w:val="21"/>
              </w:rPr>
              <w:t>2.5</w:t>
            </w:r>
            <w:r>
              <w:rPr>
                <w:rFonts w:hint="eastAsia" w:ascii="宋体" w:hAnsi="宋体" w:cs="宋体"/>
                <w:bCs/>
                <w:color w:val="auto"/>
                <w:sz w:val="21"/>
                <w:szCs w:val="21"/>
              </w:rPr>
              <w:t>分）</w:t>
            </w:r>
          </w:p>
          <w:p w14:paraId="50455E28">
            <w:pPr>
              <w:snapToGrid w:val="0"/>
              <w:spacing w:line="240" w:lineRule="exact"/>
              <w:rPr>
                <w:rFonts w:ascii="宋体" w:hAnsi="宋体" w:cs="宋体"/>
                <w:bCs/>
                <w:color w:val="auto"/>
                <w:sz w:val="21"/>
                <w:szCs w:val="21"/>
              </w:rPr>
            </w:pPr>
            <w:r>
              <w:rPr>
                <w:rFonts w:ascii="宋体" w:hAnsi="宋体" w:cs="宋体"/>
                <w:bCs/>
                <w:color w:val="auto"/>
                <w:sz w:val="21"/>
                <w:szCs w:val="21"/>
              </w:rPr>
              <w:t>1.</w:t>
            </w:r>
            <w:r>
              <w:rPr>
                <w:rFonts w:hint="eastAsia" w:ascii="宋体" w:hAnsi="宋体" w:cs="宋体"/>
                <w:bCs/>
                <w:color w:val="auto"/>
                <w:sz w:val="21"/>
                <w:szCs w:val="21"/>
              </w:rPr>
              <w:t>本招标文件发布之日前通过</w:t>
            </w:r>
            <w:r>
              <w:rPr>
                <w:rFonts w:ascii="宋体" w:hAnsi="宋体" w:cs="宋体"/>
                <w:bCs/>
                <w:color w:val="auto"/>
                <w:sz w:val="21"/>
                <w:szCs w:val="21"/>
              </w:rPr>
              <w:t xml:space="preserve">IS09001 </w:t>
            </w:r>
            <w:r>
              <w:rPr>
                <w:rFonts w:hint="eastAsia" w:ascii="宋体" w:hAnsi="宋体" w:cs="宋体"/>
                <w:bCs/>
                <w:color w:val="auto"/>
                <w:sz w:val="21"/>
                <w:szCs w:val="21"/>
              </w:rPr>
              <w:t>质量管理体系认证并承诺按此规范管理的得</w:t>
            </w:r>
            <w:r>
              <w:rPr>
                <w:rFonts w:ascii="宋体" w:hAnsi="宋体" w:cs="宋体"/>
                <w:bCs/>
                <w:color w:val="auto"/>
                <w:sz w:val="21"/>
                <w:szCs w:val="21"/>
              </w:rPr>
              <w:t>0.1</w:t>
            </w:r>
            <w:r>
              <w:rPr>
                <w:rFonts w:hint="eastAsia" w:ascii="宋体" w:hAnsi="宋体" w:cs="宋体"/>
                <w:bCs/>
                <w:color w:val="auto"/>
                <w:sz w:val="21"/>
                <w:szCs w:val="21"/>
              </w:rPr>
              <w:t>分。</w:t>
            </w:r>
          </w:p>
          <w:p w14:paraId="560B339A">
            <w:pPr>
              <w:snapToGrid w:val="0"/>
              <w:spacing w:line="240" w:lineRule="exact"/>
              <w:rPr>
                <w:rFonts w:ascii="宋体" w:hAnsi="宋体" w:cs="宋体"/>
                <w:bCs/>
                <w:color w:val="auto"/>
                <w:sz w:val="21"/>
                <w:szCs w:val="21"/>
              </w:rPr>
            </w:pPr>
            <w:r>
              <w:rPr>
                <w:rFonts w:ascii="宋体" w:hAnsi="宋体" w:cs="宋体"/>
                <w:bCs/>
                <w:color w:val="auto"/>
                <w:sz w:val="21"/>
                <w:szCs w:val="21"/>
              </w:rPr>
              <w:t>2.</w:t>
            </w:r>
            <w:r>
              <w:rPr>
                <w:rFonts w:hint="eastAsia" w:ascii="宋体" w:hAnsi="宋体" w:cs="宋体"/>
                <w:bCs/>
                <w:color w:val="auto"/>
                <w:sz w:val="21"/>
                <w:szCs w:val="21"/>
              </w:rPr>
              <w:t>本招标文件发布之日前通过</w:t>
            </w:r>
            <w:r>
              <w:rPr>
                <w:rFonts w:ascii="宋体" w:hAnsi="宋体" w:cs="宋体"/>
                <w:bCs/>
                <w:color w:val="auto"/>
                <w:sz w:val="21"/>
                <w:szCs w:val="21"/>
              </w:rPr>
              <w:t>IS014001</w:t>
            </w:r>
            <w:r>
              <w:rPr>
                <w:rFonts w:hint="eastAsia" w:ascii="宋体" w:hAnsi="宋体" w:cs="宋体"/>
                <w:bCs/>
                <w:color w:val="auto"/>
                <w:sz w:val="21"/>
                <w:szCs w:val="21"/>
              </w:rPr>
              <w:t>环境管理体系认证并承诺按此规范管理的得</w:t>
            </w:r>
            <w:r>
              <w:rPr>
                <w:rFonts w:ascii="宋体" w:hAnsi="宋体" w:cs="宋体"/>
                <w:bCs/>
                <w:color w:val="auto"/>
                <w:sz w:val="21"/>
                <w:szCs w:val="21"/>
              </w:rPr>
              <w:t>0.1</w:t>
            </w:r>
            <w:r>
              <w:rPr>
                <w:rFonts w:hint="eastAsia" w:ascii="宋体" w:hAnsi="宋体" w:cs="宋体"/>
                <w:bCs/>
                <w:color w:val="auto"/>
                <w:sz w:val="21"/>
                <w:szCs w:val="21"/>
              </w:rPr>
              <w:t>分。</w:t>
            </w:r>
          </w:p>
          <w:p w14:paraId="2B3C9A2D">
            <w:pPr>
              <w:snapToGrid w:val="0"/>
              <w:spacing w:line="240" w:lineRule="exact"/>
              <w:rPr>
                <w:rFonts w:ascii="宋体" w:hAnsi="宋体" w:cs="宋体"/>
                <w:bCs/>
                <w:color w:val="auto"/>
                <w:sz w:val="21"/>
                <w:szCs w:val="21"/>
              </w:rPr>
            </w:pPr>
            <w:r>
              <w:rPr>
                <w:rFonts w:ascii="宋体" w:hAnsi="宋体" w:cs="宋体"/>
                <w:bCs/>
                <w:color w:val="auto"/>
                <w:sz w:val="21"/>
                <w:szCs w:val="21"/>
              </w:rPr>
              <w:t>3.</w:t>
            </w:r>
            <w:r>
              <w:rPr>
                <w:rFonts w:hint="eastAsia" w:ascii="宋体" w:hAnsi="宋体" w:cs="宋体"/>
                <w:bCs/>
                <w:color w:val="auto"/>
                <w:sz w:val="21"/>
                <w:szCs w:val="21"/>
              </w:rPr>
              <w:t>本招标文件发布之日前通过</w:t>
            </w:r>
            <w:r>
              <w:rPr>
                <w:rFonts w:ascii="宋体" w:hAnsi="宋体" w:cs="宋体"/>
                <w:bCs/>
                <w:color w:val="auto"/>
                <w:sz w:val="21"/>
                <w:szCs w:val="21"/>
              </w:rPr>
              <w:t>IS045001</w:t>
            </w:r>
            <w:r>
              <w:rPr>
                <w:rFonts w:hint="eastAsia" w:ascii="宋体" w:hAnsi="宋体" w:cs="宋体"/>
                <w:bCs/>
                <w:color w:val="auto"/>
                <w:sz w:val="21"/>
                <w:szCs w:val="21"/>
              </w:rPr>
              <w:t>职业健康安全管理体系认证并承诺按此规范管理的得</w:t>
            </w:r>
            <w:r>
              <w:rPr>
                <w:rFonts w:ascii="宋体" w:hAnsi="宋体" w:cs="宋体"/>
                <w:bCs/>
                <w:color w:val="auto"/>
                <w:sz w:val="21"/>
                <w:szCs w:val="21"/>
              </w:rPr>
              <w:t>0.1</w:t>
            </w:r>
            <w:r>
              <w:rPr>
                <w:rFonts w:hint="eastAsia" w:ascii="宋体" w:hAnsi="宋体" w:cs="宋体"/>
                <w:bCs/>
                <w:color w:val="auto"/>
                <w:sz w:val="21"/>
                <w:szCs w:val="21"/>
              </w:rPr>
              <w:t>分。</w:t>
            </w:r>
          </w:p>
          <w:p w14:paraId="3F8C68F6">
            <w:pPr>
              <w:snapToGrid w:val="0"/>
              <w:spacing w:line="240" w:lineRule="exact"/>
              <w:rPr>
                <w:rFonts w:ascii="宋体" w:hAnsi="宋体" w:cs="宋体"/>
                <w:bCs/>
                <w:color w:val="auto"/>
                <w:sz w:val="21"/>
                <w:szCs w:val="21"/>
              </w:rPr>
            </w:pPr>
            <w:r>
              <w:rPr>
                <w:rFonts w:ascii="宋体" w:hAnsi="宋体" w:cs="宋体"/>
                <w:bCs/>
                <w:color w:val="auto"/>
                <w:sz w:val="21"/>
                <w:szCs w:val="21"/>
              </w:rPr>
              <w:t>4.</w:t>
            </w:r>
            <w:r>
              <w:rPr>
                <w:rFonts w:hint="eastAsia" w:ascii="宋体" w:hAnsi="宋体" w:cs="宋体"/>
                <w:bCs/>
                <w:color w:val="auto"/>
                <w:sz w:val="21"/>
                <w:szCs w:val="21"/>
              </w:rPr>
              <w:t>本招标文件发布之日前通过</w:t>
            </w:r>
            <w:r>
              <w:rPr>
                <w:rFonts w:ascii="宋体" w:hAnsi="宋体" w:cs="宋体"/>
                <w:bCs/>
                <w:color w:val="auto"/>
                <w:sz w:val="21"/>
                <w:szCs w:val="21"/>
              </w:rPr>
              <w:t>GB/T27306/IS022000</w:t>
            </w:r>
            <w:r>
              <w:rPr>
                <w:rFonts w:hint="eastAsia" w:ascii="宋体" w:hAnsi="宋体" w:cs="宋体"/>
                <w:bCs/>
                <w:color w:val="auto"/>
                <w:sz w:val="21"/>
                <w:szCs w:val="21"/>
              </w:rPr>
              <w:t>食品安全管理体系认证并承诺按此规范管理的得</w:t>
            </w:r>
            <w:r>
              <w:rPr>
                <w:rFonts w:ascii="宋体" w:hAnsi="宋体" w:cs="宋体"/>
                <w:bCs/>
                <w:color w:val="auto"/>
                <w:sz w:val="21"/>
                <w:szCs w:val="21"/>
              </w:rPr>
              <w:t>0.1</w:t>
            </w:r>
            <w:r>
              <w:rPr>
                <w:rFonts w:hint="eastAsia" w:ascii="宋体" w:hAnsi="宋体" w:cs="宋体"/>
                <w:bCs/>
                <w:color w:val="auto"/>
                <w:sz w:val="21"/>
                <w:szCs w:val="21"/>
              </w:rPr>
              <w:t>分。</w:t>
            </w:r>
          </w:p>
          <w:p w14:paraId="2C6E393E">
            <w:pPr>
              <w:snapToGrid w:val="0"/>
              <w:spacing w:line="240" w:lineRule="exact"/>
              <w:rPr>
                <w:rFonts w:ascii="宋体" w:hAnsi="宋体" w:cs="宋体"/>
                <w:bCs/>
                <w:color w:val="auto"/>
                <w:sz w:val="21"/>
                <w:szCs w:val="21"/>
              </w:rPr>
            </w:pPr>
            <w:r>
              <w:rPr>
                <w:rFonts w:ascii="宋体" w:hAnsi="宋体" w:cs="宋体"/>
                <w:bCs/>
                <w:color w:val="auto"/>
                <w:sz w:val="21"/>
                <w:szCs w:val="21"/>
              </w:rPr>
              <w:t>5.</w:t>
            </w:r>
            <w:r>
              <w:rPr>
                <w:rFonts w:hint="eastAsia" w:ascii="宋体" w:hAnsi="宋体" w:cs="宋体"/>
                <w:bCs/>
                <w:color w:val="auto"/>
                <w:sz w:val="21"/>
                <w:szCs w:val="21"/>
              </w:rPr>
              <w:t>招标文件发布之日前通过</w:t>
            </w:r>
            <w:r>
              <w:rPr>
                <w:rFonts w:ascii="宋体" w:hAnsi="宋体" w:cs="宋体"/>
                <w:bCs/>
                <w:color w:val="auto"/>
                <w:sz w:val="21"/>
                <w:szCs w:val="21"/>
              </w:rPr>
              <w:t>HACCP</w:t>
            </w:r>
            <w:r>
              <w:rPr>
                <w:rFonts w:hint="eastAsia" w:ascii="宋体" w:hAnsi="宋体" w:cs="宋体"/>
                <w:bCs/>
                <w:color w:val="auto"/>
                <w:sz w:val="21"/>
                <w:szCs w:val="21"/>
              </w:rPr>
              <w:t>危害分析与关键控制点体系认证并承诺按此规范管理的得</w:t>
            </w:r>
            <w:r>
              <w:rPr>
                <w:rFonts w:ascii="宋体" w:hAnsi="宋体" w:cs="宋体"/>
                <w:bCs/>
                <w:color w:val="auto"/>
                <w:sz w:val="21"/>
                <w:szCs w:val="21"/>
              </w:rPr>
              <w:t>0.1</w:t>
            </w:r>
            <w:r>
              <w:rPr>
                <w:rFonts w:hint="eastAsia" w:ascii="宋体" w:hAnsi="宋体" w:cs="宋体"/>
                <w:bCs/>
                <w:color w:val="auto"/>
                <w:sz w:val="21"/>
                <w:szCs w:val="21"/>
              </w:rPr>
              <w:t>分。</w:t>
            </w:r>
          </w:p>
          <w:p w14:paraId="156668F9">
            <w:pPr>
              <w:snapToGrid w:val="0"/>
              <w:spacing w:line="240" w:lineRule="exact"/>
              <w:rPr>
                <w:rFonts w:ascii="宋体" w:hAnsi="宋体" w:cs="宋体"/>
                <w:bCs/>
                <w:color w:val="auto"/>
                <w:sz w:val="21"/>
                <w:szCs w:val="21"/>
              </w:rPr>
            </w:pPr>
            <w:r>
              <w:rPr>
                <w:rFonts w:ascii="宋体" w:hAnsi="宋体" w:cs="宋体"/>
                <w:bCs/>
                <w:color w:val="auto"/>
                <w:sz w:val="21"/>
                <w:szCs w:val="21"/>
              </w:rPr>
              <w:t>6.</w:t>
            </w:r>
            <w:r>
              <w:rPr>
                <w:rFonts w:hint="eastAsia" w:ascii="宋体" w:hAnsi="宋体" w:cs="宋体"/>
                <w:bCs/>
                <w:color w:val="auto"/>
                <w:sz w:val="21"/>
                <w:szCs w:val="21"/>
              </w:rPr>
              <w:t>投标人与员工直接签订劳动合同并直接为员工购买社保人数小于</w:t>
            </w:r>
            <w:r>
              <w:rPr>
                <w:rFonts w:ascii="宋体" w:hAnsi="宋体" w:cs="宋体"/>
                <w:bCs/>
                <w:color w:val="auto"/>
                <w:sz w:val="21"/>
                <w:szCs w:val="21"/>
              </w:rPr>
              <w:t>40</w:t>
            </w:r>
            <w:r>
              <w:rPr>
                <w:rFonts w:hint="eastAsia" w:ascii="宋体" w:hAnsi="宋体" w:cs="宋体"/>
                <w:bCs/>
                <w:color w:val="auto"/>
                <w:sz w:val="21"/>
                <w:szCs w:val="21"/>
              </w:rPr>
              <w:t>人的</w:t>
            </w:r>
            <w:bookmarkStart w:id="137" w:name="OLE_LINK24"/>
            <w:r>
              <w:rPr>
                <w:rFonts w:hint="eastAsia" w:ascii="宋体" w:hAnsi="宋体" w:cs="宋体"/>
                <w:bCs/>
                <w:color w:val="auto"/>
                <w:sz w:val="21"/>
                <w:szCs w:val="21"/>
              </w:rPr>
              <w:t>得</w:t>
            </w:r>
            <w:r>
              <w:rPr>
                <w:rFonts w:ascii="宋体" w:hAnsi="宋体" w:cs="宋体"/>
                <w:bCs/>
                <w:color w:val="auto"/>
                <w:sz w:val="21"/>
                <w:szCs w:val="21"/>
              </w:rPr>
              <w:t>0</w:t>
            </w:r>
            <w:r>
              <w:rPr>
                <w:rFonts w:hint="eastAsia" w:ascii="宋体" w:hAnsi="宋体" w:cs="宋体"/>
                <w:bCs/>
                <w:color w:val="auto"/>
                <w:sz w:val="21"/>
                <w:szCs w:val="21"/>
              </w:rPr>
              <w:t>分</w:t>
            </w:r>
            <w:bookmarkEnd w:id="137"/>
            <w:r>
              <w:rPr>
                <w:rFonts w:hint="eastAsia" w:ascii="宋体" w:hAnsi="宋体" w:cs="宋体"/>
                <w:bCs/>
                <w:color w:val="auto"/>
                <w:sz w:val="21"/>
                <w:szCs w:val="21"/>
              </w:rPr>
              <w:t>，</w:t>
            </w:r>
            <w:r>
              <w:rPr>
                <w:rFonts w:ascii="宋体" w:hAnsi="宋体" w:cs="宋体"/>
                <w:bCs/>
                <w:color w:val="auto"/>
                <w:sz w:val="21"/>
                <w:szCs w:val="21"/>
              </w:rPr>
              <w:t>41</w:t>
            </w:r>
            <w:r>
              <w:rPr>
                <w:rFonts w:hint="eastAsia" w:ascii="宋体" w:hAnsi="宋体" w:cs="宋体"/>
                <w:bCs/>
                <w:color w:val="auto"/>
                <w:sz w:val="21"/>
                <w:szCs w:val="21"/>
              </w:rPr>
              <w:t>人（含）</w:t>
            </w:r>
            <w:r>
              <w:rPr>
                <w:rFonts w:ascii="宋体" w:hAnsi="宋体" w:cs="宋体"/>
                <w:bCs/>
                <w:color w:val="auto"/>
                <w:sz w:val="21"/>
                <w:szCs w:val="21"/>
              </w:rPr>
              <w:t>-80</w:t>
            </w:r>
            <w:r>
              <w:rPr>
                <w:rFonts w:hint="eastAsia" w:ascii="宋体" w:hAnsi="宋体" w:cs="宋体"/>
                <w:bCs/>
                <w:color w:val="auto"/>
                <w:sz w:val="21"/>
                <w:szCs w:val="21"/>
              </w:rPr>
              <w:t>人（不含）得</w:t>
            </w:r>
            <w:r>
              <w:rPr>
                <w:rFonts w:ascii="宋体" w:hAnsi="宋体" w:cs="宋体"/>
                <w:bCs/>
                <w:color w:val="auto"/>
                <w:sz w:val="21"/>
                <w:szCs w:val="21"/>
              </w:rPr>
              <w:t>0.5</w:t>
            </w:r>
            <w:r>
              <w:rPr>
                <w:rFonts w:hint="eastAsia" w:ascii="宋体" w:hAnsi="宋体" w:cs="宋体"/>
                <w:bCs/>
                <w:color w:val="auto"/>
                <w:sz w:val="21"/>
                <w:szCs w:val="21"/>
              </w:rPr>
              <w:t>分，</w:t>
            </w:r>
            <w:r>
              <w:rPr>
                <w:rFonts w:ascii="宋体" w:hAnsi="宋体" w:cs="宋体"/>
                <w:bCs/>
                <w:color w:val="auto"/>
                <w:sz w:val="21"/>
                <w:szCs w:val="21"/>
              </w:rPr>
              <w:t>80</w:t>
            </w:r>
            <w:r>
              <w:rPr>
                <w:rFonts w:hint="eastAsia" w:ascii="宋体" w:hAnsi="宋体" w:cs="宋体"/>
                <w:bCs/>
                <w:color w:val="auto"/>
                <w:sz w:val="21"/>
                <w:szCs w:val="21"/>
              </w:rPr>
              <w:t>人（含）</w:t>
            </w:r>
            <w:r>
              <w:rPr>
                <w:rFonts w:ascii="宋体" w:hAnsi="宋体" w:cs="宋体"/>
                <w:bCs/>
                <w:color w:val="auto"/>
                <w:sz w:val="21"/>
                <w:szCs w:val="21"/>
              </w:rPr>
              <w:t>-120</w:t>
            </w:r>
            <w:r>
              <w:rPr>
                <w:rFonts w:hint="eastAsia" w:ascii="宋体" w:hAnsi="宋体" w:cs="宋体"/>
                <w:bCs/>
                <w:color w:val="auto"/>
                <w:sz w:val="21"/>
                <w:szCs w:val="21"/>
              </w:rPr>
              <w:t>人（不含）得</w:t>
            </w:r>
            <w:r>
              <w:rPr>
                <w:rFonts w:ascii="宋体" w:hAnsi="宋体" w:cs="宋体"/>
                <w:bCs/>
                <w:color w:val="auto"/>
                <w:sz w:val="21"/>
                <w:szCs w:val="21"/>
              </w:rPr>
              <w:t>1</w:t>
            </w:r>
            <w:r>
              <w:rPr>
                <w:rFonts w:hint="eastAsia" w:ascii="宋体" w:hAnsi="宋体" w:cs="宋体"/>
                <w:bCs/>
                <w:color w:val="auto"/>
                <w:sz w:val="21"/>
                <w:szCs w:val="21"/>
              </w:rPr>
              <w:t>分，</w:t>
            </w:r>
            <w:r>
              <w:rPr>
                <w:rFonts w:ascii="宋体" w:hAnsi="宋体" w:cs="宋体"/>
                <w:bCs/>
                <w:color w:val="auto"/>
                <w:sz w:val="21"/>
                <w:szCs w:val="21"/>
              </w:rPr>
              <w:t>120</w:t>
            </w:r>
            <w:r>
              <w:rPr>
                <w:rFonts w:hint="eastAsia" w:ascii="宋体" w:hAnsi="宋体" w:cs="宋体"/>
                <w:bCs/>
                <w:color w:val="auto"/>
                <w:sz w:val="21"/>
                <w:szCs w:val="21"/>
              </w:rPr>
              <w:t>人（含）</w:t>
            </w:r>
            <w:r>
              <w:rPr>
                <w:rFonts w:ascii="宋体" w:hAnsi="宋体" w:cs="宋体"/>
                <w:bCs/>
                <w:color w:val="auto"/>
                <w:sz w:val="21"/>
                <w:szCs w:val="21"/>
              </w:rPr>
              <w:t>-200</w:t>
            </w:r>
            <w:r>
              <w:rPr>
                <w:rFonts w:hint="eastAsia" w:ascii="宋体" w:hAnsi="宋体" w:cs="宋体"/>
                <w:bCs/>
                <w:color w:val="auto"/>
                <w:sz w:val="21"/>
                <w:szCs w:val="21"/>
              </w:rPr>
              <w:t>人（不含）得</w:t>
            </w:r>
            <w:r>
              <w:rPr>
                <w:rFonts w:ascii="宋体" w:hAnsi="宋体" w:cs="宋体"/>
                <w:bCs/>
                <w:color w:val="auto"/>
                <w:sz w:val="21"/>
                <w:szCs w:val="21"/>
              </w:rPr>
              <w:t>1.5</w:t>
            </w:r>
            <w:r>
              <w:rPr>
                <w:rFonts w:hint="eastAsia" w:ascii="宋体" w:hAnsi="宋体" w:cs="宋体"/>
                <w:bCs/>
                <w:color w:val="auto"/>
                <w:sz w:val="21"/>
                <w:szCs w:val="21"/>
              </w:rPr>
              <w:t>分，</w:t>
            </w:r>
            <w:r>
              <w:rPr>
                <w:rFonts w:ascii="宋体" w:hAnsi="宋体" w:cs="宋体"/>
                <w:bCs/>
                <w:color w:val="auto"/>
                <w:sz w:val="21"/>
                <w:szCs w:val="21"/>
              </w:rPr>
              <w:t>200</w:t>
            </w:r>
            <w:r>
              <w:rPr>
                <w:rFonts w:hint="eastAsia" w:ascii="宋体" w:hAnsi="宋体" w:cs="宋体"/>
                <w:bCs/>
                <w:color w:val="auto"/>
                <w:sz w:val="21"/>
                <w:szCs w:val="21"/>
              </w:rPr>
              <w:t>人及以上的得</w:t>
            </w:r>
            <w:r>
              <w:rPr>
                <w:rFonts w:ascii="宋体" w:hAnsi="宋体" w:cs="宋体"/>
                <w:bCs/>
                <w:color w:val="auto"/>
                <w:sz w:val="21"/>
                <w:szCs w:val="21"/>
              </w:rPr>
              <w:t>2</w:t>
            </w:r>
            <w:r>
              <w:rPr>
                <w:rFonts w:hint="eastAsia" w:ascii="宋体" w:hAnsi="宋体" w:cs="宋体"/>
                <w:bCs/>
                <w:color w:val="auto"/>
                <w:sz w:val="21"/>
                <w:szCs w:val="21"/>
              </w:rPr>
              <w:t>分。</w:t>
            </w:r>
            <w:r>
              <w:rPr>
                <w:rFonts w:ascii="宋体" w:hAnsi="宋体" w:cs="宋体"/>
                <w:bCs/>
                <w:color w:val="auto"/>
                <w:sz w:val="21"/>
                <w:szCs w:val="21"/>
              </w:rPr>
              <w:t>(</w:t>
            </w:r>
            <w:r>
              <w:rPr>
                <w:rFonts w:hint="eastAsia" w:ascii="宋体" w:hAnsi="宋体" w:cs="宋体"/>
                <w:bCs/>
                <w:color w:val="auto"/>
                <w:sz w:val="21"/>
                <w:szCs w:val="21"/>
              </w:rPr>
              <w:t>提供参保员工名单并加盖公章，提供</w:t>
            </w:r>
            <w:r>
              <w:rPr>
                <w:rFonts w:ascii="宋体" w:hAnsi="宋体" w:cs="宋体"/>
                <w:bCs/>
                <w:color w:val="auto"/>
                <w:sz w:val="21"/>
                <w:szCs w:val="21"/>
              </w:rPr>
              <w:t>2025</w:t>
            </w:r>
            <w:r>
              <w:rPr>
                <w:rFonts w:hint="eastAsia" w:ascii="宋体" w:hAnsi="宋体" w:cs="宋体"/>
                <w:bCs/>
                <w:color w:val="auto"/>
                <w:sz w:val="21"/>
                <w:szCs w:val="21"/>
              </w:rPr>
              <w:t>年</w:t>
            </w:r>
            <w:r>
              <w:rPr>
                <w:rFonts w:ascii="宋体" w:hAnsi="宋体" w:cs="宋体"/>
                <w:bCs/>
                <w:color w:val="auto"/>
                <w:sz w:val="21"/>
                <w:szCs w:val="21"/>
              </w:rPr>
              <w:t>1</w:t>
            </w:r>
            <w:r>
              <w:rPr>
                <w:rFonts w:hint="eastAsia" w:ascii="宋体" w:hAnsi="宋体" w:cs="宋体"/>
                <w:bCs/>
                <w:color w:val="auto"/>
                <w:sz w:val="21"/>
                <w:szCs w:val="21"/>
              </w:rPr>
              <w:t>月</w:t>
            </w:r>
            <w:r>
              <w:rPr>
                <w:rFonts w:ascii="宋体" w:hAnsi="宋体" w:cs="宋体"/>
                <w:bCs/>
                <w:color w:val="auto"/>
                <w:sz w:val="21"/>
                <w:szCs w:val="21"/>
              </w:rPr>
              <w:t>-5</w:t>
            </w:r>
            <w:r>
              <w:rPr>
                <w:rFonts w:hint="eastAsia" w:ascii="宋体" w:hAnsi="宋体" w:cs="宋体"/>
                <w:bCs/>
                <w:color w:val="auto"/>
                <w:sz w:val="21"/>
                <w:szCs w:val="21"/>
              </w:rPr>
              <w:t>月的每月社保缴纳的银行转账证明</w:t>
            </w:r>
            <w:r>
              <w:rPr>
                <w:rFonts w:ascii="宋体" w:hAnsi="宋体" w:cs="宋体"/>
                <w:bCs/>
                <w:color w:val="auto"/>
                <w:sz w:val="21"/>
                <w:szCs w:val="21"/>
              </w:rPr>
              <w:t>)</w:t>
            </w:r>
          </w:p>
        </w:tc>
        <w:tc>
          <w:tcPr>
            <w:tcW w:w="1995" w:type="dxa"/>
          </w:tcPr>
          <w:p w14:paraId="5E0171A5">
            <w:pPr>
              <w:snapToGrid w:val="0"/>
              <w:spacing w:line="240" w:lineRule="exact"/>
              <w:rPr>
                <w:rFonts w:ascii="宋体" w:hAnsi="宋体" w:cs="宋体"/>
                <w:bCs/>
                <w:color w:val="auto"/>
                <w:sz w:val="21"/>
                <w:szCs w:val="21"/>
              </w:rPr>
            </w:pPr>
            <w:r>
              <w:rPr>
                <w:rFonts w:hint="eastAsia" w:ascii="宋体" w:hAnsi="宋体" w:cs="宋体"/>
                <w:bCs/>
                <w:color w:val="auto"/>
                <w:sz w:val="21"/>
                <w:szCs w:val="21"/>
              </w:rPr>
              <w:t>除提供以上证书复印件（加盖供应商公章）和按相关体系认证规范管理承诺书外，还需提供“国家认证认可监督管理委员会”官方网站公布的信息资料截图（加盖供应商公章）作为佐证</w:t>
            </w:r>
          </w:p>
          <w:p w14:paraId="27F8986B">
            <w:pPr>
              <w:snapToGrid w:val="0"/>
              <w:spacing w:line="240" w:lineRule="exact"/>
              <w:rPr>
                <w:rFonts w:ascii="宋体" w:hAnsi="宋体" w:cs="宋体"/>
                <w:bCs/>
                <w:color w:val="auto"/>
                <w:sz w:val="21"/>
                <w:szCs w:val="21"/>
              </w:rPr>
            </w:pPr>
            <w:r>
              <w:rPr>
                <w:rFonts w:hint="eastAsia" w:ascii="宋体" w:hAnsi="宋体" w:cs="宋体"/>
                <w:bCs/>
                <w:color w:val="auto"/>
                <w:sz w:val="21"/>
                <w:szCs w:val="21"/>
              </w:rPr>
              <w:t>【以</w:t>
            </w:r>
          </w:p>
          <w:p w14:paraId="3727866A">
            <w:pPr>
              <w:snapToGrid w:val="0"/>
              <w:spacing w:line="240" w:lineRule="exact"/>
              <w:rPr>
                <w:rFonts w:ascii="宋体" w:hAnsi="宋体" w:cs="宋体"/>
                <w:color w:val="auto"/>
                <w:sz w:val="21"/>
                <w:szCs w:val="21"/>
              </w:rPr>
            </w:pPr>
            <w:r>
              <w:rPr>
                <w:rFonts w:hint="eastAsia" w:ascii="宋体" w:hAnsi="宋体" w:cs="宋体"/>
                <w:bCs/>
                <w:color w:val="auto"/>
                <w:sz w:val="21"/>
                <w:szCs w:val="21"/>
              </w:rPr>
              <w:t>http://www.cnca.gov.cn/网站公布为准】，已失效或撤销或暂停或不一致的不得分。</w:t>
            </w:r>
          </w:p>
          <w:p w14:paraId="5480A631">
            <w:pPr>
              <w:snapToGrid w:val="0"/>
              <w:spacing w:line="240" w:lineRule="exact"/>
              <w:rPr>
                <w:rFonts w:ascii="宋体" w:hAnsi="宋体" w:cs="宋体"/>
                <w:bCs/>
                <w:color w:val="auto"/>
                <w:sz w:val="21"/>
                <w:szCs w:val="21"/>
              </w:rPr>
            </w:pPr>
          </w:p>
        </w:tc>
      </w:tr>
      <w:tr w14:paraId="373E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75" w:type="dxa"/>
            <w:vMerge w:val="continue"/>
            <w:vAlign w:val="center"/>
          </w:tcPr>
          <w:p w14:paraId="4C506917">
            <w:pPr>
              <w:jc w:val="center"/>
              <w:rPr>
                <w:rFonts w:ascii="宋体" w:hAnsi="宋体" w:cs="宋体"/>
                <w:b/>
                <w:bCs/>
                <w:color w:val="auto"/>
                <w:sz w:val="21"/>
                <w:szCs w:val="21"/>
              </w:rPr>
            </w:pPr>
          </w:p>
        </w:tc>
        <w:tc>
          <w:tcPr>
            <w:tcW w:w="1170" w:type="dxa"/>
            <w:gridSpan w:val="2"/>
            <w:vMerge w:val="continue"/>
            <w:vAlign w:val="center"/>
          </w:tcPr>
          <w:p w14:paraId="5BA5F6C9">
            <w:pPr>
              <w:ind w:firstLine="28"/>
              <w:jc w:val="center"/>
              <w:rPr>
                <w:rFonts w:ascii="宋体" w:hAnsi="宋体" w:cs="宋体"/>
                <w:b/>
                <w:bCs/>
                <w:color w:val="auto"/>
                <w:sz w:val="21"/>
                <w:szCs w:val="21"/>
              </w:rPr>
            </w:pPr>
          </w:p>
        </w:tc>
        <w:tc>
          <w:tcPr>
            <w:tcW w:w="688" w:type="dxa"/>
            <w:vMerge w:val="continue"/>
            <w:vAlign w:val="center"/>
          </w:tcPr>
          <w:p w14:paraId="0ED635A3">
            <w:pPr>
              <w:ind w:firstLine="28"/>
              <w:jc w:val="center"/>
              <w:rPr>
                <w:rFonts w:ascii="宋体" w:hAnsi="宋体" w:cs="宋体"/>
                <w:b/>
                <w:bCs/>
                <w:color w:val="auto"/>
                <w:sz w:val="21"/>
                <w:szCs w:val="21"/>
              </w:rPr>
            </w:pPr>
          </w:p>
        </w:tc>
        <w:tc>
          <w:tcPr>
            <w:tcW w:w="5361" w:type="dxa"/>
            <w:tcBorders>
              <w:top w:val="single" w:color="auto" w:sz="4" w:space="0"/>
            </w:tcBorders>
          </w:tcPr>
          <w:p w14:paraId="0476A8B1">
            <w:pPr>
              <w:snapToGrid w:val="0"/>
              <w:spacing w:line="240" w:lineRule="exact"/>
              <w:rPr>
                <w:rFonts w:ascii="宋体" w:hAnsi="宋体" w:cs="宋体"/>
                <w:bCs/>
                <w:color w:val="auto"/>
                <w:sz w:val="21"/>
                <w:szCs w:val="21"/>
              </w:rPr>
            </w:pPr>
            <w:r>
              <w:rPr>
                <w:rFonts w:hint="eastAsia" w:ascii="宋体" w:hAnsi="宋体" w:cs="宋体"/>
                <w:bCs/>
                <w:color w:val="auto"/>
                <w:sz w:val="21"/>
                <w:szCs w:val="21"/>
              </w:rPr>
              <w:t>三、供应商经济实力和财务状况（</w:t>
            </w:r>
            <w:r>
              <w:rPr>
                <w:rFonts w:ascii="宋体" w:hAnsi="宋体" w:cs="宋体"/>
                <w:bCs/>
                <w:color w:val="auto"/>
                <w:sz w:val="21"/>
                <w:szCs w:val="21"/>
              </w:rPr>
              <w:t>5.5</w:t>
            </w:r>
            <w:r>
              <w:rPr>
                <w:rFonts w:hint="eastAsia" w:ascii="宋体" w:hAnsi="宋体" w:cs="宋体"/>
                <w:bCs/>
                <w:color w:val="auto"/>
                <w:sz w:val="21"/>
                <w:szCs w:val="21"/>
              </w:rPr>
              <w:t>分）</w:t>
            </w:r>
          </w:p>
          <w:p w14:paraId="656B2E2C">
            <w:pPr>
              <w:snapToGrid w:val="0"/>
              <w:spacing w:line="240" w:lineRule="exact"/>
              <w:rPr>
                <w:rFonts w:ascii="宋体" w:hAnsi="宋体" w:cs="宋体"/>
                <w:bCs/>
                <w:color w:val="auto"/>
                <w:sz w:val="21"/>
                <w:szCs w:val="21"/>
              </w:rPr>
            </w:pPr>
            <w:r>
              <w:rPr>
                <w:rFonts w:ascii="宋体" w:hAnsi="宋体" w:cs="宋体"/>
                <w:bCs/>
                <w:color w:val="auto"/>
                <w:sz w:val="21"/>
                <w:szCs w:val="21"/>
              </w:rPr>
              <w:t>1.</w:t>
            </w:r>
            <w:r>
              <w:rPr>
                <w:rFonts w:hint="eastAsia" w:ascii="宋体" w:hAnsi="宋体" w:cs="宋体"/>
                <w:bCs/>
                <w:color w:val="auto"/>
                <w:sz w:val="21"/>
                <w:szCs w:val="21"/>
              </w:rPr>
              <w:t>供应商</w:t>
            </w:r>
            <w:r>
              <w:rPr>
                <w:rFonts w:ascii="宋体" w:hAnsi="宋体" w:cs="宋体"/>
                <w:bCs/>
                <w:color w:val="auto"/>
                <w:sz w:val="21"/>
                <w:szCs w:val="21"/>
              </w:rPr>
              <w:t>2022-2024</w:t>
            </w:r>
            <w:r>
              <w:rPr>
                <w:rFonts w:hint="eastAsia" w:ascii="宋体" w:hAnsi="宋体" w:cs="宋体"/>
                <w:bCs/>
                <w:color w:val="auto"/>
                <w:sz w:val="21"/>
                <w:szCs w:val="21"/>
              </w:rPr>
              <w:t>年度财务报表为盈利，得</w:t>
            </w:r>
            <w:r>
              <w:rPr>
                <w:rFonts w:ascii="宋体" w:hAnsi="宋体" w:cs="宋体"/>
                <w:bCs/>
                <w:color w:val="auto"/>
                <w:sz w:val="21"/>
                <w:szCs w:val="21"/>
              </w:rPr>
              <w:t>0.5</w:t>
            </w:r>
            <w:r>
              <w:rPr>
                <w:rFonts w:hint="eastAsia" w:ascii="宋体" w:hAnsi="宋体" w:cs="宋体"/>
                <w:bCs/>
                <w:color w:val="auto"/>
                <w:sz w:val="21"/>
                <w:szCs w:val="21"/>
              </w:rPr>
              <w:t>分。</w:t>
            </w:r>
          </w:p>
          <w:p w14:paraId="29F29FC6">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提供</w:t>
            </w:r>
            <w:r>
              <w:rPr>
                <w:rFonts w:ascii="宋体" w:hAnsi="宋体" w:cs="宋体"/>
                <w:bCs/>
                <w:color w:val="auto"/>
                <w:sz w:val="21"/>
                <w:szCs w:val="21"/>
              </w:rPr>
              <w:t>2022</w:t>
            </w:r>
            <w:r>
              <w:rPr>
                <w:rFonts w:hint="eastAsia" w:ascii="宋体" w:hAnsi="宋体" w:cs="宋体"/>
                <w:bCs/>
                <w:color w:val="auto"/>
                <w:sz w:val="21"/>
                <w:szCs w:val="21"/>
              </w:rPr>
              <w:t>、</w:t>
            </w:r>
            <w:r>
              <w:rPr>
                <w:rFonts w:ascii="宋体" w:hAnsi="宋体" w:cs="宋体"/>
                <w:bCs/>
                <w:color w:val="auto"/>
                <w:sz w:val="21"/>
                <w:szCs w:val="21"/>
              </w:rPr>
              <w:t>2023</w:t>
            </w:r>
            <w:r>
              <w:rPr>
                <w:rFonts w:hint="eastAsia" w:ascii="宋体" w:hAnsi="宋体" w:cs="宋体"/>
                <w:bCs/>
                <w:color w:val="auto"/>
                <w:sz w:val="21"/>
                <w:szCs w:val="21"/>
              </w:rPr>
              <w:t>、</w:t>
            </w:r>
            <w:r>
              <w:rPr>
                <w:rFonts w:ascii="宋体" w:hAnsi="宋体" w:cs="宋体"/>
                <w:bCs/>
                <w:color w:val="auto"/>
                <w:sz w:val="21"/>
                <w:szCs w:val="21"/>
              </w:rPr>
              <w:t>2024</w:t>
            </w:r>
            <w:r>
              <w:rPr>
                <w:rFonts w:hint="eastAsia" w:ascii="宋体" w:hAnsi="宋体" w:cs="宋体"/>
                <w:bCs/>
                <w:color w:val="auto"/>
                <w:sz w:val="21"/>
                <w:szCs w:val="21"/>
              </w:rPr>
              <w:t>年第三方专业机构提供的财务审计报告扫描件加盖公章，核查原件；未提供或不满足不得分。</w:t>
            </w:r>
          </w:p>
          <w:p w14:paraId="3EE8BC96">
            <w:pPr>
              <w:snapToGrid w:val="0"/>
              <w:spacing w:line="240" w:lineRule="exact"/>
              <w:rPr>
                <w:rFonts w:ascii="宋体" w:hAnsi="宋体" w:cs="宋体"/>
                <w:bCs/>
                <w:color w:val="auto"/>
                <w:sz w:val="21"/>
                <w:szCs w:val="21"/>
              </w:rPr>
            </w:pPr>
            <w:r>
              <w:rPr>
                <w:rFonts w:ascii="宋体" w:hAnsi="宋体" w:cs="宋体"/>
                <w:bCs/>
                <w:color w:val="auto"/>
                <w:sz w:val="21"/>
                <w:szCs w:val="21"/>
              </w:rPr>
              <w:t>2.</w:t>
            </w:r>
            <w:r>
              <w:rPr>
                <w:rFonts w:hint="eastAsia" w:ascii="宋体" w:hAnsi="宋体" w:cs="宋体"/>
                <w:bCs/>
                <w:color w:val="auto"/>
                <w:sz w:val="21"/>
                <w:szCs w:val="21"/>
              </w:rPr>
              <w:t>企业纳税：投标人应守法经营，具有良好的纳税信用记录，投标人最近三年获得过国家税务部门</w:t>
            </w:r>
            <w:r>
              <w:rPr>
                <w:rFonts w:ascii="宋体" w:hAnsi="宋体" w:cs="宋体"/>
                <w:bCs/>
                <w:color w:val="auto"/>
                <w:sz w:val="21"/>
                <w:szCs w:val="21"/>
              </w:rPr>
              <w:t>A</w:t>
            </w:r>
            <w:r>
              <w:rPr>
                <w:rFonts w:hint="eastAsia" w:ascii="宋体" w:hAnsi="宋体" w:cs="宋体"/>
                <w:bCs/>
                <w:color w:val="auto"/>
                <w:sz w:val="21"/>
                <w:szCs w:val="21"/>
              </w:rPr>
              <w:t>级纳税人荣誉的得</w:t>
            </w:r>
            <w:r>
              <w:rPr>
                <w:rFonts w:ascii="宋体" w:hAnsi="宋体" w:cs="宋体"/>
                <w:bCs/>
                <w:color w:val="auto"/>
                <w:sz w:val="21"/>
                <w:szCs w:val="21"/>
              </w:rPr>
              <w:t>2</w:t>
            </w:r>
            <w:r>
              <w:rPr>
                <w:rFonts w:hint="eastAsia" w:ascii="宋体" w:hAnsi="宋体" w:cs="宋体"/>
                <w:bCs/>
                <w:color w:val="auto"/>
                <w:sz w:val="21"/>
                <w:szCs w:val="21"/>
              </w:rPr>
              <w:t>分；证明材料：投标人需提供国家税务部门官网公示的纳税信用等级情况查询结果截图作证明；</w:t>
            </w:r>
          </w:p>
          <w:p w14:paraId="74F78C37">
            <w:pPr>
              <w:snapToGrid w:val="0"/>
              <w:spacing w:line="240" w:lineRule="exact"/>
              <w:rPr>
                <w:rFonts w:ascii="宋体" w:hAnsi="宋体" w:cs="宋体"/>
                <w:bCs/>
                <w:color w:val="auto"/>
                <w:sz w:val="21"/>
                <w:szCs w:val="21"/>
              </w:rPr>
            </w:pPr>
            <w:r>
              <w:rPr>
                <w:rFonts w:ascii="宋体" w:hAnsi="宋体" w:cs="宋体"/>
                <w:bCs/>
                <w:color w:val="auto"/>
                <w:sz w:val="21"/>
                <w:szCs w:val="21"/>
              </w:rPr>
              <w:t>3.</w:t>
            </w:r>
            <w:r>
              <w:rPr>
                <w:rFonts w:hint="eastAsia" w:ascii="宋体" w:hAnsi="宋体" w:cs="宋体"/>
                <w:bCs/>
                <w:color w:val="auto"/>
                <w:sz w:val="21"/>
                <w:szCs w:val="21"/>
              </w:rPr>
              <w:t>注册资金。实缴</w:t>
            </w:r>
            <w:r>
              <w:rPr>
                <w:rFonts w:ascii="宋体" w:hAnsi="宋体" w:cs="宋体"/>
                <w:bCs/>
                <w:color w:val="auto"/>
                <w:sz w:val="21"/>
                <w:szCs w:val="21"/>
              </w:rPr>
              <w:t>100</w:t>
            </w:r>
            <w:r>
              <w:rPr>
                <w:rFonts w:hint="eastAsia" w:ascii="宋体" w:hAnsi="宋体" w:cs="宋体"/>
                <w:bCs/>
                <w:color w:val="auto"/>
                <w:sz w:val="21"/>
                <w:szCs w:val="21"/>
              </w:rPr>
              <w:t>万以下的不得分，实缴</w:t>
            </w:r>
            <w:r>
              <w:rPr>
                <w:rFonts w:ascii="宋体" w:hAnsi="宋体" w:cs="宋体"/>
                <w:bCs/>
                <w:color w:val="auto"/>
                <w:sz w:val="21"/>
                <w:szCs w:val="21"/>
              </w:rPr>
              <w:t>100</w:t>
            </w:r>
            <w:r>
              <w:rPr>
                <w:rFonts w:hint="eastAsia" w:ascii="宋体" w:hAnsi="宋体" w:cs="宋体"/>
                <w:bCs/>
                <w:color w:val="auto"/>
                <w:sz w:val="21"/>
                <w:szCs w:val="21"/>
              </w:rPr>
              <w:t>万（含）</w:t>
            </w:r>
            <w:r>
              <w:rPr>
                <w:rFonts w:ascii="宋体" w:hAnsi="宋体" w:cs="宋体"/>
                <w:bCs/>
                <w:color w:val="auto"/>
                <w:sz w:val="21"/>
                <w:szCs w:val="21"/>
              </w:rPr>
              <w:t>-500</w:t>
            </w:r>
            <w:r>
              <w:rPr>
                <w:rFonts w:hint="eastAsia" w:ascii="宋体" w:hAnsi="宋体" w:cs="宋体"/>
                <w:bCs/>
                <w:color w:val="auto"/>
                <w:sz w:val="21"/>
                <w:szCs w:val="21"/>
              </w:rPr>
              <w:t>万（不含）的得</w:t>
            </w:r>
            <w:r>
              <w:rPr>
                <w:rFonts w:ascii="宋体" w:hAnsi="宋体" w:cs="宋体"/>
                <w:bCs/>
                <w:color w:val="auto"/>
                <w:sz w:val="21"/>
                <w:szCs w:val="21"/>
              </w:rPr>
              <w:t>0.5</w:t>
            </w:r>
            <w:r>
              <w:rPr>
                <w:rFonts w:hint="eastAsia" w:ascii="宋体" w:hAnsi="宋体" w:cs="宋体"/>
                <w:bCs/>
                <w:color w:val="auto"/>
                <w:sz w:val="21"/>
                <w:szCs w:val="21"/>
              </w:rPr>
              <w:t>分，实缴</w:t>
            </w:r>
            <w:r>
              <w:rPr>
                <w:rFonts w:ascii="宋体" w:hAnsi="宋体" w:cs="宋体"/>
                <w:bCs/>
                <w:color w:val="auto"/>
                <w:sz w:val="21"/>
                <w:szCs w:val="21"/>
              </w:rPr>
              <w:t>500</w:t>
            </w:r>
            <w:r>
              <w:rPr>
                <w:rFonts w:hint="eastAsia" w:ascii="宋体" w:hAnsi="宋体" w:cs="宋体"/>
                <w:bCs/>
                <w:color w:val="auto"/>
                <w:sz w:val="21"/>
                <w:szCs w:val="21"/>
              </w:rPr>
              <w:t>万（含）</w:t>
            </w:r>
            <w:r>
              <w:rPr>
                <w:rFonts w:ascii="宋体" w:hAnsi="宋体" w:cs="宋体"/>
                <w:bCs/>
                <w:color w:val="auto"/>
                <w:sz w:val="21"/>
                <w:szCs w:val="21"/>
              </w:rPr>
              <w:t>-1000</w:t>
            </w:r>
            <w:r>
              <w:rPr>
                <w:rFonts w:hint="eastAsia" w:ascii="宋体" w:hAnsi="宋体" w:cs="宋体"/>
                <w:bCs/>
                <w:color w:val="auto"/>
                <w:sz w:val="21"/>
                <w:szCs w:val="21"/>
              </w:rPr>
              <w:t>万（不含）得</w:t>
            </w:r>
            <w:r>
              <w:rPr>
                <w:rFonts w:ascii="宋体" w:hAnsi="宋体" w:cs="宋体"/>
                <w:bCs/>
                <w:color w:val="auto"/>
                <w:sz w:val="21"/>
                <w:szCs w:val="21"/>
              </w:rPr>
              <w:t>1</w:t>
            </w:r>
            <w:r>
              <w:rPr>
                <w:rFonts w:hint="eastAsia" w:ascii="宋体" w:hAnsi="宋体" w:cs="宋体"/>
                <w:bCs/>
                <w:color w:val="auto"/>
                <w:sz w:val="21"/>
                <w:szCs w:val="21"/>
              </w:rPr>
              <w:t>分，实缴</w:t>
            </w:r>
            <w:r>
              <w:rPr>
                <w:rFonts w:ascii="宋体" w:hAnsi="宋体" w:cs="宋体"/>
                <w:bCs/>
                <w:color w:val="auto"/>
                <w:sz w:val="21"/>
                <w:szCs w:val="21"/>
              </w:rPr>
              <w:t>1000</w:t>
            </w:r>
            <w:r>
              <w:rPr>
                <w:rFonts w:hint="eastAsia" w:ascii="宋体" w:hAnsi="宋体" w:cs="宋体"/>
                <w:bCs/>
                <w:color w:val="auto"/>
                <w:sz w:val="21"/>
                <w:szCs w:val="21"/>
              </w:rPr>
              <w:t>万（含）</w:t>
            </w:r>
            <w:r>
              <w:rPr>
                <w:rFonts w:ascii="宋体" w:hAnsi="宋体" w:cs="宋体"/>
                <w:bCs/>
                <w:color w:val="auto"/>
                <w:sz w:val="21"/>
                <w:szCs w:val="21"/>
              </w:rPr>
              <w:t>-2000</w:t>
            </w:r>
            <w:r>
              <w:rPr>
                <w:rFonts w:hint="eastAsia" w:ascii="宋体" w:hAnsi="宋体" w:cs="宋体"/>
                <w:bCs/>
                <w:color w:val="auto"/>
                <w:sz w:val="21"/>
                <w:szCs w:val="21"/>
              </w:rPr>
              <w:t>万（不含）的得</w:t>
            </w:r>
            <w:r>
              <w:rPr>
                <w:rFonts w:ascii="宋体" w:hAnsi="宋体" w:cs="宋体"/>
                <w:bCs/>
                <w:color w:val="auto"/>
                <w:sz w:val="21"/>
                <w:szCs w:val="21"/>
              </w:rPr>
              <w:t>2</w:t>
            </w:r>
            <w:r>
              <w:rPr>
                <w:rFonts w:hint="eastAsia" w:ascii="宋体" w:hAnsi="宋体" w:cs="宋体"/>
                <w:bCs/>
                <w:color w:val="auto"/>
                <w:sz w:val="21"/>
                <w:szCs w:val="21"/>
              </w:rPr>
              <w:t>分，</w:t>
            </w:r>
            <w:r>
              <w:rPr>
                <w:rFonts w:ascii="宋体" w:hAnsi="宋体" w:cs="宋体"/>
                <w:bCs/>
                <w:color w:val="auto"/>
                <w:sz w:val="21"/>
                <w:szCs w:val="21"/>
              </w:rPr>
              <w:t>2000</w:t>
            </w:r>
            <w:r>
              <w:rPr>
                <w:rFonts w:hint="eastAsia" w:ascii="宋体" w:hAnsi="宋体" w:cs="宋体"/>
                <w:bCs/>
                <w:color w:val="auto"/>
                <w:sz w:val="21"/>
                <w:szCs w:val="21"/>
              </w:rPr>
              <w:t>万及以上的得</w:t>
            </w:r>
            <w:r>
              <w:rPr>
                <w:rFonts w:ascii="宋体" w:hAnsi="宋体" w:cs="宋体"/>
                <w:bCs/>
                <w:color w:val="auto"/>
                <w:sz w:val="21"/>
                <w:szCs w:val="21"/>
              </w:rPr>
              <w:t>3</w:t>
            </w:r>
            <w:r>
              <w:rPr>
                <w:rFonts w:hint="eastAsia" w:ascii="宋体" w:hAnsi="宋体" w:cs="宋体"/>
                <w:bCs/>
                <w:color w:val="auto"/>
                <w:sz w:val="21"/>
                <w:szCs w:val="21"/>
              </w:rPr>
              <w:t>分。提供证明材料：须提供有效的营业执照复印件并加盖参与人单位公章；提供国家企业信用信息公示系统查询记录证明材料，否则不计分。</w:t>
            </w:r>
          </w:p>
        </w:tc>
        <w:tc>
          <w:tcPr>
            <w:tcW w:w="1995" w:type="dxa"/>
          </w:tcPr>
          <w:p w14:paraId="5EC948F8">
            <w:pPr>
              <w:snapToGrid w:val="0"/>
              <w:spacing w:line="240" w:lineRule="exact"/>
              <w:rPr>
                <w:rFonts w:ascii="宋体" w:hAnsi="宋体" w:cs="宋体"/>
                <w:bCs/>
                <w:color w:val="auto"/>
                <w:sz w:val="21"/>
                <w:szCs w:val="21"/>
              </w:rPr>
            </w:pPr>
          </w:p>
        </w:tc>
      </w:tr>
      <w:tr w14:paraId="46D3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75" w:type="dxa"/>
            <w:vMerge w:val="continue"/>
            <w:vAlign w:val="center"/>
          </w:tcPr>
          <w:p w14:paraId="68AC7582">
            <w:pPr>
              <w:jc w:val="center"/>
              <w:rPr>
                <w:rFonts w:ascii="宋体" w:hAnsi="宋体" w:cs="宋体"/>
                <w:b/>
                <w:bCs/>
                <w:color w:val="auto"/>
                <w:sz w:val="21"/>
                <w:szCs w:val="21"/>
              </w:rPr>
            </w:pPr>
          </w:p>
        </w:tc>
        <w:tc>
          <w:tcPr>
            <w:tcW w:w="1170" w:type="dxa"/>
            <w:gridSpan w:val="2"/>
            <w:vMerge w:val="continue"/>
            <w:vAlign w:val="center"/>
          </w:tcPr>
          <w:p w14:paraId="2F49EA7B">
            <w:pPr>
              <w:ind w:firstLine="28"/>
              <w:jc w:val="center"/>
              <w:rPr>
                <w:rFonts w:ascii="宋体" w:hAnsi="宋体" w:cs="宋体"/>
                <w:b/>
                <w:bCs/>
                <w:color w:val="auto"/>
                <w:sz w:val="21"/>
                <w:szCs w:val="21"/>
              </w:rPr>
            </w:pPr>
          </w:p>
        </w:tc>
        <w:tc>
          <w:tcPr>
            <w:tcW w:w="688" w:type="dxa"/>
            <w:vMerge w:val="continue"/>
            <w:vAlign w:val="center"/>
          </w:tcPr>
          <w:p w14:paraId="39D22E7B">
            <w:pPr>
              <w:ind w:firstLine="28"/>
              <w:jc w:val="center"/>
              <w:rPr>
                <w:rFonts w:ascii="宋体" w:hAnsi="宋体" w:cs="宋体"/>
                <w:b/>
                <w:bCs/>
                <w:color w:val="auto"/>
                <w:sz w:val="21"/>
                <w:szCs w:val="21"/>
              </w:rPr>
            </w:pPr>
          </w:p>
        </w:tc>
        <w:tc>
          <w:tcPr>
            <w:tcW w:w="5361" w:type="dxa"/>
            <w:tcBorders>
              <w:top w:val="single" w:color="auto" w:sz="4" w:space="0"/>
              <w:bottom w:val="single" w:color="auto" w:sz="4" w:space="0"/>
            </w:tcBorders>
          </w:tcPr>
          <w:p w14:paraId="14901C9B">
            <w:pPr>
              <w:snapToGrid w:val="0"/>
              <w:spacing w:line="240" w:lineRule="exact"/>
              <w:rPr>
                <w:rFonts w:ascii="宋体" w:hAnsi="宋体" w:cs="宋体"/>
                <w:bCs/>
                <w:color w:val="auto"/>
                <w:sz w:val="21"/>
                <w:szCs w:val="21"/>
              </w:rPr>
            </w:pPr>
            <w:r>
              <w:rPr>
                <w:rFonts w:hint="eastAsia" w:ascii="宋体" w:hAnsi="宋体" w:cs="宋体"/>
                <w:bCs/>
                <w:color w:val="auto"/>
                <w:sz w:val="21"/>
                <w:szCs w:val="21"/>
              </w:rPr>
              <w:t>五、供应商经营业绩（12分）</w:t>
            </w:r>
          </w:p>
          <w:p w14:paraId="1DAB879C">
            <w:pPr>
              <w:snapToGrid w:val="0"/>
              <w:spacing w:line="240" w:lineRule="exact"/>
              <w:rPr>
                <w:rFonts w:ascii="宋体" w:hAnsi="宋体" w:cs="宋体"/>
                <w:bCs/>
                <w:color w:val="auto"/>
                <w:sz w:val="21"/>
                <w:szCs w:val="21"/>
              </w:rPr>
            </w:pPr>
            <w:r>
              <w:rPr>
                <w:rFonts w:hint="eastAsia" w:ascii="宋体" w:hAnsi="宋体" w:cs="宋体"/>
                <w:bCs/>
                <w:color w:val="auto"/>
                <w:sz w:val="21"/>
                <w:szCs w:val="21"/>
              </w:rPr>
              <w:t>目前在经营的高校同类型食堂（服务合同三年及以上）,经营面积2000（含）-4000（不含）平方米，每份合同得1分；经营面积4000（含）-6000（不含）平方米每份合同得2分；6000（含）-8000（不含）平方米每份合同得3分，经营面积8000（含）平方米以上每份合同得4分。（本项累计最高不超过12分）</w:t>
            </w:r>
          </w:p>
          <w:p w14:paraId="1061B633">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（提供：提供汇总一览表，完整的合同复印件，原件备查。不满足上述要求的业绩无效）。</w:t>
            </w:r>
          </w:p>
        </w:tc>
        <w:tc>
          <w:tcPr>
            <w:tcW w:w="1995" w:type="dxa"/>
          </w:tcPr>
          <w:p w14:paraId="7AF8DD0E">
            <w:pPr>
              <w:snapToGrid w:val="0"/>
              <w:spacing w:line="240" w:lineRule="exact"/>
              <w:rPr>
                <w:rFonts w:ascii="宋体" w:hAnsi="宋体" w:cs="宋体"/>
                <w:bCs/>
                <w:color w:val="auto"/>
                <w:sz w:val="21"/>
                <w:szCs w:val="21"/>
              </w:rPr>
            </w:pPr>
            <w:r>
              <w:rPr>
                <w:rFonts w:hint="eastAsia" w:ascii="宋体" w:hAnsi="宋体" w:cs="宋体"/>
                <w:bCs/>
                <w:color w:val="auto"/>
                <w:sz w:val="21"/>
                <w:szCs w:val="21"/>
              </w:rPr>
              <w:t>提供合同复印件及2025年以来至少3个月与合同一致的经营高校转账流水并加盖银行公章（原件备查）。合同上未标明面积的不得分；服务同一高校的，</w:t>
            </w:r>
            <w:r>
              <w:rPr>
                <w:rFonts w:hint="eastAsia" w:ascii="宋体" w:hAnsi="宋体" w:cs="宋体"/>
                <w:bCs/>
                <w:color w:val="auto"/>
                <w:sz w:val="21"/>
                <w:szCs w:val="21"/>
                <w:lang w:val="en-US" w:eastAsia="zh-CN"/>
              </w:rPr>
              <w:t>有多个承包合同的，</w:t>
            </w:r>
            <w:r>
              <w:rPr>
                <w:rFonts w:hint="eastAsia" w:ascii="宋体" w:hAnsi="宋体" w:cs="宋体"/>
                <w:bCs/>
                <w:color w:val="auto"/>
                <w:sz w:val="21"/>
                <w:szCs w:val="21"/>
              </w:rPr>
              <w:t>只</w:t>
            </w:r>
            <w:r>
              <w:rPr>
                <w:rFonts w:hint="eastAsia" w:ascii="宋体" w:hAnsi="宋体" w:cs="宋体"/>
                <w:bCs/>
                <w:color w:val="auto"/>
                <w:sz w:val="21"/>
                <w:szCs w:val="21"/>
                <w:lang w:val="en-US" w:eastAsia="zh-CN"/>
              </w:rPr>
              <w:t>计</w:t>
            </w:r>
            <w:r>
              <w:rPr>
                <w:rFonts w:hint="eastAsia" w:ascii="宋体" w:hAnsi="宋体" w:cs="宋体"/>
                <w:bCs/>
                <w:color w:val="auto"/>
                <w:sz w:val="21"/>
                <w:szCs w:val="21"/>
              </w:rPr>
              <w:t>算承包面积最大的合同</w:t>
            </w:r>
            <w:r>
              <w:rPr>
                <w:rFonts w:hint="eastAsia" w:ascii="宋体" w:hAnsi="宋体" w:cs="宋体"/>
                <w:bCs/>
                <w:color w:val="auto"/>
                <w:sz w:val="21"/>
                <w:szCs w:val="21"/>
                <w:lang w:val="en-US" w:eastAsia="zh-CN"/>
              </w:rPr>
              <w:t>，该高校的其他合同不再计算</w:t>
            </w:r>
            <w:r>
              <w:rPr>
                <w:rFonts w:hint="eastAsia" w:ascii="宋体" w:hAnsi="宋体" w:cs="宋体"/>
                <w:bCs/>
                <w:color w:val="auto"/>
                <w:sz w:val="21"/>
                <w:szCs w:val="21"/>
              </w:rPr>
              <w:t>。</w:t>
            </w:r>
          </w:p>
        </w:tc>
      </w:tr>
    </w:tbl>
    <w:p w14:paraId="3A91EA5D">
      <w:pPr>
        <w:rPr>
          <w:rFonts w:ascii="宋体" w:hAnsi="宋体" w:cs="宋体"/>
          <w:color w:val="auto"/>
          <w:sz w:val="24"/>
          <w:szCs w:val="24"/>
        </w:rPr>
      </w:pPr>
    </w:p>
    <w:p w14:paraId="4B4E5E97">
      <w:pPr>
        <w:rPr>
          <w:rFonts w:ascii="宋体" w:hAnsi="宋体" w:cs="宋体"/>
          <w:color w:val="auto"/>
          <w:sz w:val="24"/>
          <w:szCs w:val="24"/>
        </w:rPr>
      </w:pPr>
    </w:p>
    <w:p w14:paraId="35C788D5">
      <w:pPr>
        <w:rPr>
          <w:rFonts w:ascii="宋体" w:hAnsi="宋体" w:cs="宋体"/>
          <w:color w:val="auto"/>
          <w:sz w:val="24"/>
          <w:szCs w:val="24"/>
        </w:rPr>
      </w:pPr>
    </w:p>
    <w:bookmarkEnd w:id="134"/>
    <w:bookmarkEnd w:id="135"/>
    <w:p w14:paraId="483FD417">
      <w:pPr>
        <w:pStyle w:val="4"/>
        <w:spacing w:before="0" w:after="0" w:line="400" w:lineRule="exact"/>
        <w:rPr>
          <w:rFonts w:ascii="宋体" w:hAnsi="宋体" w:cs="宋体"/>
          <w:b w:val="0"/>
          <w:color w:val="auto"/>
          <w:sz w:val="24"/>
          <w:szCs w:val="24"/>
        </w:rPr>
      </w:pPr>
      <w:bookmarkStart w:id="138" w:name="_Toc8405"/>
      <w:bookmarkStart w:id="139" w:name="_Toc29793"/>
      <w:r>
        <w:rPr>
          <w:rFonts w:hint="eastAsia" w:ascii="宋体" w:hAnsi="宋体" w:cs="宋体"/>
          <w:b w:val="0"/>
          <w:color w:val="auto"/>
          <w:sz w:val="24"/>
          <w:szCs w:val="24"/>
        </w:rPr>
        <w:t>三、无效响应</w:t>
      </w:r>
      <w:bookmarkEnd w:id="138"/>
      <w:bookmarkEnd w:id="139"/>
    </w:p>
    <w:p w14:paraId="3B90EDC3">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供应商发生以下条款情况之一者，视为无效响应，其响应文件将被拒绝：</w:t>
      </w:r>
    </w:p>
    <w:p w14:paraId="53DC0630">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（一）供应商不符合规定的基本资格条件或特定资格条件的；</w:t>
      </w:r>
    </w:p>
    <w:p w14:paraId="55F8DD1C">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（二）供应商的法定代表人或其授权代表未参加磋商；</w:t>
      </w:r>
    </w:p>
    <w:p w14:paraId="1CE5ECDB">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（三）供应商未按照竞争性磋商文件的要求缴纳磋商保证金；</w:t>
      </w:r>
    </w:p>
    <w:p w14:paraId="72B6277A">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（四）供应商所提交的响应文件不按第六篇“响应文件编制要求”规定签字、盖章；</w:t>
      </w:r>
    </w:p>
    <w:p w14:paraId="0DF2A078">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（五）供应商的最后报价低于采购预算的最低限价或最高限价的；</w:t>
      </w:r>
    </w:p>
    <w:p w14:paraId="5D5004FE">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（六）法定代表人为同一个人的两个及两个以上法人，母公司、全资子公司及其控股公司，在同一分包采购中同时参与磋商；</w:t>
      </w:r>
    </w:p>
    <w:p w14:paraId="0DB59C47">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（七）单位负责人为同一人或者存在直接控股、管理关系的不同供应商，参加同一合同项下的政府采购活动的；</w:t>
      </w:r>
    </w:p>
    <w:p w14:paraId="08F1BF69">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（八）为采购项目提供整体设计、规范编制或者项目管理、监理、检测等服务的供应商，再参加该采购项目的其他采购活动；</w:t>
      </w:r>
    </w:p>
    <w:p w14:paraId="52B43FE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（九）供应商磋商服务期、质量保证期及磋商有效期不满足竞争性磋商文件要求的；</w:t>
      </w:r>
    </w:p>
    <w:p w14:paraId="6DD2CB0E">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（十）供应商响应文件内容有与国家现行法律法规相违背的内容，或附有采购人无法接受的条件。</w:t>
      </w:r>
    </w:p>
    <w:p w14:paraId="03B084FA">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（十一）供应商以联合体形式参与磋商的；</w:t>
      </w:r>
    </w:p>
    <w:p w14:paraId="134DA72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（十二）供应商被列入失信被执行人、发生过重大食品安全事故、重大税收违法案件当事人名单、政府采购严重违法失信行为记录名单及其他不符合《中华人民共和国政府采购法》第二十二条规定条件的。</w:t>
      </w:r>
    </w:p>
    <w:p w14:paraId="2B32549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（十三）采购人基建后勤处须核对所有成交商提供的资质与业绩相关的所有原始材料，不能按采购人基建后勤处通知要求提交或者材料有问题的，取消中标资格。</w:t>
      </w:r>
    </w:p>
    <w:p w14:paraId="3233571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（十四）所有投标人必须是投标公司自主独立经营，不得有转包、分包、挂靠等行为，否则，取消中标资格。</w:t>
      </w:r>
    </w:p>
    <w:p w14:paraId="436D963C">
      <w:pPr>
        <w:pStyle w:val="4"/>
        <w:spacing w:before="0" w:after="0" w:line="400" w:lineRule="exact"/>
        <w:rPr>
          <w:rFonts w:ascii="宋体" w:hAnsi="宋体" w:cs="宋体"/>
          <w:b w:val="0"/>
          <w:color w:val="auto"/>
          <w:sz w:val="24"/>
          <w:szCs w:val="24"/>
        </w:rPr>
      </w:pPr>
      <w:bookmarkStart w:id="140" w:name="_Toc4437"/>
      <w:bookmarkStart w:id="141" w:name="_Toc959"/>
      <w:r>
        <w:rPr>
          <w:rFonts w:hint="eastAsia" w:ascii="宋体" w:hAnsi="宋体" w:cs="宋体"/>
          <w:b w:val="0"/>
          <w:color w:val="auto"/>
          <w:sz w:val="24"/>
          <w:szCs w:val="24"/>
        </w:rPr>
        <w:t>四、采购终止</w:t>
      </w:r>
      <w:bookmarkEnd w:id="140"/>
      <w:bookmarkEnd w:id="141"/>
    </w:p>
    <w:p w14:paraId="3707746F">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出现下列情形之一的，采购人应当终止竞争性磋商采购活动，发布项目终止公告并说明原因，重新开展采购活动：</w:t>
      </w:r>
    </w:p>
    <w:p w14:paraId="49A3F64E">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（一）因情况变化，不再符合规定的竞争性磋商采购方式适用情形的；</w:t>
      </w:r>
    </w:p>
    <w:p w14:paraId="4F91A058">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0498729A">
      <w:pPr>
        <w:snapToGrid w:val="0"/>
        <w:spacing w:line="400" w:lineRule="exact"/>
        <w:ind w:firstLine="465"/>
        <w:rPr>
          <w:rFonts w:ascii="宋体" w:hAnsi="宋体" w:cs="宋体"/>
          <w:color w:val="auto"/>
          <w:sz w:val="24"/>
          <w:szCs w:val="24"/>
        </w:rPr>
      </w:pPr>
      <w:r>
        <w:rPr>
          <w:rFonts w:hint="eastAsia" w:ascii="宋体" w:hAnsi="宋体" w:cs="宋体"/>
          <w:color w:val="auto"/>
          <w:sz w:val="24"/>
          <w:szCs w:val="24"/>
        </w:rPr>
        <w:t>（三）在采购过程中符合要求的供应商或者报价未超过采购预算的供应商不足</w:t>
      </w:r>
      <w:r>
        <w:rPr>
          <w:rFonts w:ascii="宋体" w:hAnsi="宋体" w:cs="宋体"/>
          <w:color w:val="auto"/>
          <w:sz w:val="24"/>
          <w:szCs w:val="24"/>
        </w:rPr>
        <w:t>3家的，但《政府采购竞争性磋商采购方式管理暂行办法》第二十一条第三款规定的情形除外。</w:t>
      </w:r>
    </w:p>
    <w:p w14:paraId="14A1FE4F">
      <w:pPr>
        <w:snapToGrid w:val="0"/>
        <w:spacing w:line="400" w:lineRule="exact"/>
        <w:ind w:firstLine="465"/>
        <w:rPr>
          <w:rFonts w:ascii="宋体" w:hAnsi="宋体" w:cs="宋体"/>
          <w:color w:val="auto"/>
          <w:sz w:val="24"/>
          <w:szCs w:val="24"/>
        </w:rPr>
      </w:pPr>
    </w:p>
    <w:p w14:paraId="5F70384A">
      <w:pPr>
        <w:snapToGrid w:val="0"/>
        <w:spacing w:line="400" w:lineRule="exact"/>
        <w:ind w:firstLine="465"/>
        <w:rPr>
          <w:rFonts w:ascii="宋体" w:hAnsi="宋体" w:cs="宋体"/>
          <w:color w:val="auto"/>
          <w:sz w:val="24"/>
          <w:szCs w:val="24"/>
        </w:rPr>
      </w:pPr>
    </w:p>
    <w:p w14:paraId="7032A75B">
      <w:pPr>
        <w:snapToGrid w:val="0"/>
        <w:spacing w:line="400" w:lineRule="exact"/>
        <w:ind w:firstLine="465"/>
        <w:rPr>
          <w:rFonts w:ascii="宋体" w:hAnsi="宋体" w:cs="宋体"/>
          <w:color w:val="auto"/>
          <w:sz w:val="24"/>
          <w:szCs w:val="24"/>
        </w:rPr>
      </w:pPr>
    </w:p>
    <w:p w14:paraId="2E352EE2">
      <w:pPr>
        <w:jc w:val="center"/>
        <w:rPr>
          <w:rFonts w:hint="eastAsia" w:ascii="宋体" w:hAnsi="宋体" w:eastAsia="宋体" w:cs="宋体"/>
          <w:b w:val="0"/>
          <w:color w:val="auto"/>
          <w:sz w:val="36"/>
          <w:szCs w:val="30"/>
        </w:rPr>
      </w:pPr>
      <w:bookmarkStart w:id="142" w:name="_Toc31376"/>
      <w:bookmarkStart w:id="143" w:name="_Toc102227313"/>
      <w:bookmarkStart w:id="144" w:name="_Toc30322"/>
      <w:r>
        <w:rPr>
          <w:rFonts w:hint="eastAsia" w:ascii="宋体" w:hAnsi="宋体" w:eastAsia="宋体" w:cs="宋体"/>
          <w:b w:val="0"/>
          <w:color w:val="auto"/>
          <w:sz w:val="36"/>
          <w:szCs w:val="30"/>
        </w:rPr>
        <w:br w:type="page"/>
      </w:r>
    </w:p>
    <w:p w14:paraId="11F800E8">
      <w:pPr>
        <w:pStyle w:val="3"/>
        <w:spacing w:line="360" w:lineRule="auto"/>
        <w:jc w:val="center"/>
        <w:rPr>
          <w:rFonts w:ascii="宋体" w:hAnsi="宋体" w:eastAsia="宋体" w:cs="宋体"/>
          <w:b w:val="0"/>
          <w:color w:val="auto"/>
          <w:szCs w:val="30"/>
        </w:rPr>
      </w:pPr>
      <w:bookmarkStart w:id="145" w:name="_Toc4496"/>
      <w:r>
        <w:rPr>
          <w:rFonts w:hint="eastAsia" w:ascii="宋体" w:hAnsi="宋体" w:eastAsia="宋体" w:cs="宋体"/>
          <w:b w:val="0"/>
          <w:color w:val="auto"/>
          <w:sz w:val="36"/>
          <w:szCs w:val="30"/>
        </w:rPr>
        <w:t>第五篇  供应商须知</w:t>
      </w:r>
      <w:bookmarkEnd w:id="142"/>
      <w:bookmarkEnd w:id="143"/>
      <w:bookmarkEnd w:id="144"/>
      <w:bookmarkEnd w:id="145"/>
    </w:p>
    <w:p w14:paraId="47914189">
      <w:pPr>
        <w:pStyle w:val="3"/>
        <w:adjustRightInd w:val="0"/>
        <w:snapToGrid w:val="0"/>
        <w:spacing w:before="0" w:after="0" w:line="400" w:lineRule="exact"/>
        <w:ind w:firstLine="482" w:firstLineChars="200"/>
        <w:rPr>
          <w:rFonts w:ascii="宋体" w:hAnsi="宋体" w:eastAsia="宋体" w:cs="宋体"/>
          <w:color w:val="auto"/>
          <w:sz w:val="24"/>
        </w:rPr>
      </w:pPr>
      <w:bookmarkStart w:id="146" w:name="_Toc28174"/>
      <w:bookmarkStart w:id="147" w:name="_Toc32173"/>
      <w:bookmarkStart w:id="148" w:name="_Toc76462338"/>
      <w:bookmarkStart w:id="149" w:name="_Toc11171"/>
      <w:bookmarkStart w:id="150" w:name="_Toc342913389"/>
      <w:bookmarkStart w:id="151" w:name="_Toc9147"/>
      <w:r>
        <w:rPr>
          <w:rFonts w:hint="eastAsia" w:ascii="宋体" w:hAnsi="宋体" w:eastAsia="宋体" w:cs="宋体"/>
          <w:color w:val="auto"/>
          <w:sz w:val="24"/>
        </w:rPr>
        <w:t>一、磋商费用</w:t>
      </w:r>
      <w:bookmarkEnd w:id="146"/>
      <w:bookmarkEnd w:id="147"/>
      <w:bookmarkEnd w:id="148"/>
    </w:p>
    <w:p w14:paraId="14C2F857">
      <w:pPr>
        <w:pStyle w:val="147"/>
        <w:spacing w:line="400" w:lineRule="exact"/>
        <w:ind w:firstLine="480" w:firstLineChars="200"/>
        <w:rPr>
          <w:rFonts w:hAnsi="宋体" w:cs="宋体"/>
          <w:color w:val="auto"/>
          <w:sz w:val="24"/>
          <w:szCs w:val="24"/>
        </w:rPr>
      </w:pPr>
      <w:r>
        <w:rPr>
          <w:rFonts w:hint="eastAsia"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5DD25CFC">
      <w:pPr>
        <w:pStyle w:val="3"/>
        <w:adjustRightInd w:val="0"/>
        <w:snapToGrid w:val="0"/>
        <w:spacing w:before="0" w:after="0" w:line="400" w:lineRule="exact"/>
        <w:ind w:firstLine="482" w:firstLineChars="200"/>
        <w:rPr>
          <w:rFonts w:ascii="宋体" w:hAnsi="宋体" w:eastAsia="宋体" w:cs="宋体"/>
          <w:color w:val="auto"/>
          <w:sz w:val="24"/>
        </w:rPr>
      </w:pPr>
      <w:bookmarkStart w:id="152" w:name="_Toc22968"/>
      <w:bookmarkStart w:id="153" w:name="_Toc76462339"/>
      <w:bookmarkStart w:id="154" w:name="_Toc18087"/>
      <w:r>
        <w:rPr>
          <w:rFonts w:hint="eastAsia" w:ascii="宋体" w:hAnsi="宋体" w:eastAsia="宋体" w:cs="宋体"/>
          <w:color w:val="auto"/>
          <w:sz w:val="24"/>
        </w:rPr>
        <w:t>二、竞争性磋商文件</w:t>
      </w:r>
      <w:bookmarkEnd w:id="152"/>
      <w:bookmarkEnd w:id="153"/>
      <w:bookmarkEnd w:id="154"/>
    </w:p>
    <w:p w14:paraId="1F19B3F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rPr>
        <w:t>、</w:t>
      </w:r>
      <w:r>
        <w:rPr>
          <w:rFonts w:hint="eastAsia" w:ascii="宋体" w:hAnsi="宋体" w:cs="宋体"/>
          <w:color w:val="auto"/>
          <w:sz w:val="24"/>
          <w:szCs w:val="24"/>
        </w:rPr>
        <w:t>政府采购合同</w:t>
      </w:r>
      <w:r>
        <w:rPr>
          <w:rFonts w:hint="eastAsia" w:ascii="宋体" w:hAnsi="宋体" w:cs="宋体"/>
          <w:b/>
          <w:color w:val="auto"/>
          <w:sz w:val="24"/>
          <w:szCs w:val="24"/>
        </w:rPr>
        <w:t>、</w:t>
      </w:r>
      <w:r>
        <w:rPr>
          <w:rFonts w:hint="eastAsia" w:ascii="宋体" w:hAnsi="宋体" w:cs="宋体"/>
          <w:color w:val="auto"/>
          <w:sz w:val="24"/>
          <w:szCs w:val="24"/>
        </w:rPr>
        <w:t>响应文件编制要求七部分组成。</w:t>
      </w:r>
    </w:p>
    <w:p w14:paraId="2F772DA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（二）采购人（或采购代理机构）所作的一切有效的书面通知、修改及补充，都是竞争性磋商文件不可分割的部分。</w:t>
      </w:r>
    </w:p>
    <w:p w14:paraId="1FD5423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（三）竞争性磋商文件的解释</w:t>
      </w:r>
    </w:p>
    <w:p w14:paraId="5FAA0E4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45E1784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（四）本竞争性磋商文件中，磋商小组根据与供应商进行磋商可能实质性变动的内容为竞争性磋商文件第二、三、六篇全部内容。</w:t>
      </w:r>
    </w:p>
    <w:p w14:paraId="7607CA0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（五）评审的依据为竞争性磋商文件和响应文件（含有效的书面承诺）。磋商小组判断响应文件对竞争性磋商文件的响应，仅基于响应文件本身而不靠外部证据。</w:t>
      </w:r>
    </w:p>
    <w:p w14:paraId="31388EFB">
      <w:pPr>
        <w:pStyle w:val="3"/>
        <w:adjustRightInd w:val="0"/>
        <w:snapToGrid w:val="0"/>
        <w:spacing w:before="0" w:after="0" w:line="400" w:lineRule="exact"/>
        <w:ind w:firstLine="482" w:firstLineChars="200"/>
        <w:rPr>
          <w:rFonts w:ascii="宋体" w:hAnsi="宋体" w:eastAsia="宋体" w:cs="宋体"/>
          <w:color w:val="auto"/>
          <w:sz w:val="24"/>
        </w:rPr>
      </w:pPr>
      <w:bookmarkStart w:id="155" w:name="_Toc76462340"/>
      <w:bookmarkStart w:id="156" w:name="_Toc2363"/>
      <w:bookmarkStart w:id="157" w:name="_Toc32724"/>
      <w:r>
        <w:rPr>
          <w:rFonts w:hint="eastAsia" w:ascii="宋体" w:hAnsi="宋体" w:eastAsia="宋体" w:cs="宋体"/>
          <w:color w:val="auto"/>
          <w:sz w:val="24"/>
        </w:rPr>
        <w:t>三、磋商要求</w:t>
      </w:r>
      <w:bookmarkEnd w:id="155"/>
      <w:bookmarkEnd w:id="156"/>
      <w:bookmarkEnd w:id="157"/>
    </w:p>
    <w:p w14:paraId="23A535A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w:t>
      </w:r>
    </w:p>
    <w:p w14:paraId="66CEC21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31C5F90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2.响应文件组成</w:t>
      </w:r>
    </w:p>
    <w:p w14:paraId="4655BDE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F0001B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（二）联合体</w:t>
      </w:r>
    </w:p>
    <w:p w14:paraId="34BE97A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本项目不接受联合体参与磋商，否则按无效处理。</w:t>
      </w:r>
    </w:p>
    <w:p w14:paraId="47DB51D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（三）磋商有效期：响应文件及有关承诺文件有效期为提交响应文件截止时间起90天。</w:t>
      </w:r>
    </w:p>
    <w:p w14:paraId="72D4E74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（四）修正错误</w:t>
      </w:r>
    </w:p>
    <w:p w14:paraId="6A61336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14:paraId="44A5A99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2.磋商小组按上述修正错误的原则及方法修正供应商的报价，供应商同意并签字确认后，修正后的报价对供应商具有约束作用。如果供应商不接受修正后的价格，将失去成为成交商的资格。</w:t>
      </w:r>
    </w:p>
    <w:p w14:paraId="6F378FE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（五）提交响应文件的份数和签署</w:t>
      </w:r>
    </w:p>
    <w:p w14:paraId="157BD2F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1.响应文件一式</w:t>
      </w:r>
      <w:r>
        <w:rPr>
          <w:rFonts w:hint="eastAsia" w:ascii="宋体" w:hAnsi="宋体" w:cs="宋体"/>
          <w:color w:val="auto"/>
          <w:sz w:val="24"/>
          <w:szCs w:val="24"/>
          <w:lang w:val="en-US" w:eastAsia="zh-CN"/>
        </w:rPr>
        <w:t>四</w:t>
      </w:r>
      <w:r>
        <w:rPr>
          <w:rFonts w:hint="eastAsia" w:ascii="宋体" w:hAnsi="宋体" w:cs="宋体"/>
          <w:color w:val="auto"/>
          <w:sz w:val="24"/>
          <w:szCs w:val="24"/>
        </w:rPr>
        <w:t>份，其中正本一份，副本</w:t>
      </w:r>
      <w:r>
        <w:rPr>
          <w:rFonts w:hint="eastAsia" w:ascii="宋体" w:hAnsi="宋体" w:cs="宋体"/>
          <w:color w:val="auto"/>
          <w:sz w:val="24"/>
          <w:szCs w:val="24"/>
          <w:lang w:val="en-US" w:eastAsia="zh-CN"/>
        </w:rPr>
        <w:t>二</w:t>
      </w:r>
      <w:r>
        <w:rPr>
          <w:rFonts w:hint="eastAsia" w:ascii="宋体" w:hAnsi="宋体" w:cs="宋体"/>
          <w:color w:val="auto"/>
          <w:sz w:val="24"/>
          <w:szCs w:val="24"/>
        </w:rPr>
        <w:t>份，电子文档一份（电子文档内容应与纸质文件正本一致，如不一致以纸质文件正本为准。推荐采用光盘或U盘为电子文档载体）；副本可为正本的复印件，应与正本一致，如出现不一致情况以正本为准。</w:t>
      </w:r>
    </w:p>
    <w:p w14:paraId="64684EC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rPr>
        <w:t>响应文件按竞争性磋商文件“第七篇响应文件编制要求”要求签署或盖章。</w:t>
      </w:r>
    </w:p>
    <w:p w14:paraId="6354F04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（六）响应文件的递交</w:t>
      </w:r>
    </w:p>
    <w:p w14:paraId="5208B8C3">
      <w:pPr>
        <w:pStyle w:val="30"/>
        <w:spacing w:line="400" w:lineRule="exact"/>
        <w:ind w:firstLine="480" w:firstLineChars="200"/>
        <w:rPr>
          <w:rFonts w:hAnsi="宋体" w:cs="宋体"/>
          <w:color w:val="auto"/>
          <w:sz w:val="24"/>
        </w:rPr>
      </w:pPr>
      <w:r>
        <w:rPr>
          <w:rFonts w:hint="eastAsia" w:hAnsi="宋体" w:cs="宋体"/>
          <w:color w:val="auto"/>
          <w:sz w:val="24"/>
        </w:rPr>
        <w:t>响应文件的正本、副本以及电</w:t>
      </w:r>
      <w:bookmarkStart w:id="249" w:name="_GoBack"/>
      <w:bookmarkEnd w:id="249"/>
      <w:r>
        <w:rPr>
          <w:rFonts w:hint="eastAsia" w:hAnsi="宋体" w:cs="宋体"/>
          <w:color w:val="auto"/>
          <w:sz w:val="24"/>
        </w:rPr>
        <w:t>子文档均应密封送达磋商地点，应在封套上注明磋商项目名称、供应商名称。若正本、副本以及电子文档分别进行密封的，还应在封套上注明“正本”、“副本”、“电子文档”字样。</w:t>
      </w:r>
    </w:p>
    <w:p w14:paraId="53FD045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（七）供应商参与人员</w:t>
      </w:r>
    </w:p>
    <w:p w14:paraId="64A017A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各个供应商应当派1-2名代表参与磋商，至少1人应为法定代表人（或其授权代表）。</w:t>
      </w:r>
    </w:p>
    <w:p w14:paraId="75D2D1F2">
      <w:pPr>
        <w:pStyle w:val="3"/>
        <w:adjustRightInd w:val="0"/>
        <w:snapToGrid w:val="0"/>
        <w:spacing w:before="0" w:after="0" w:line="400" w:lineRule="exact"/>
        <w:ind w:firstLine="482" w:firstLineChars="200"/>
        <w:rPr>
          <w:rFonts w:ascii="宋体" w:hAnsi="宋体" w:eastAsia="宋体" w:cs="宋体"/>
          <w:color w:val="auto"/>
          <w:sz w:val="24"/>
        </w:rPr>
      </w:pPr>
      <w:bookmarkStart w:id="158" w:name="_Toc76462341"/>
      <w:bookmarkStart w:id="159" w:name="_Toc29425"/>
      <w:bookmarkStart w:id="160" w:name="_Toc348"/>
      <w:r>
        <w:rPr>
          <w:rFonts w:hint="eastAsia" w:ascii="宋体" w:hAnsi="宋体" w:eastAsia="宋体" w:cs="宋体"/>
          <w:color w:val="auto"/>
          <w:sz w:val="24"/>
        </w:rPr>
        <w:t>四、成交商的确认和变更</w:t>
      </w:r>
      <w:bookmarkEnd w:id="158"/>
      <w:bookmarkEnd w:id="159"/>
      <w:bookmarkEnd w:id="160"/>
    </w:p>
    <w:p w14:paraId="382F147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（一）成交商的确认</w:t>
      </w:r>
    </w:p>
    <w:p w14:paraId="4ADC77B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商，也可以书面授权磋商小组直接确定成交商。采购人逾期未确定成交商且不提出异议的，视为确定评审报告提出的排序第一的供应商为成交商。</w:t>
      </w:r>
    </w:p>
    <w:p w14:paraId="60B3137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（二）成交商的变更</w:t>
      </w:r>
    </w:p>
    <w:p w14:paraId="6A53D7F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rPr>
        <w:t>成交商拒绝与采购人签订合同的，采购人不退还磋商保证金，同时，采购人可以按照评标报告推荐的成交候选供应商顺序，确定排名下一位的候选人为成交商，也可以重新开展采购活动。</w:t>
      </w:r>
    </w:p>
    <w:p w14:paraId="74C766C3">
      <w:pPr>
        <w:pStyle w:val="3"/>
        <w:adjustRightInd w:val="0"/>
        <w:snapToGrid w:val="0"/>
        <w:spacing w:before="0" w:after="0" w:line="400" w:lineRule="exact"/>
        <w:ind w:firstLine="482" w:firstLineChars="200"/>
        <w:rPr>
          <w:rFonts w:ascii="宋体" w:hAnsi="宋体" w:eastAsia="宋体" w:cs="宋体"/>
          <w:color w:val="auto"/>
          <w:sz w:val="24"/>
        </w:rPr>
      </w:pPr>
      <w:bookmarkStart w:id="161" w:name="_Toc27875"/>
      <w:bookmarkStart w:id="162" w:name="_Toc10856"/>
      <w:bookmarkStart w:id="163" w:name="_Toc76462342"/>
      <w:r>
        <w:rPr>
          <w:rFonts w:hint="eastAsia" w:ascii="宋体" w:hAnsi="宋体" w:eastAsia="宋体" w:cs="宋体"/>
          <w:color w:val="auto"/>
          <w:sz w:val="24"/>
        </w:rPr>
        <w:t>五、成交通知</w:t>
      </w:r>
      <w:bookmarkEnd w:id="161"/>
      <w:bookmarkEnd w:id="162"/>
      <w:bookmarkEnd w:id="163"/>
    </w:p>
    <w:p w14:paraId="6BCA15B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（一）成交商确定后，采购代理机构将在“行采家”平台（http://www.gec123.com）上发布成交结果公告。</w:t>
      </w:r>
    </w:p>
    <w:p w14:paraId="46779DE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1CF88C6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3822BA16">
      <w:pPr>
        <w:pStyle w:val="3"/>
        <w:adjustRightInd w:val="0"/>
        <w:snapToGrid w:val="0"/>
        <w:spacing w:before="0" w:after="0" w:line="400" w:lineRule="exact"/>
        <w:ind w:firstLine="482" w:firstLineChars="200"/>
        <w:rPr>
          <w:rFonts w:ascii="宋体" w:hAnsi="宋体" w:eastAsia="宋体" w:cs="宋体"/>
          <w:color w:val="auto"/>
          <w:sz w:val="24"/>
        </w:rPr>
      </w:pPr>
      <w:bookmarkStart w:id="164" w:name="_Toc14239"/>
      <w:bookmarkStart w:id="165" w:name="_Toc19108"/>
      <w:bookmarkStart w:id="166" w:name="_Toc76462343"/>
      <w:r>
        <w:rPr>
          <w:rFonts w:hint="eastAsia" w:ascii="宋体" w:hAnsi="宋体" w:eastAsia="宋体" w:cs="宋体"/>
          <w:color w:val="auto"/>
          <w:sz w:val="24"/>
        </w:rPr>
        <w:t>六、关于质疑和投诉</w:t>
      </w:r>
      <w:bookmarkEnd w:id="164"/>
      <w:bookmarkEnd w:id="165"/>
      <w:bookmarkEnd w:id="166"/>
    </w:p>
    <w:p w14:paraId="3AFAB8D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（一）质疑</w:t>
      </w:r>
    </w:p>
    <w:p w14:paraId="4DA3875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供应商认为采购文件、采购过程和成交结果使自己的权益收到伤害的，可向采购人或采购代理机构以书面形式提出质疑。</w:t>
      </w:r>
    </w:p>
    <w:p w14:paraId="2D12146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提出质疑的应当是参与所质疑项目采购活动的供应商。 </w:t>
      </w:r>
    </w:p>
    <w:p w14:paraId="074F622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1.质疑时限、内容</w:t>
      </w:r>
    </w:p>
    <w:p w14:paraId="084C23E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供应商认为采购文件、采购过程、成交结果使自己的权益受到损害的，可以在知道或者应知其权益受到损害之日起7个工作日内，以书面形式向采购人、采购代理机构提出质疑。</w:t>
      </w:r>
    </w:p>
    <w:p w14:paraId="64B88B1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1.2供应商提出质疑应当提交质疑函和必要的证明材料，质疑函应当包括下列内容：</w:t>
      </w:r>
    </w:p>
    <w:p w14:paraId="3FD131B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1.2.1供应商的姓名或者名称、地址、邮编、联系人及联系电话；</w:t>
      </w:r>
    </w:p>
    <w:p w14:paraId="4061FBD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1.2.2质疑项目的名称、项目号以及采购执行编号；</w:t>
      </w:r>
    </w:p>
    <w:p w14:paraId="16EC638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1.2.3具体、明确的质疑事项和与质疑事项相关的请求；</w:t>
      </w:r>
    </w:p>
    <w:p w14:paraId="26C2E7E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1.2.4事实依据；</w:t>
      </w:r>
    </w:p>
    <w:p w14:paraId="542E93F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1.2.5必要的法律依据；</w:t>
      </w:r>
    </w:p>
    <w:p w14:paraId="6C131E4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1.2.6提出质疑的日期；</w:t>
      </w:r>
    </w:p>
    <w:p w14:paraId="1960B9C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1.2.7营业执照（或事业单位法人证书，或个体工商户营业执照或有效的自然人身份证明）复印件；</w:t>
      </w:r>
    </w:p>
    <w:p w14:paraId="0303B01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1.2.8法定代表人授权委托书原件、法定代表人身份证复印件和其授权代表的身份证复印件（供应商为自然人的提供自然人身份证复印件）；</w:t>
      </w:r>
    </w:p>
    <w:p w14:paraId="00B1B85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1.3供应商为自然人的，质疑函应当由本人签字；供应商为法人或者其他组织的，质疑函应当由法定代表人、主要负责人，或者其授权代表签字或者盖章，并加盖公章。</w:t>
      </w:r>
    </w:p>
    <w:p w14:paraId="70F6C95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2.质疑答复</w:t>
      </w:r>
    </w:p>
    <w:p w14:paraId="14A9C1B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采购人、采购代理机构应当在收到供应商的书面质疑后七个工作日内作出答复，并以书面形式通知质疑供应商和其他有关供应商。</w:t>
      </w:r>
    </w:p>
    <w:p w14:paraId="150BE13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3.其他</w:t>
      </w:r>
    </w:p>
    <w:p w14:paraId="0B34096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3.1供应商应按照《政府采购质疑和投诉办法》（财政部令第94号）及相关法律法规要求，在法定质疑期内一次性提出针对同一采购程序环节的质疑。</w:t>
      </w:r>
    </w:p>
    <w:p w14:paraId="6DA648C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3.2质疑函范本可在财政部门户网站和中国政府采购网下载。</w:t>
      </w:r>
    </w:p>
    <w:p w14:paraId="40D330AE">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（二）投诉</w:t>
      </w:r>
    </w:p>
    <w:p w14:paraId="0885D713">
      <w:pPr>
        <w:spacing w:line="400" w:lineRule="exact"/>
        <w:ind w:right="12" w:firstLine="480"/>
        <w:rPr>
          <w:rFonts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w:t>
      </w:r>
      <w:r>
        <w:rPr>
          <w:rFonts w:hint="eastAsia" w:ascii="宋体" w:hAnsi="宋体" w:cs="宋体"/>
          <w:color w:val="auto"/>
          <w:sz w:val="24"/>
          <w:lang w:val="en-US" w:eastAsia="zh-CN"/>
        </w:rPr>
        <w:t>采购人相关</w:t>
      </w:r>
      <w:r>
        <w:rPr>
          <w:rFonts w:hint="eastAsia" w:ascii="宋体" w:hAnsi="宋体" w:cs="宋体"/>
          <w:color w:val="auto"/>
          <w:sz w:val="24"/>
        </w:rPr>
        <w:t>部门提起投诉。</w:t>
      </w:r>
    </w:p>
    <w:p w14:paraId="01549A06">
      <w:pPr>
        <w:spacing w:line="400" w:lineRule="exact"/>
        <w:ind w:right="12" w:firstLine="480"/>
        <w:rPr>
          <w:rFonts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73D87EB6">
      <w:pPr>
        <w:spacing w:line="400" w:lineRule="exact"/>
        <w:ind w:right="12" w:firstLine="480"/>
        <w:rPr>
          <w:rFonts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w:t>
      </w:r>
      <w:r>
        <w:rPr>
          <w:rFonts w:hint="eastAsia" w:ascii="宋体" w:hAnsi="宋体" w:cs="宋体"/>
          <w:color w:val="auto"/>
          <w:sz w:val="24"/>
          <w:lang w:val="en-US" w:eastAsia="zh-CN"/>
        </w:rPr>
        <w:t>相关</w:t>
      </w:r>
      <w:r>
        <w:rPr>
          <w:rFonts w:hint="eastAsia" w:ascii="宋体" w:hAnsi="宋体" w:cs="宋体"/>
          <w:color w:val="auto"/>
          <w:sz w:val="24"/>
        </w:rPr>
        <w:t>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F9F3017">
      <w:pPr>
        <w:spacing w:line="400" w:lineRule="exact"/>
        <w:ind w:firstLine="480" w:firstLineChars="200"/>
        <w:rPr>
          <w:rFonts w:ascii="宋体" w:hAnsi="宋体" w:cs="宋体"/>
          <w:color w:val="auto"/>
          <w:sz w:val="24"/>
          <w:szCs w:val="24"/>
        </w:rPr>
      </w:pPr>
      <w:r>
        <w:rPr>
          <w:rFonts w:hint="eastAsia" w:ascii="宋体" w:hAnsi="宋体" w:cs="宋体"/>
          <w:color w:val="auto"/>
          <w:sz w:val="24"/>
        </w:rPr>
        <w:t>4.在确定受理投诉后，</w:t>
      </w:r>
      <w:r>
        <w:rPr>
          <w:rFonts w:hint="eastAsia" w:ascii="宋体" w:hAnsi="宋体" w:cs="宋体"/>
          <w:color w:val="auto"/>
          <w:sz w:val="24"/>
          <w:lang w:val="en-US" w:eastAsia="zh-CN"/>
        </w:rPr>
        <w:t>采购人相关</w:t>
      </w:r>
      <w:r>
        <w:rPr>
          <w:rFonts w:hint="eastAsia" w:ascii="宋体" w:hAnsi="宋体" w:cs="宋体"/>
          <w:color w:val="auto"/>
          <w:sz w:val="24"/>
        </w:rPr>
        <w:t>部门自受理投诉之日起30个工作日内（需要检验、检测、鉴定、专家评审以及需要投诉人补正材料的，所需时间不计算在投诉处理期限内）对投诉事项做出处理决定。</w:t>
      </w:r>
    </w:p>
    <w:p w14:paraId="3D6864B7">
      <w:pPr>
        <w:pStyle w:val="3"/>
        <w:adjustRightInd w:val="0"/>
        <w:snapToGrid w:val="0"/>
        <w:spacing w:before="0" w:after="0" w:line="400" w:lineRule="exact"/>
        <w:ind w:firstLine="482" w:firstLineChars="200"/>
        <w:rPr>
          <w:rFonts w:ascii="宋体" w:hAnsi="宋体" w:eastAsia="宋体" w:cs="宋体"/>
          <w:color w:val="auto"/>
          <w:sz w:val="24"/>
        </w:rPr>
      </w:pPr>
      <w:bookmarkStart w:id="167" w:name="_Toc26819"/>
      <w:bookmarkStart w:id="168" w:name="_Toc22117"/>
      <w:bookmarkStart w:id="169" w:name="_Toc76462344"/>
      <w:r>
        <w:rPr>
          <w:rFonts w:hint="eastAsia" w:ascii="宋体" w:hAnsi="宋体" w:eastAsia="宋体" w:cs="宋体"/>
          <w:color w:val="auto"/>
          <w:sz w:val="24"/>
        </w:rPr>
        <w:t>七、采购代理服务费</w:t>
      </w:r>
      <w:bookmarkEnd w:id="167"/>
      <w:bookmarkEnd w:id="168"/>
      <w:bookmarkEnd w:id="169"/>
    </w:p>
    <w:p w14:paraId="2352FA55">
      <w:pPr>
        <w:spacing w:line="380" w:lineRule="exact"/>
        <w:ind w:firstLine="480" w:firstLineChars="200"/>
        <w:rPr>
          <w:rFonts w:ascii="宋体" w:hAnsi="宋体" w:cs="宋体"/>
          <w:color w:val="auto"/>
        </w:rPr>
      </w:pPr>
      <w:bookmarkStart w:id="170" w:name="OLE_LINK8"/>
      <w:bookmarkStart w:id="171" w:name="OLE_LINK7"/>
      <w:bookmarkStart w:id="172" w:name="_Toc76462345"/>
      <w:r>
        <w:rPr>
          <w:rFonts w:hint="eastAsia" w:ascii="宋体" w:hAnsi="宋体" w:cs="宋体"/>
          <w:color w:val="auto"/>
          <w:sz w:val="24"/>
          <w:szCs w:val="24"/>
        </w:rPr>
        <w:t>（一）</w:t>
      </w:r>
      <w:bookmarkEnd w:id="170"/>
      <w:bookmarkEnd w:id="171"/>
      <w:r>
        <w:rPr>
          <w:rFonts w:hint="eastAsia" w:ascii="宋体" w:hAnsi="宋体" w:cs="宋体"/>
          <w:color w:val="auto"/>
          <w:sz w:val="24"/>
        </w:rPr>
        <w:t>成交商在领取成交通知书的同时，向采购代理机构缴纳采购代理服务费。</w:t>
      </w:r>
      <w:r>
        <w:rPr>
          <w:rFonts w:hint="eastAsia" w:ascii="宋体" w:hAnsi="宋体" w:cs="宋体"/>
          <w:color w:val="auto"/>
          <w:sz w:val="24"/>
          <w:szCs w:val="24"/>
        </w:rPr>
        <w:t>本项目为服务采购，服务费的收取标准按照以下标准的70%执行（</w:t>
      </w:r>
      <w:r>
        <w:rPr>
          <w:rFonts w:hint="eastAsia" w:ascii="宋体" w:hAnsi="宋体" w:cs="宋体"/>
          <w:color w:val="auto"/>
          <w:sz w:val="24"/>
        </w:rPr>
        <w:t>当采购代理服务费低于人民币3000元时，采购代理服务费按人民币3000元计取</w:t>
      </w:r>
      <w:r>
        <w:rPr>
          <w:rFonts w:hint="eastAsia" w:ascii="宋体" w:hAnsi="宋体" w:cs="宋体"/>
          <w:color w:val="auto"/>
          <w:sz w:val="24"/>
          <w:szCs w:val="24"/>
        </w:rPr>
        <w:t>）</w:t>
      </w:r>
      <w:r>
        <w:rPr>
          <w:rFonts w:hint="eastAsia" w:ascii="宋体" w:hAnsi="宋体" w:cs="宋体"/>
          <w:color w:val="auto"/>
          <w:sz w:val="24"/>
        </w:rPr>
        <w:t>:</w:t>
      </w:r>
    </w:p>
    <w:tbl>
      <w:tblPr>
        <w:tblStyle w:val="5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240"/>
        <w:gridCol w:w="2273"/>
        <w:gridCol w:w="2272"/>
      </w:tblGrid>
      <w:tr w14:paraId="17EB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840" w:type="dxa"/>
            <w:tcBorders>
              <w:top w:val="single" w:color="auto" w:sz="4" w:space="0"/>
              <w:left w:val="single" w:color="auto" w:sz="4" w:space="0"/>
              <w:bottom w:val="single" w:color="auto" w:sz="4" w:space="0"/>
              <w:right w:val="single" w:color="auto" w:sz="4" w:space="0"/>
              <w:tl2br w:val="single" w:color="auto" w:sz="4" w:space="0"/>
            </w:tcBorders>
          </w:tcPr>
          <w:p w14:paraId="4EF43CC8">
            <w:pPr>
              <w:spacing w:line="240" w:lineRule="atLeast"/>
              <w:jc w:val="right"/>
              <w:rPr>
                <w:rFonts w:ascii="宋体" w:hAnsi="宋体" w:cs="宋体"/>
                <w:color w:val="auto"/>
                <w:sz w:val="24"/>
                <w:szCs w:val="24"/>
              </w:rPr>
            </w:pPr>
            <w:r>
              <w:rPr>
                <w:rFonts w:hint="eastAsia" w:ascii="宋体" w:hAnsi="宋体" w:cs="宋体"/>
                <w:color w:val="auto"/>
                <w:sz w:val="24"/>
                <w:szCs w:val="24"/>
              </w:rPr>
              <w:t>采购</w:t>
            </w:r>
            <w:r>
              <w:rPr>
                <w:rFonts w:hint="eastAsia" w:ascii="宋体" w:hAnsi="宋体" w:cs="宋体"/>
                <w:color w:val="auto"/>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DKvwaT&#10;5gEAALY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cs="宋体"/>
                <w:color w:val="auto"/>
                <w:sz w:val="24"/>
                <w:szCs w:val="24"/>
              </w:rPr>
              <w:t>类型</w:t>
            </w:r>
          </w:p>
          <w:p w14:paraId="743088BB">
            <w:pPr>
              <w:spacing w:line="240" w:lineRule="atLeast"/>
              <w:rPr>
                <w:rFonts w:ascii="宋体" w:hAnsi="宋体" w:cs="宋体"/>
                <w:color w:val="auto"/>
                <w:sz w:val="24"/>
                <w:szCs w:val="24"/>
              </w:rPr>
            </w:pPr>
            <w:r>
              <w:rPr>
                <w:rFonts w:hint="eastAsia" w:ascii="宋体" w:hAnsi="宋体" w:cs="宋体"/>
                <w:color w:val="auto"/>
                <w:sz w:val="24"/>
                <w:szCs w:val="24"/>
                <w:lang w:val="en-US" w:eastAsia="zh-CN"/>
              </w:rPr>
              <w:t>中标金额</w:t>
            </w:r>
            <w:r>
              <w:rPr>
                <w:rFonts w:hint="eastAsia" w:ascii="宋体" w:hAnsi="宋体" w:cs="宋体"/>
                <w:color w:val="auto"/>
                <w:sz w:val="24"/>
                <w:szCs w:val="24"/>
              </w:rPr>
              <w:t>（万元）</w:t>
            </w:r>
          </w:p>
        </w:tc>
        <w:tc>
          <w:tcPr>
            <w:tcW w:w="2240" w:type="dxa"/>
            <w:tcBorders>
              <w:top w:val="single" w:color="auto" w:sz="4" w:space="0"/>
              <w:left w:val="single" w:color="auto" w:sz="4" w:space="0"/>
              <w:bottom w:val="single" w:color="auto" w:sz="4" w:space="0"/>
              <w:right w:val="single" w:color="auto" w:sz="4" w:space="0"/>
            </w:tcBorders>
            <w:vAlign w:val="center"/>
          </w:tcPr>
          <w:p w14:paraId="5596C0FB">
            <w:pPr>
              <w:spacing w:line="240" w:lineRule="atLeast"/>
              <w:jc w:val="center"/>
              <w:rPr>
                <w:rFonts w:ascii="宋体" w:hAnsi="宋体" w:cs="宋体"/>
                <w:color w:val="auto"/>
                <w:sz w:val="24"/>
                <w:szCs w:val="24"/>
              </w:rPr>
            </w:pPr>
            <w:r>
              <w:rPr>
                <w:rFonts w:hint="eastAsia" w:ascii="宋体" w:hAnsi="宋体" w:cs="宋体"/>
                <w:color w:val="auto"/>
                <w:sz w:val="24"/>
                <w:szCs w:val="24"/>
              </w:rPr>
              <w:t>货物采购</w:t>
            </w:r>
          </w:p>
        </w:tc>
        <w:tc>
          <w:tcPr>
            <w:tcW w:w="2273" w:type="dxa"/>
            <w:tcBorders>
              <w:top w:val="single" w:color="auto" w:sz="4" w:space="0"/>
              <w:left w:val="single" w:color="auto" w:sz="4" w:space="0"/>
              <w:bottom w:val="single" w:color="auto" w:sz="4" w:space="0"/>
              <w:right w:val="single" w:color="auto" w:sz="4" w:space="0"/>
            </w:tcBorders>
            <w:vAlign w:val="center"/>
          </w:tcPr>
          <w:p w14:paraId="1F9DBE15">
            <w:pPr>
              <w:spacing w:line="240" w:lineRule="atLeast"/>
              <w:jc w:val="center"/>
              <w:rPr>
                <w:rFonts w:ascii="宋体" w:hAnsi="宋体" w:cs="宋体"/>
                <w:color w:val="auto"/>
                <w:sz w:val="24"/>
                <w:szCs w:val="24"/>
              </w:rPr>
            </w:pPr>
            <w:r>
              <w:rPr>
                <w:rFonts w:hint="eastAsia" w:ascii="宋体" w:hAnsi="宋体" w:cs="宋体"/>
                <w:color w:val="auto"/>
                <w:sz w:val="24"/>
                <w:szCs w:val="24"/>
              </w:rPr>
              <w:t>服务采购</w:t>
            </w:r>
          </w:p>
        </w:tc>
        <w:tc>
          <w:tcPr>
            <w:tcW w:w="2272" w:type="dxa"/>
            <w:tcBorders>
              <w:top w:val="single" w:color="auto" w:sz="4" w:space="0"/>
              <w:left w:val="single" w:color="auto" w:sz="4" w:space="0"/>
              <w:bottom w:val="single" w:color="auto" w:sz="4" w:space="0"/>
              <w:right w:val="single" w:color="auto" w:sz="4" w:space="0"/>
            </w:tcBorders>
            <w:vAlign w:val="center"/>
          </w:tcPr>
          <w:p w14:paraId="1FDA9C9E">
            <w:pPr>
              <w:spacing w:line="240" w:lineRule="atLeast"/>
              <w:jc w:val="center"/>
              <w:rPr>
                <w:rFonts w:ascii="宋体" w:hAnsi="宋体" w:cs="宋体"/>
                <w:color w:val="auto"/>
                <w:sz w:val="24"/>
                <w:szCs w:val="24"/>
              </w:rPr>
            </w:pPr>
            <w:r>
              <w:rPr>
                <w:rFonts w:hint="eastAsia" w:ascii="宋体" w:hAnsi="宋体" w:cs="宋体"/>
                <w:color w:val="auto"/>
                <w:sz w:val="24"/>
                <w:szCs w:val="24"/>
              </w:rPr>
              <w:t>工程采购</w:t>
            </w:r>
          </w:p>
        </w:tc>
      </w:tr>
      <w:tr w14:paraId="7B48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0BA71552">
            <w:pPr>
              <w:spacing w:line="240" w:lineRule="atLeast"/>
              <w:jc w:val="center"/>
              <w:rPr>
                <w:rFonts w:ascii="宋体" w:hAnsi="宋体" w:cs="宋体"/>
                <w:color w:val="auto"/>
                <w:sz w:val="24"/>
                <w:szCs w:val="24"/>
              </w:rPr>
            </w:pPr>
            <w:r>
              <w:rPr>
                <w:rFonts w:hint="eastAsia" w:ascii="宋体" w:hAnsi="宋体" w:cs="宋体"/>
                <w:color w:val="auto"/>
                <w:sz w:val="24"/>
                <w:szCs w:val="24"/>
              </w:rPr>
              <w:t>100以下</w:t>
            </w:r>
          </w:p>
        </w:tc>
        <w:tc>
          <w:tcPr>
            <w:tcW w:w="2240" w:type="dxa"/>
            <w:tcBorders>
              <w:top w:val="single" w:color="auto" w:sz="4" w:space="0"/>
              <w:left w:val="single" w:color="auto" w:sz="4" w:space="0"/>
              <w:bottom w:val="single" w:color="auto" w:sz="4" w:space="0"/>
              <w:right w:val="single" w:color="auto" w:sz="4" w:space="0"/>
            </w:tcBorders>
            <w:vAlign w:val="center"/>
          </w:tcPr>
          <w:p w14:paraId="5296D755">
            <w:pPr>
              <w:spacing w:line="240" w:lineRule="atLeast"/>
              <w:jc w:val="center"/>
              <w:rPr>
                <w:rFonts w:ascii="宋体" w:hAnsi="宋体" w:cs="宋体"/>
                <w:color w:val="auto"/>
                <w:sz w:val="24"/>
                <w:szCs w:val="24"/>
              </w:rPr>
            </w:pPr>
            <w:r>
              <w:rPr>
                <w:rFonts w:hint="eastAsia" w:ascii="宋体" w:hAnsi="宋体" w:cs="宋体"/>
                <w:color w:val="auto"/>
                <w:sz w:val="24"/>
                <w:szCs w:val="24"/>
              </w:rPr>
              <w:t>1.5%</w:t>
            </w:r>
          </w:p>
        </w:tc>
        <w:tc>
          <w:tcPr>
            <w:tcW w:w="2273" w:type="dxa"/>
            <w:tcBorders>
              <w:top w:val="single" w:color="auto" w:sz="4" w:space="0"/>
              <w:left w:val="single" w:color="auto" w:sz="4" w:space="0"/>
              <w:bottom w:val="single" w:color="auto" w:sz="4" w:space="0"/>
              <w:right w:val="single" w:color="auto" w:sz="4" w:space="0"/>
            </w:tcBorders>
            <w:vAlign w:val="center"/>
          </w:tcPr>
          <w:p w14:paraId="62FC12D4">
            <w:pPr>
              <w:spacing w:line="240" w:lineRule="atLeast"/>
              <w:jc w:val="center"/>
              <w:rPr>
                <w:rFonts w:ascii="宋体" w:hAnsi="宋体" w:cs="宋体"/>
                <w:color w:val="auto"/>
                <w:sz w:val="24"/>
                <w:szCs w:val="24"/>
              </w:rPr>
            </w:pPr>
            <w:r>
              <w:rPr>
                <w:rFonts w:hint="eastAsia" w:ascii="宋体" w:hAnsi="宋体" w:cs="宋体"/>
                <w:color w:val="auto"/>
                <w:sz w:val="24"/>
                <w:szCs w:val="24"/>
              </w:rPr>
              <w:t>1.5%</w:t>
            </w:r>
          </w:p>
        </w:tc>
        <w:tc>
          <w:tcPr>
            <w:tcW w:w="2272" w:type="dxa"/>
            <w:tcBorders>
              <w:top w:val="single" w:color="auto" w:sz="4" w:space="0"/>
              <w:left w:val="single" w:color="auto" w:sz="4" w:space="0"/>
              <w:bottom w:val="single" w:color="auto" w:sz="4" w:space="0"/>
              <w:right w:val="single" w:color="auto" w:sz="4" w:space="0"/>
            </w:tcBorders>
            <w:vAlign w:val="center"/>
          </w:tcPr>
          <w:p w14:paraId="29BD12DE">
            <w:pPr>
              <w:spacing w:line="240" w:lineRule="atLeast"/>
              <w:jc w:val="center"/>
              <w:rPr>
                <w:rFonts w:ascii="宋体" w:hAnsi="宋体" w:cs="宋体"/>
                <w:color w:val="auto"/>
                <w:sz w:val="24"/>
                <w:szCs w:val="24"/>
              </w:rPr>
            </w:pPr>
            <w:r>
              <w:rPr>
                <w:rFonts w:hint="eastAsia" w:ascii="宋体" w:hAnsi="宋体" w:cs="宋体"/>
                <w:color w:val="auto"/>
                <w:sz w:val="24"/>
                <w:szCs w:val="24"/>
              </w:rPr>
              <w:t>1.0%</w:t>
            </w:r>
          </w:p>
        </w:tc>
      </w:tr>
      <w:tr w14:paraId="7C03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1C1286AE">
            <w:pPr>
              <w:spacing w:line="240" w:lineRule="atLeast"/>
              <w:jc w:val="center"/>
              <w:rPr>
                <w:rFonts w:ascii="宋体" w:hAnsi="宋体" w:cs="宋体"/>
                <w:color w:val="auto"/>
                <w:sz w:val="24"/>
                <w:szCs w:val="24"/>
              </w:rPr>
            </w:pPr>
            <w:r>
              <w:rPr>
                <w:rFonts w:hint="eastAsia" w:ascii="宋体" w:hAnsi="宋体" w:cs="宋体"/>
                <w:color w:val="auto"/>
                <w:sz w:val="24"/>
                <w:szCs w:val="24"/>
              </w:rPr>
              <w:t>100-200</w:t>
            </w:r>
          </w:p>
        </w:tc>
        <w:tc>
          <w:tcPr>
            <w:tcW w:w="2240" w:type="dxa"/>
            <w:tcBorders>
              <w:top w:val="single" w:color="auto" w:sz="4" w:space="0"/>
              <w:left w:val="single" w:color="auto" w:sz="4" w:space="0"/>
              <w:bottom w:val="single" w:color="auto" w:sz="4" w:space="0"/>
              <w:right w:val="single" w:color="auto" w:sz="4" w:space="0"/>
            </w:tcBorders>
            <w:vAlign w:val="center"/>
          </w:tcPr>
          <w:p w14:paraId="3EBC4E58">
            <w:pPr>
              <w:spacing w:line="240" w:lineRule="atLeast"/>
              <w:jc w:val="center"/>
              <w:rPr>
                <w:rFonts w:ascii="宋体" w:hAnsi="宋体" w:cs="宋体"/>
                <w:color w:val="auto"/>
                <w:sz w:val="24"/>
                <w:szCs w:val="24"/>
              </w:rPr>
            </w:pPr>
            <w:r>
              <w:rPr>
                <w:rFonts w:hint="eastAsia" w:ascii="宋体" w:hAnsi="宋体" w:cs="宋体"/>
                <w:color w:val="auto"/>
                <w:sz w:val="24"/>
                <w:szCs w:val="24"/>
              </w:rPr>
              <w:t>1.1%</w:t>
            </w:r>
          </w:p>
        </w:tc>
        <w:tc>
          <w:tcPr>
            <w:tcW w:w="2273" w:type="dxa"/>
            <w:tcBorders>
              <w:top w:val="single" w:color="auto" w:sz="4" w:space="0"/>
              <w:left w:val="single" w:color="auto" w:sz="4" w:space="0"/>
              <w:bottom w:val="single" w:color="auto" w:sz="4" w:space="0"/>
              <w:right w:val="single" w:color="auto" w:sz="4" w:space="0"/>
            </w:tcBorders>
            <w:vAlign w:val="center"/>
          </w:tcPr>
          <w:p w14:paraId="25FDC785">
            <w:pPr>
              <w:spacing w:line="240" w:lineRule="atLeast"/>
              <w:jc w:val="center"/>
              <w:rPr>
                <w:rFonts w:ascii="宋体" w:hAnsi="宋体" w:cs="宋体"/>
                <w:color w:val="auto"/>
                <w:sz w:val="24"/>
                <w:szCs w:val="24"/>
              </w:rPr>
            </w:pPr>
            <w:r>
              <w:rPr>
                <w:rFonts w:hint="eastAsia" w:ascii="宋体" w:hAnsi="宋体" w:cs="宋体"/>
                <w:color w:val="auto"/>
                <w:sz w:val="24"/>
                <w:szCs w:val="24"/>
              </w:rPr>
              <w:t>0.8%</w:t>
            </w:r>
          </w:p>
        </w:tc>
        <w:tc>
          <w:tcPr>
            <w:tcW w:w="2272" w:type="dxa"/>
            <w:tcBorders>
              <w:top w:val="single" w:color="auto" w:sz="4" w:space="0"/>
              <w:left w:val="single" w:color="auto" w:sz="4" w:space="0"/>
              <w:bottom w:val="single" w:color="auto" w:sz="4" w:space="0"/>
              <w:right w:val="single" w:color="auto" w:sz="4" w:space="0"/>
            </w:tcBorders>
            <w:vAlign w:val="center"/>
          </w:tcPr>
          <w:p w14:paraId="22F0CBD9">
            <w:pPr>
              <w:spacing w:line="240" w:lineRule="atLeast"/>
              <w:jc w:val="center"/>
              <w:rPr>
                <w:rFonts w:ascii="宋体" w:hAnsi="宋体" w:cs="宋体"/>
                <w:color w:val="auto"/>
                <w:sz w:val="24"/>
                <w:szCs w:val="24"/>
              </w:rPr>
            </w:pPr>
            <w:r>
              <w:rPr>
                <w:rFonts w:hint="eastAsia" w:ascii="宋体" w:hAnsi="宋体" w:cs="宋体"/>
                <w:color w:val="auto"/>
                <w:sz w:val="24"/>
                <w:szCs w:val="24"/>
              </w:rPr>
              <w:t>0.7%</w:t>
            </w:r>
          </w:p>
        </w:tc>
      </w:tr>
      <w:tr w14:paraId="182B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7EB29702">
            <w:pPr>
              <w:spacing w:line="240" w:lineRule="atLeast"/>
              <w:jc w:val="center"/>
              <w:rPr>
                <w:rFonts w:ascii="宋体" w:hAnsi="宋体" w:cs="宋体"/>
                <w:color w:val="auto"/>
                <w:sz w:val="24"/>
                <w:szCs w:val="24"/>
              </w:rPr>
            </w:pPr>
            <w:r>
              <w:rPr>
                <w:rFonts w:hint="eastAsia" w:ascii="宋体" w:hAnsi="宋体" w:cs="宋体"/>
                <w:color w:val="auto"/>
                <w:sz w:val="24"/>
                <w:szCs w:val="24"/>
              </w:rPr>
              <w:t>200-500</w:t>
            </w:r>
          </w:p>
        </w:tc>
        <w:tc>
          <w:tcPr>
            <w:tcW w:w="2240" w:type="dxa"/>
            <w:tcBorders>
              <w:top w:val="single" w:color="auto" w:sz="4" w:space="0"/>
              <w:left w:val="single" w:color="auto" w:sz="4" w:space="0"/>
              <w:bottom w:val="single" w:color="auto" w:sz="4" w:space="0"/>
              <w:right w:val="single" w:color="auto" w:sz="4" w:space="0"/>
            </w:tcBorders>
            <w:vAlign w:val="center"/>
          </w:tcPr>
          <w:p w14:paraId="7B6E081D">
            <w:pPr>
              <w:spacing w:line="240" w:lineRule="atLeast"/>
              <w:jc w:val="center"/>
              <w:rPr>
                <w:rFonts w:ascii="宋体" w:hAnsi="宋体" w:cs="宋体"/>
                <w:color w:val="auto"/>
                <w:sz w:val="24"/>
                <w:szCs w:val="24"/>
              </w:rPr>
            </w:pPr>
            <w:r>
              <w:rPr>
                <w:rFonts w:hint="eastAsia" w:ascii="宋体" w:hAnsi="宋体" w:cs="宋体"/>
                <w:color w:val="auto"/>
                <w:sz w:val="24"/>
                <w:szCs w:val="24"/>
              </w:rPr>
              <w:t>1.08%</w:t>
            </w:r>
          </w:p>
        </w:tc>
        <w:tc>
          <w:tcPr>
            <w:tcW w:w="2273" w:type="dxa"/>
            <w:tcBorders>
              <w:top w:val="single" w:color="auto" w:sz="4" w:space="0"/>
              <w:left w:val="single" w:color="auto" w:sz="4" w:space="0"/>
              <w:bottom w:val="single" w:color="auto" w:sz="4" w:space="0"/>
              <w:right w:val="single" w:color="auto" w:sz="4" w:space="0"/>
            </w:tcBorders>
            <w:vAlign w:val="center"/>
          </w:tcPr>
          <w:p w14:paraId="5779EB32">
            <w:pPr>
              <w:spacing w:line="240" w:lineRule="atLeast"/>
              <w:jc w:val="center"/>
              <w:rPr>
                <w:rFonts w:ascii="宋体" w:hAnsi="宋体" w:cs="宋体"/>
                <w:color w:val="auto"/>
                <w:sz w:val="24"/>
                <w:szCs w:val="24"/>
              </w:rPr>
            </w:pPr>
            <w:r>
              <w:rPr>
                <w:rFonts w:hint="eastAsia" w:ascii="宋体" w:hAnsi="宋体" w:cs="宋体"/>
                <w:color w:val="auto"/>
                <w:sz w:val="24"/>
                <w:szCs w:val="24"/>
              </w:rPr>
              <w:t>0.78%</w:t>
            </w:r>
          </w:p>
        </w:tc>
        <w:tc>
          <w:tcPr>
            <w:tcW w:w="2272" w:type="dxa"/>
            <w:tcBorders>
              <w:top w:val="single" w:color="auto" w:sz="4" w:space="0"/>
              <w:left w:val="single" w:color="auto" w:sz="4" w:space="0"/>
              <w:bottom w:val="single" w:color="auto" w:sz="4" w:space="0"/>
              <w:right w:val="single" w:color="auto" w:sz="4" w:space="0"/>
            </w:tcBorders>
            <w:vAlign w:val="center"/>
          </w:tcPr>
          <w:p w14:paraId="3A2C36EA">
            <w:pPr>
              <w:spacing w:line="240" w:lineRule="atLeast"/>
              <w:jc w:val="center"/>
              <w:rPr>
                <w:rFonts w:ascii="宋体" w:hAnsi="宋体" w:cs="宋体"/>
                <w:color w:val="auto"/>
                <w:sz w:val="24"/>
                <w:szCs w:val="24"/>
              </w:rPr>
            </w:pPr>
            <w:r>
              <w:rPr>
                <w:rFonts w:hint="eastAsia" w:ascii="宋体" w:hAnsi="宋体" w:cs="宋体"/>
                <w:color w:val="auto"/>
                <w:sz w:val="24"/>
                <w:szCs w:val="24"/>
              </w:rPr>
              <w:t>0.69%</w:t>
            </w:r>
          </w:p>
        </w:tc>
      </w:tr>
      <w:tr w14:paraId="6F2A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42B0FBC9">
            <w:pPr>
              <w:spacing w:line="240" w:lineRule="atLeast"/>
              <w:jc w:val="center"/>
              <w:rPr>
                <w:rFonts w:ascii="宋体" w:hAnsi="宋体" w:cs="宋体"/>
                <w:color w:val="auto"/>
                <w:sz w:val="24"/>
                <w:szCs w:val="24"/>
              </w:rPr>
            </w:pPr>
            <w:r>
              <w:rPr>
                <w:rFonts w:hint="eastAsia" w:ascii="宋体" w:hAnsi="宋体" w:cs="宋体"/>
                <w:color w:val="auto"/>
                <w:sz w:val="24"/>
                <w:szCs w:val="24"/>
              </w:rPr>
              <w:t>500-1000</w:t>
            </w:r>
          </w:p>
        </w:tc>
        <w:tc>
          <w:tcPr>
            <w:tcW w:w="2240" w:type="dxa"/>
            <w:tcBorders>
              <w:top w:val="single" w:color="auto" w:sz="4" w:space="0"/>
              <w:left w:val="single" w:color="auto" w:sz="4" w:space="0"/>
              <w:bottom w:val="single" w:color="auto" w:sz="4" w:space="0"/>
              <w:right w:val="single" w:color="auto" w:sz="4" w:space="0"/>
            </w:tcBorders>
            <w:vAlign w:val="center"/>
          </w:tcPr>
          <w:p w14:paraId="66DF3184">
            <w:pPr>
              <w:spacing w:line="240" w:lineRule="atLeast"/>
              <w:jc w:val="center"/>
              <w:rPr>
                <w:rFonts w:ascii="宋体" w:hAnsi="宋体" w:cs="宋体"/>
                <w:color w:val="auto"/>
                <w:sz w:val="24"/>
                <w:szCs w:val="24"/>
              </w:rPr>
            </w:pPr>
            <w:r>
              <w:rPr>
                <w:rFonts w:hint="eastAsia" w:ascii="宋体" w:hAnsi="宋体" w:cs="宋体"/>
                <w:color w:val="auto"/>
                <w:sz w:val="24"/>
                <w:szCs w:val="24"/>
              </w:rPr>
              <w:t>0.76%</w:t>
            </w:r>
          </w:p>
        </w:tc>
        <w:tc>
          <w:tcPr>
            <w:tcW w:w="2273" w:type="dxa"/>
            <w:tcBorders>
              <w:top w:val="single" w:color="auto" w:sz="4" w:space="0"/>
              <w:left w:val="single" w:color="auto" w:sz="4" w:space="0"/>
              <w:bottom w:val="single" w:color="auto" w:sz="4" w:space="0"/>
              <w:right w:val="single" w:color="auto" w:sz="4" w:space="0"/>
            </w:tcBorders>
            <w:vAlign w:val="center"/>
          </w:tcPr>
          <w:p w14:paraId="1F8C2BA7">
            <w:pPr>
              <w:spacing w:line="240" w:lineRule="atLeast"/>
              <w:jc w:val="center"/>
              <w:rPr>
                <w:rFonts w:ascii="宋体" w:hAnsi="宋体" w:cs="宋体"/>
                <w:color w:val="auto"/>
                <w:sz w:val="24"/>
                <w:szCs w:val="24"/>
              </w:rPr>
            </w:pPr>
            <w:r>
              <w:rPr>
                <w:rFonts w:hint="eastAsia" w:ascii="宋体" w:hAnsi="宋体" w:cs="宋体"/>
                <w:color w:val="auto"/>
                <w:sz w:val="24"/>
                <w:szCs w:val="24"/>
              </w:rPr>
              <w:t>0.43%</w:t>
            </w:r>
          </w:p>
        </w:tc>
        <w:tc>
          <w:tcPr>
            <w:tcW w:w="2272" w:type="dxa"/>
            <w:tcBorders>
              <w:top w:val="single" w:color="auto" w:sz="4" w:space="0"/>
              <w:left w:val="single" w:color="auto" w:sz="4" w:space="0"/>
              <w:bottom w:val="single" w:color="auto" w:sz="4" w:space="0"/>
              <w:right w:val="single" w:color="auto" w:sz="4" w:space="0"/>
            </w:tcBorders>
            <w:vAlign w:val="center"/>
          </w:tcPr>
          <w:p w14:paraId="6E18153B">
            <w:pPr>
              <w:spacing w:line="240" w:lineRule="atLeast"/>
              <w:jc w:val="center"/>
              <w:rPr>
                <w:rFonts w:ascii="宋体" w:hAnsi="宋体" w:cs="宋体"/>
                <w:color w:val="auto"/>
                <w:sz w:val="24"/>
                <w:szCs w:val="24"/>
              </w:rPr>
            </w:pPr>
            <w:r>
              <w:rPr>
                <w:rFonts w:hint="eastAsia" w:ascii="宋体" w:hAnsi="宋体" w:cs="宋体"/>
                <w:color w:val="auto"/>
                <w:sz w:val="24"/>
                <w:szCs w:val="24"/>
              </w:rPr>
              <w:t>0.52%</w:t>
            </w:r>
          </w:p>
        </w:tc>
      </w:tr>
      <w:tr w14:paraId="303D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62F9140E">
            <w:pPr>
              <w:spacing w:line="240" w:lineRule="atLeast"/>
              <w:jc w:val="center"/>
              <w:rPr>
                <w:rFonts w:ascii="宋体" w:hAnsi="宋体" w:cs="宋体"/>
                <w:color w:val="auto"/>
                <w:sz w:val="24"/>
                <w:szCs w:val="24"/>
              </w:rPr>
            </w:pPr>
            <w:r>
              <w:rPr>
                <w:rFonts w:hint="eastAsia" w:ascii="宋体" w:hAnsi="宋体" w:cs="宋体"/>
                <w:color w:val="auto"/>
                <w:sz w:val="24"/>
                <w:szCs w:val="24"/>
              </w:rPr>
              <w:t>1000-5000</w:t>
            </w:r>
          </w:p>
        </w:tc>
        <w:tc>
          <w:tcPr>
            <w:tcW w:w="2240" w:type="dxa"/>
            <w:tcBorders>
              <w:top w:val="single" w:color="auto" w:sz="4" w:space="0"/>
              <w:left w:val="single" w:color="auto" w:sz="4" w:space="0"/>
              <w:bottom w:val="single" w:color="auto" w:sz="4" w:space="0"/>
              <w:right w:val="single" w:color="auto" w:sz="4" w:space="0"/>
            </w:tcBorders>
            <w:vAlign w:val="center"/>
          </w:tcPr>
          <w:p w14:paraId="7C45688D">
            <w:pPr>
              <w:spacing w:line="240" w:lineRule="atLeast"/>
              <w:jc w:val="center"/>
              <w:rPr>
                <w:rFonts w:ascii="宋体" w:hAnsi="宋体" w:cs="宋体"/>
                <w:color w:val="auto"/>
                <w:sz w:val="24"/>
                <w:szCs w:val="24"/>
              </w:rPr>
            </w:pPr>
            <w:r>
              <w:rPr>
                <w:rFonts w:hint="eastAsia" w:ascii="宋体" w:hAnsi="宋体" w:cs="宋体"/>
                <w:color w:val="auto"/>
                <w:sz w:val="24"/>
                <w:szCs w:val="24"/>
              </w:rPr>
              <w:t>0.45%</w:t>
            </w:r>
          </w:p>
        </w:tc>
        <w:tc>
          <w:tcPr>
            <w:tcW w:w="2273" w:type="dxa"/>
            <w:tcBorders>
              <w:top w:val="single" w:color="auto" w:sz="4" w:space="0"/>
              <w:left w:val="single" w:color="auto" w:sz="4" w:space="0"/>
              <w:bottom w:val="single" w:color="auto" w:sz="4" w:space="0"/>
              <w:right w:val="single" w:color="auto" w:sz="4" w:space="0"/>
            </w:tcBorders>
            <w:vAlign w:val="center"/>
          </w:tcPr>
          <w:p w14:paraId="7B91A42F">
            <w:pPr>
              <w:spacing w:line="240" w:lineRule="atLeast"/>
              <w:jc w:val="center"/>
              <w:rPr>
                <w:rFonts w:ascii="宋体" w:hAnsi="宋体" w:cs="宋体"/>
                <w:color w:val="auto"/>
                <w:sz w:val="24"/>
                <w:szCs w:val="24"/>
              </w:rPr>
            </w:pPr>
            <w:r>
              <w:rPr>
                <w:rFonts w:hint="eastAsia" w:ascii="宋体" w:hAnsi="宋体" w:cs="宋体"/>
                <w:color w:val="auto"/>
                <w:sz w:val="24"/>
                <w:szCs w:val="24"/>
              </w:rPr>
              <w:t>0.23%</w:t>
            </w:r>
          </w:p>
        </w:tc>
        <w:tc>
          <w:tcPr>
            <w:tcW w:w="2272" w:type="dxa"/>
            <w:tcBorders>
              <w:top w:val="single" w:color="auto" w:sz="4" w:space="0"/>
              <w:left w:val="single" w:color="auto" w:sz="4" w:space="0"/>
              <w:bottom w:val="single" w:color="auto" w:sz="4" w:space="0"/>
              <w:right w:val="single" w:color="auto" w:sz="4" w:space="0"/>
            </w:tcBorders>
            <w:vAlign w:val="center"/>
          </w:tcPr>
          <w:p w14:paraId="0C6B35AA">
            <w:pPr>
              <w:spacing w:line="240" w:lineRule="atLeast"/>
              <w:jc w:val="center"/>
              <w:rPr>
                <w:rFonts w:ascii="宋体" w:hAnsi="宋体" w:cs="宋体"/>
                <w:color w:val="auto"/>
                <w:sz w:val="24"/>
                <w:szCs w:val="24"/>
              </w:rPr>
            </w:pPr>
            <w:r>
              <w:rPr>
                <w:rFonts w:hint="eastAsia" w:ascii="宋体" w:hAnsi="宋体" w:cs="宋体"/>
                <w:color w:val="auto"/>
                <w:sz w:val="24"/>
                <w:szCs w:val="24"/>
              </w:rPr>
              <w:t>0.32%</w:t>
            </w:r>
          </w:p>
        </w:tc>
      </w:tr>
      <w:tr w14:paraId="029D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5554A9C5">
            <w:pPr>
              <w:spacing w:line="240" w:lineRule="atLeast"/>
              <w:jc w:val="center"/>
              <w:rPr>
                <w:rFonts w:ascii="宋体" w:hAnsi="宋体" w:cs="宋体"/>
                <w:color w:val="auto"/>
                <w:sz w:val="24"/>
                <w:szCs w:val="24"/>
              </w:rPr>
            </w:pPr>
            <w:r>
              <w:rPr>
                <w:rFonts w:hint="eastAsia" w:ascii="宋体" w:hAnsi="宋体" w:cs="宋体"/>
                <w:color w:val="auto"/>
                <w:sz w:val="24"/>
                <w:szCs w:val="24"/>
              </w:rPr>
              <w:t>5000-10000</w:t>
            </w:r>
          </w:p>
        </w:tc>
        <w:tc>
          <w:tcPr>
            <w:tcW w:w="2240" w:type="dxa"/>
            <w:tcBorders>
              <w:top w:val="single" w:color="auto" w:sz="4" w:space="0"/>
              <w:left w:val="single" w:color="auto" w:sz="4" w:space="0"/>
              <w:bottom w:val="single" w:color="auto" w:sz="4" w:space="0"/>
              <w:right w:val="single" w:color="auto" w:sz="4" w:space="0"/>
            </w:tcBorders>
            <w:vAlign w:val="center"/>
          </w:tcPr>
          <w:p w14:paraId="39B30424">
            <w:pPr>
              <w:spacing w:line="240" w:lineRule="atLeast"/>
              <w:jc w:val="center"/>
              <w:rPr>
                <w:rFonts w:ascii="宋体" w:hAnsi="宋体" w:cs="宋体"/>
                <w:color w:val="auto"/>
                <w:sz w:val="24"/>
                <w:szCs w:val="24"/>
              </w:rPr>
            </w:pPr>
            <w:r>
              <w:rPr>
                <w:rFonts w:hint="eastAsia" w:ascii="宋体" w:hAnsi="宋体" w:cs="宋体"/>
                <w:color w:val="auto"/>
                <w:sz w:val="24"/>
                <w:szCs w:val="24"/>
              </w:rPr>
              <w:t>0.23%</w:t>
            </w:r>
          </w:p>
        </w:tc>
        <w:tc>
          <w:tcPr>
            <w:tcW w:w="2273" w:type="dxa"/>
            <w:tcBorders>
              <w:top w:val="single" w:color="auto" w:sz="4" w:space="0"/>
              <w:left w:val="single" w:color="auto" w:sz="4" w:space="0"/>
              <w:bottom w:val="single" w:color="auto" w:sz="4" w:space="0"/>
              <w:right w:val="single" w:color="auto" w:sz="4" w:space="0"/>
            </w:tcBorders>
            <w:vAlign w:val="center"/>
          </w:tcPr>
          <w:p w14:paraId="1B5A746E">
            <w:pPr>
              <w:spacing w:line="240" w:lineRule="atLeast"/>
              <w:jc w:val="center"/>
              <w:rPr>
                <w:rFonts w:ascii="宋体" w:hAnsi="宋体" w:cs="宋体"/>
                <w:color w:val="auto"/>
                <w:sz w:val="24"/>
                <w:szCs w:val="24"/>
              </w:rPr>
            </w:pPr>
            <w:r>
              <w:rPr>
                <w:rFonts w:hint="eastAsia" w:ascii="宋体" w:hAnsi="宋体" w:cs="宋体"/>
                <w:color w:val="auto"/>
                <w:sz w:val="24"/>
                <w:szCs w:val="24"/>
              </w:rPr>
              <w:t>0.09%</w:t>
            </w:r>
          </w:p>
        </w:tc>
        <w:tc>
          <w:tcPr>
            <w:tcW w:w="2272" w:type="dxa"/>
            <w:tcBorders>
              <w:top w:val="single" w:color="auto" w:sz="4" w:space="0"/>
              <w:left w:val="single" w:color="auto" w:sz="4" w:space="0"/>
              <w:bottom w:val="single" w:color="auto" w:sz="4" w:space="0"/>
              <w:right w:val="single" w:color="auto" w:sz="4" w:space="0"/>
            </w:tcBorders>
            <w:vAlign w:val="center"/>
          </w:tcPr>
          <w:p w14:paraId="06EE20CA">
            <w:pPr>
              <w:spacing w:line="240" w:lineRule="atLeast"/>
              <w:jc w:val="center"/>
              <w:rPr>
                <w:rFonts w:ascii="宋体" w:hAnsi="宋体" w:cs="宋体"/>
                <w:color w:val="auto"/>
                <w:sz w:val="24"/>
                <w:szCs w:val="24"/>
              </w:rPr>
            </w:pPr>
            <w:r>
              <w:rPr>
                <w:rFonts w:hint="eastAsia" w:ascii="宋体" w:hAnsi="宋体" w:cs="宋体"/>
                <w:color w:val="auto"/>
                <w:sz w:val="24"/>
                <w:szCs w:val="24"/>
              </w:rPr>
              <w:t>0.18%</w:t>
            </w:r>
          </w:p>
        </w:tc>
      </w:tr>
      <w:tr w14:paraId="60C5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43B43521">
            <w:pPr>
              <w:spacing w:line="240" w:lineRule="atLeast"/>
              <w:jc w:val="center"/>
              <w:rPr>
                <w:rFonts w:ascii="宋体" w:hAnsi="宋体" w:cs="宋体"/>
                <w:color w:val="auto"/>
                <w:sz w:val="24"/>
                <w:szCs w:val="24"/>
              </w:rPr>
            </w:pPr>
            <w:r>
              <w:rPr>
                <w:rFonts w:hint="eastAsia" w:ascii="宋体" w:hAnsi="宋体" w:cs="宋体"/>
                <w:color w:val="auto"/>
                <w:sz w:val="24"/>
                <w:szCs w:val="24"/>
              </w:rPr>
              <w:t>10000-100000</w:t>
            </w:r>
          </w:p>
        </w:tc>
        <w:tc>
          <w:tcPr>
            <w:tcW w:w="2240" w:type="dxa"/>
            <w:tcBorders>
              <w:top w:val="single" w:color="auto" w:sz="4" w:space="0"/>
              <w:left w:val="single" w:color="auto" w:sz="4" w:space="0"/>
              <w:bottom w:val="single" w:color="auto" w:sz="4" w:space="0"/>
              <w:right w:val="single" w:color="auto" w:sz="4" w:space="0"/>
            </w:tcBorders>
            <w:vAlign w:val="center"/>
          </w:tcPr>
          <w:p w14:paraId="1A4440E2">
            <w:pPr>
              <w:spacing w:line="240" w:lineRule="atLeast"/>
              <w:jc w:val="center"/>
              <w:rPr>
                <w:rFonts w:ascii="宋体" w:hAnsi="宋体" w:cs="宋体"/>
                <w:color w:val="auto"/>
                <w:sz w:val="24"/>
                <w:szCs w:val="24"/>
              </w:rPr>
            </w:pPr>
            <w:r>
              <w:rPr>
                <w:rFonts w:hint="eastAsia" w:ascii="宋体" w:hAnsi="宋体" w:cs="宋体"/>
                <w:color w:val="auto"/>
                <w:sz w:val="24"/>
                <w:szCs w:val="24"/>
              </w:rPr>
              <w:t>0.045%</w:t>
            </w:r>
          </w:p>
        </w:tc>
        <w:tc>
          <w:tcPr>
            <w:tcW w:w="2273" w:type="dxa"/>
            <w:tcBorders>
              <w:top w:val="single" w:color="auto" w:sz="4" w:space="0"/>
              <w:left w:val="single" w:color="auto" w:sz="4" w:space="0"/>
              <w:bottom w:val="single" w:color="auto" w:sz="4" w:space="0"/>
              <w:right w:val="single" w:color="auto" w:sz="4" w:space="0"/>
            </w:tcBorders>
            <w:vAlign w:val="center"/>
          </w:tcPr>
          <w:p w14:paraId="3FE8C68E">
            <w:pPr>
              <w:spacing w:line="240" w:lineRule="atLeast"/>
              <w:jc w:val="center"/>
              <w:rPr>
                <w:rFonts w:ascii="宋体" w:hAnsi="宋体" w:cs="宋体"/>
                <w:color w:val="auto"/>
                <w:sz w:val="24"/>
                <w:szCs w:val="24"/>
              </w:rPr>
            </w:pPr>
            <w:r>
              <w:rPr>
                <w:rFonts w:hint="eastAsia" w:ascii="宋体" w:hAnsi="宋体" w:cs="宋体"/>
                <w:color w:val="auto"/>
                <w:sz w:val="24"/>
                <w:szCs w:val="24"/>
              </w:rPr>
              <w:t>0.045%</w:t>
            </w:r>
          </w:p>
        </w:tc>
        <w:tc>
          <w:tcPr>
            <w:tcW w:w="2272" w:type="dxa"/>
            <w:tcBorders>
              <w:top w:val="single" w:color="auto" w:sz="4" w:space="0"/>
              <w:left w:val="single" w:color="auto" w:sz="4" w:space="0"/>
              <w:bottom w:val="single" w:color="auto" w:sz="4" w:space="0"/>
              <w:right w:val="single" w:color="auto" w:sz="4" w:space="0"/>
            </w:tcBorders>
            <w:vAlign w:val="center"/>
          </w:tcPr>
          <w:p w14:paraId="7F5EFD39">
            <w:pPr>
              <w:spacing w:line="240" w:lineRule="atLeast"/>
              <w:jc w:val="center"/>
              <w:rPr>
                <w:rFonts w:ascii="宋体" w:hAnsi="宋体" w:cs="宋体"/>
                <w:color w:val="auto"/>
                <w:sz w:val="24"/>
                <w:szCs w:val="24"/>
              </w:rPr>
            </w:pPr>
            <w:r>
              <w:rPr>
                <w:rFonts w:hint="eastAsia" w:ascii="宋体" w:hAnsi="宋体" w:cs="宋体"/>
                <w:color w:val="auto"/>
                <w:sz w:val="24"/>
                <w:szCs w:val="24"/>
              </w:rPr>
              <w:t>0.045%</w:t>
            </w:r>
          </w:p>
        </w:tc>
      </w:tr>
      <w:tr w14:paraId="7D87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40" w:type="dxa"/>
            <w:tcBorders>
              <w:top w:val="single" w:color="auto" w:sz="4" w:space="0"/>
              <w:left w:val="single" w:color="auto" w:sz="4" w:space="0"/>
              <w:bottom w:val="single" w:color="auto" w:sz="4" w:space="0"/>
              <w:right w:val="single" w:color="auto" w:sz="4" w:space="0"/>
            </w:tcBorders>
            <w:vAlign w:val="center"/>
          </w:tcPr>
          <w:p w14:paraId="689AE583">
            <w:pPr>
              <w:spacing w:line="240" w:lineRule="atLeast"/>
              <w:jc w:val="center"/>
              <w:rPr>
                <w:rFonts w:ascii="宋体" w:hAnsi="宋体" w:cs="宋体"/>
                <w:color w:val="auto"/>
                <w:sz w:val="24"/>
                <w:szCs w:val="24"/>
              </w:rPr>
            </w:pPr>
            <w:r>
              <w:rPr>
                <w:rFonts w:hint="eastAsia" w:ascii="宋体" w:hAnsi="宋体" w:cs="宋体"/>
                <w:color w:val="auto"/>
                <w:sz w:val="24"/>
                <w:szCs w:val="24"/>
              </w:rPr>
              <w:t>100000以上</w:t>
            </w:r>
          </w:p>
        </w:tc>
        <w:tc>
          <w:tcPr>
            <w:tcW w:w="2240" w:type="dxa"/>
            <w:tcBorders>
              <w:top w:val="single" w:color="auto" w:sz="4" w:space="0"/>
              <w:left w:val="single" w:color="auto" w:sz="4" w:space="0"/>
              <w:bottom w:val="single" w:color="auto" w:sz="4" w:space="0"/>
              <w:right w:val="single" w:color="auto" w:sz="4" w:space="0"/>
            </w:tcBorders>
            <w:vAlign w:val="center"/>
          </w:tcPr>
          <w:p w14:paraId="72F630FF">
            <w:pPr>
              <w:spacing w:line="240" w:lineRule="atLeast"/>
              <w:jc w:val="center"/>
              <w:rPr>
                <w:rFonts w:ascii="宋体" w:hAnsi="宋体" w:cs="宋体"/>
                <w:color w:val="auto"/>
                <w:sz w:val="24"/>
                <w:szCs w:val="24"/>
              </w:rPr>
            </w:pPr>
            <w:r>
              <w:rPr>
                <w:rFonts w:hint="eastAsia" w:ascii="宋体" w:hAnsi="宋体" w:cs="宋体"/>
                <w:color w:val="auto"/>
                <w:sz w:val="24"/>
                <w:szCs w:val="24"/>
              </w:rPr>
              <w:t>0.009%</w:t>
            </w:r>
          </w:p>
        </w:tc>
        <w:tc>
          <w:tcPr>
            <w:tcW w:w="2273" w:type="dxa"/>
            <w:tcBorders>
              <w:top w:val="single" w:color="auto" w:sz="4" w:space="0"/>
              <w:left w:val="single" w:color="auto" w:sz="4" w:space="0"/>
              <w:bottom w:val="single" w:color="auto" w:sz="4" w:space="0"/>
              <w:right w:val="single" w:color="auto" w:sz="4" w:space="0"/>
            </w:tcBorders>
            <w:vAlign w:val="center"/>
          </w:tcPr>
          <w:p w14:paraId="48095A9B">
            <w:pPr>
              <w:spacing w:line="240" w:lineRule="atLeast"/>
              <w:jc w:val="center"/>
              <w:rPr>
                <w:rFonts w:ascii="宋体" w:hAnsi="宋体" w:cs="宋体"/>
                <w:color w:val="auto"/>
                <w:sz w:val="24"/>
                <w:szCs w:val="24"/>
              </w:rPr>
            </w:pPr>
            <w:r>
              <w:rPr>
                <w:rFonts w:hint="eastAsia" w:ascii="宋体" w:hAnsi="宋体" w:cs="宋体"/>
                <w:color w:val="auto"/>
                <w:sz w:val="24"/>
                <w:szCs w:val="24"/>
              </w:rPr>
              <w:t>0.009%</w:t>
            </w:r>
          </w:p>
        </w:tc>
        <w:tc>
          <w:tcPr>
            <w:tcW w:w="2272" w:type="dxa"/>
            <w:tcBorders>
              <w:top w:val="single" w:color="auto" w:sz="4" w:space="0"/>
              <w:left w:val="single" w:color="auto" w:sz="4" w:space="0"/>
              <w:bottom w:val="single" w:color="auto" w:sz="4" w:space="0"/>
              <w:right w:val="single" w:color="auto" w:sz="4" w:space="0"/>
            </w:tcBorders>
            <w:vAlign w:val="center"/>
          </w:tcPr>
          <w:p w14:paraId="1F2ACBF9">
            <w:pPr>
              <w:spacing w:line="240" w:lineRule="atLeast"/>
              <w:jc w:val="center"/>
              <w:rPr>
                <w:rFonts w:ascii="宋体" w:hAnsi="宋体" w:cs="宋体"/>
                <w:color w:val="auto"/>
                <w:sz w:val="24"/>
                <w:szCs w:val="24"/>
              </w:rPr>
            </w:pPr>
            <w:r>
              <w:rPr>
                <w:rFonts w:hint="eastAsia" w:ascii="宋体" w:hAnsi="宋体" w:cs="宋体"/>
                <w:color w:val="auto"/>
                <w:sz w:val="24"/>
                <w:szCs w:val="24"/>
              </w:rPr>
              <w:t>0.009%</w:t>
            </w:r>
          </w:p>
        </w:tc>
      </w:tr>
    </w:tbl>
    <w:p w14:paraId="18B2334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注：代理服务收费按差额定率累进法计算。例如：某服务代理业务</w:t>
      </w:r>
      <w:r>
        <w:rPr>
          <w:rFonts w:hint="eastAsia" w:ascii="宋体" w:hAnsi="宋体" w:cs="宋体"/>
          <w:color w:val="auto"/>
          <w:sz w:val="24"/>
          <w:szCs w:val="24"/>
          <w:lang w:val="en-US" w:eastAsia="zh-CN"/>
        </w:rPr>
        <w:t>中标金额</w:t>
      </w:r>
      <w:r>
        <w:rPr>
          <w:rFonts w:hint="eastAsia" w:ascii="宋体" w:hAnsi="宋体" w:cs="宋体"/>
          <w:color w:val="auto"/>
          <w:sz w:val="24"/>
          <w:szCs w:val="24"/>
        </w:rPr>
        <w:t>为</w:t>
      </w:r>
      <w:r>
        <w:rPr>
          <w:rFonts w:hint="eastAsia" w:ascii="宋体" w:hAnsi="宋体" w:cs="宋体"/>
          <w:bCs/>
          <w:color w:val="auto"/>
          <w:kern w:val="0"/>
          <w:sz w:val="24"/>
        </w:rPr>
        <w:t>100</w:t>
      </w:r>
      <w:r>
        <w:rPr>
          <w:rFonts w:hint="eastAsia" w:ascii="宋体" w:hAnsi="宋体" w:cs="宋体"/>
          <w:color w:val="auto"/>
          <w:sz w:val="24"/>
          <w:szCs w:val="24"/>
        </w:rPr>
        <w:t>万元，计算代理服务收费额如下：</w:t>
      </w:r>
    </w:p>
    <w:p w14:paraId="4541C62D">
      <w:pPr>
        <w:spacing w:line="400" w:lineRule="exact"/>
        <w:ind w:firstLine="480" w:firstLineChars="200"/>
        <w:rPr>
          <w:rFonts w:ascii="宋体" w:hAnsi="宋体" w:cs="宋体"/>
          <w:color w:val="auto"/>
          <w:sz w:val="24"/>
        </w:rPr>
      </w:pPr>
      <w:r>
        <w:rPr>
          <w:rFonts w:hint="eastAsia" w:ascii="宋体" w:hAnsi="宋体" w:cs="宋体"/>
          <w:color w:val="auto"/>
          <w:sz w:val="24"/>
        </w:rPr>
        <w:t>100万元×1.5%=1.5万元</w:t>
      </w:r>
    </w:p>
    <w:p w14:paraId="3521E943">
      <w:pPr>
        <w:spacing w:line="400" w:lineRule="exact"/>
        <w:ind w:firstLine="480" w:firstLineChars="200"/>
        <w:rPr>
          <w:rFonts w:ascii="宋体" w:hAnsi="宋体" w:cs="宋体"/>
          <w:color w:val="auto"/>
          <w:sz w:val="24"/>
        </w:rPr>
      </w:pPr>
      <w:r>
        <w:rPr>
          <w:rFonts w:hint="eastAsia" w:ascii="宋体" w:hAnsi="宋体" w:cs="宋体"/>
          <w:color w:val="auto"/>
          <w:sz w:val="24"/>
        </w:rPr>
        <w:t>采购代理服务费70%计算=1.5*70%=1.05万元</w:t>
      </w:r>
    </w:p>
    <w:p w14:paraId="26A36CC6">
      <w:pPr>
        <w:spacing w:line="400" w:lineRule="exact"/>
        <w:ind w:firstLine="480" w:firstLineChars="200"/>
        <w:rPr>
          <w:rFonts w:ascii="宋体" w:hAnsi="宋体" w:cs="宋体"/>
          <w:color w:val="auto"/>
          <w:sz w:val="24"/>
        </w:rPr>
      </w:pPr>
      <w:r>
        <w:rPr>
          <w:rFonts w:hint="eastAsia" w:ascii="宋体" w:hAnsi="宋体" w:cs="宋体"/>
          <w:color w:val="auto"/>
          <w:sz w:val="24"/>
        </w:rPr>
        <w:t>中标供应商如未按上述规定缴付采购代理服务费，其保证金将不予退还</w:t>
      </w:r>
    </w:p>
    <w:p w14:paraId="274FB147">
      <w:pPr>
        <w:ind w:firstLine="480" w:firstLineChars="200"/>
        <w:rPr>
          <w:rFonts w:ascii="宋体" w:hAnsi="宋体" w:cs="宋体"/>
          <w:color w:val="auto"/>
          <w:sz w:val="24"/>
          <w:szCs w:val="24"/>
        </w:rPr>
      </w:pPr>
      <w:r>
        <w:rPr>
          <w:rFonts w:hint="eastAsia" w:ascii="宋体" w:hAnsi="宋体" w:cs="宋体"/>
          <w:color w:val="auto"/>
          <w:sz w:val="24"/>
          <w:szCs w:val="24"/>
        </w:rPr>
        <w:t>（二）采购代理服务费缴纳账号：</w:t>
      </w:r>
    </w:p>
    <w:p w14:paraId="3D17D347">
      <w:pPr>
        <w:ind w:firstLine="480" w:firstLineChars="200"/>
        <w:rPr>
          <w:rFonts w:ascii="宋体" w:hAnsi="宋体" w:cs="宋体"/>
          <w:color w:val="auto"/>
          <w:sz w:val="24"/>
          <w:szCs w:val="24"/>
        </w:rPr>
      </w:pPr>
      <w:r>
        <w:rPr>
          <w:rFonts w:hint="eastAsia" w:ascii="宋体" w:hAnsi="宋体" w:cs="宋体"/>
          <w:color w:val="auto"/>
          <w:sz w:val="24"/>
          <w:szCs w:val="24"/>
        </w:rPr>
        <w:t>户  名：中捷通信有限公司</w:t>
      </w:r>
    </w:p>
    <w:p w14:paraId="448A5F95">
      <w:pPr>
        <w:ind w:firstLine="480" w:firstLineChars="200"/>
        <w:rPr>
          <w:rFonts w:ascii="宋体" w:hAnsi="宋体" w:cs="宋体"/>
          <w:color w:val="auto"/>
          <w:sz w:val="24"/>
          <w:szCs w:val="24"/>
        </w:rPr>
      </w:pPr>
      <w:r>
        <w:rPr>
          <w:rFonts w:hint="eastAsia" w:ascii="宋体" w:hAnsi="宋体" w:cs="宋体"/>
          <w:color w:val="auto"/>
          <w:sz w:val="24"/>
          <w:szCs w:val="24"/>
        </w:rPr>
        <w:t>开户行：中信银行广州花园支行</w:t>
      </w:r>
    </w:p>
    <w:p w14:paraId="6EC31842">
      <w:pPr>
        <w:ind w:firstLine="480" w:firstLineChars="200"/>
        <w:rPr>
          <w:rFonts w:ascii="宋体" w:hAnsi="宋体" w:cs="宋体"/>
          <w:color w:val="auto"/>
          <w:sz w:val="24"/>
          <w:szCs w:val="24"/>
        </w:rPr>
      </w:pPr>
      <w:r>
        <w:rPr>
          <w:rFonts w:hint="eastAsia" w:ascii="宋体" w:hAnsi="宋体" w:cs="宋体"/>
          <w:color w:val="auto"/>
          <w:sz w:val="24"/>
          <w:szCs w:val="24"/>
        </w:rPr>
        <w:t xml:space="preserve">账  号：3110910043850052406 </w:t>
      </w:r>
    </w:p>
    <w:bookmarkEnd w:id="172"/>
    <w:p w14:paraId="1407A7D1">
      <w:pPr>
        <w:pStyle w:val="3"/>
        <w:adjustRightInd w:val="0"/>
        <w:snapToGrid w:val="0"/>
        <w:spacing w:before="0" w:after="0" w:line="400" w:lineRule="exact"/>
        <w:ind w:firstLine="482" w:firstLineChars="200"/>
        <w:rPr>
          <w:rFonts w:ascii="宋体" w:hAnsi="宋体" w:eastAsia="宋体" w:cs="宋体"/>
          <w:color w:val="auto"/>
          <w:sz w:val="24"/>
        </w:rPr>
      </w:pPr>
      <w:bookmarkStart w:id="173" w:name="_Toc4124"/>
      <w:bookmarkStart w:id="174" w:name="_Toc76462346"/>
      <w:bookmarkStart w:id="175" w:name="_Toc24354"/>
      <w:r>
        <w:rPr>
          <w:rFonts w:hint="eastAsia" w:ascii="宋体" w:hAnsi="宋体" w:eastAsia="宋体" w:cs="宋体"/>
          <w:color w:val="auto"/>
          <w:sz w:val="24"/>
        </w:rPr>
        <w:t>八、签订合同</w:t>
      </w:r>
      <w:bookmarkEnd w:id="173"/>
      <w:bookmarkEnd w:id="174"/>
      <w:bookmarkEnd w:id="175"/>
    </w:p>
    <w:p w14:paraId="4A1CD9F9">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rPr>
        <w:t>采购人原则上应在成交通知书发出之日起二十日内和成交商签订采购合同，无正当理由不得拒绝或拖延合同签订</w:t>
      </w:r>
      <w:r>
        <w:rPr>
          <w:rFonts w:hint="eastAsia" w:ascii="宋体" w:hAnsi="宋体" w:cs="宋体"/>
          <w:color w:val="auto"/>
          <w:sz w:val="24"/>
          <w:szCs w:val="24"/>
        </w:rPr>
        <w:t>。所签订的合同不得对竞争性磋商文件和供应商的响应文件作实质性修改。其他未尽事宜由采购人和成交商在采购合同中详细约定。</w:t>
      </w:r>
    </w:p>
    <w:p w14:paraId="6CE1BFD1">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二</w:t>
      </w:r>
      <w:r>
        <w:rPr>
          <w:rFonts w:hint="eastAsia" w:ascii="宋体" w:hAnsi="宋体" w:cs="宋体"/>
          <w:color w:val="auto"/>
          <w:sz w:val="24"/>
          <w:szCs w:val="24"/>
        </w:rPr>
        <w:t>）竞争性磋商文件、供应商的响应文件及澄清文件等，均为签订采购合同的依据。</w:t>
      </w:r>
    </w:p>
    <w:p w14:paraId="35F27C91">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三</w:t>
      </w:r>
      <w:r>
        <w:rPr>
          <w:rFonts w:hint="eastAsia" w:ascii="宋体" w:hAnsi="宋体" w:cs="宋体"/>
          <w:color w:val="auto"/>
          <w:sz w:val="24"/>
          <w:szCs w:val="24"/>
        </w:rPr>
        <w:t>）合同生效条款由供需双方约定，法律、行政法规规定应当办理批准、登记等手续后生效的合同，依照其规定。</w:t>
      </w:r>
    </w:p>
    <w:p w14:paraId="42FAB401">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四</w:t>
      </w:r>
      <w:r>
        <w:rPr>
          <w:rFonts w:hint="eastAsia" w:ascii="宋体" w:hAnsi="宋体" w:cs="宋体"/>
          <w:color w:val="auto"/>
          <w:sz w:val="24"/>
          <w:szCs w:val="24"/>
        </w:rPr>
        <w:t>）合同原则上应按照《采购合同》签订，相关单位要求适用合同通用格式版本的，应按其要求另行签订其他合同。</w:t>
      </w:r>
    </w:p>
    <w:p w14:paraId="3A0A1449">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五</w:t>
      </w:r>
      <w:r>
        <w:rPr>
          <w:rFonts w:hint="eastAsia" w:ascii="宋体" w:hAnsi="宋体" w:cs="宋体"/>
          <w:color w:val="auto"/>
          <w:sz w:val="24"/>
          <w:szCs w:val="24"/>
        </w:rPr>
        <w:t>）采购人要求成交商提供履约保证金的，应当在竞争性磋商文件中予以约定。成交商履约完毕后，采购人根据采购文件规定无息退还其履约保证金。</w:t>
      </w:r>
    </w:p>
    <w:p w14:paraId="6BB2ADA7">
      <w:pPr>
        <w:spacing w:line="400" w:lineRule="exact"/>
        <w:ind w:firstLine="361" w:firstLineChars="150"/>
        <w:rPr>
          <w:rFonts w:ascii="宋体" w:hAnsi="宋体" w:cs="宋体"/>
          <w:color w:val="auto"/>
          <w:sz w:val="24"/>
          <w:szCs w:val="24"/>
        </w:rPr>
      </w:pPr>
      <w:r>
        <w:rPr>
          <w:rFonts w:hint="eastAsia" w:ascii="宋体" w:hAnsi="宋体" w:cs="宋体"/>
          <w:b/>
          <w:bCs/>
          <w:color w:val="auto"/>
          <w:sz w:val="24"/>
          <w:szCs w:val="24"/>
          <w:u w:val="single"/>
        </w:rPr>
        <w:t>（</w:t>
      </w:r>
      <w:r>
        <w:rPr>
          <w:rFonts w:hint="eastAsia" w:ascii="宋体" w:hAnsi="宋体" w:cs="宋体"/>
          <w:b/>
          <w:bCs/>
          <w:color w:val="auto"/>
          <w:sz w:val="24"/>
          <w:szCs w:val="24"/>
          <w:u w:val="single"/>
          <w:lang w:val="en-US" w:eastAsia="zh-CN"/>
        </w:rPr>
        <w:t>六</w:t>
      </w:r>
      <w:r>
        <w:rPr>
          <w:rFonts w:hint="eastAsia" w:ascii="宋体" w:hAnsi="宋体" w:cs="宋体"/>
          <w:b/>
          <w:bCs/>
          <w:color w:val="auto"/>
          <w:sz w:val="24"/>
          <w:szCs w:val="24"/>
          <w:u w:val="single"/>
        </w:rPr>
        <w:t>）采购人基建后勤处在合同签订前须核对所有成交商提供的资质与业绩相关的所有原始材料，不能按采购人基建后勤处通知要求提交或者材料有问题的，取消中标资格。</w:t>
      </w:r>
    </w:p>
    <w:p w14:paraId="1BF06BF6">
      <w:pPr>
        <w:pStyle w:val="3"/>
        <w:adjustRightInd w:val="0"/>
        <w:snapToGrid w:val="0"/>
        <w:spacing w:before="0" w:after="0" w:line="400" w:lineRule="exact"/>
        <w:ind w:firstLine="482" w:firstLineChars="200"/>
        <w:rPr>
          <w:rFonts w:ascii="宋体" w:hAnsi="宋体" w:eastAsia="宋体" w:cs="宋体"/>
          <w:color w:val="auto"/>
          <w:sz w:val="24"/>
        </w:rPr>
      </w:pPr>
      <w:bookmarkStart w:id="176" w:name="_Toc25893"/>
      <w:bookmarkStart w:id="177" w:name="_Toc25155"/>
      <w:r>
        <w:rPr>
          <w:rFonts w:hint="eastAsia" w:ascii="宋体" w:hAnsi="宋体" w:eastAsia="宋体" w:cs="宋体"/>
          <w:color w:val="auto"/>
          <w:sz w:val="24"/>
        </w:rPr>
        <w:t>九、项目验收</w:t>
      </w:r>
      <w:bookmarkEnd w:id="176"/>
      <w:bookmarkEnd w:id="177"/>
    </w:p>
    <w:p w14:paraId="41823541">
      <w:pPr>
        <w:spacing w:line="400" w:lineRule="exact"/>
        <w:ind w:firstLine="480" w:firstLineChars="200"/>
        <w:rPr>
          <w:rFonts w:ascii="宋体" w:hAnsi="宋体" w:cs="宋体"/>
          <w:color w:val="auto"/>
          <w:sz w:val="24"/>
          <w:szCs w:val="24"/>
        </w:rPr>
      </w:pPr>
      <w:r>
        <w:rPr>
          <w:rFonts w:hint="eastAsia" w:ascii="宋体" w:hAnsi="宋体" w:cs="宋体"/>
          <w:color w:val="auto"/>
          <w:sz w:val="24"/>
        </w:rPr>
        <w:t>合同执行完毕，采购人或采购代理机构原则上应在7个工作日内组织履约情况验收，不得无故拖延或附加额外条件。</w:t>
      </w:r>
      <w:bookmarkEnd w:id="149"/>
      <w:bookmarkEnd w:id="150"/>
      <w:bookmarkEnd w:id="151"/>
      <w:bookmarkStart w:id="178" w:name="_Toc11641055"/>
      <w:bookmarkStart w:id="179" w:name="_Toc12789059"/>
    </w:p>
    <w:p w14:paraId="0FFD01DA">
      <w:pPr>
        <w:pStyle w:val="3"/>
        <w:spacing w:before="0" w:after="0" w:line="360" w:lineRule="auto"/>
        <w:jc w:val="center"/>
        <w:rPr>
          <w:rFonts w:ascii="宋体" w:hAnsi="宋体" w:cs="宋体"/>
          <w:b/>
          <w:color w:val="auto"/>
          <w:sz w:val="36"/>
          <w:szCs w:val="30"/>
        </w:rPr>
      </w:pPr>
      <w:r>
        <w:rPr>
          <w:rFonts w:hint="eastAsia" w:ascii="宋体" w:hAnsi="宋体" w:cs="宋体"/>
          <w:color w:val="auto"/>
          <w:sz w:val="36"/>
          <w:szCs w:val="30"/>
        </w:rPr>
        <w:br w:type="page"/>
      </w:r>
      <w:bookmarkEnd w:id="178"/>
      <w:bookmarkEnd w:id="179"/>
      <w:bookmarkStart w:id="180" w:name="_Toc23764"/>
      <w:r>
        <w:rPr>
          <w:rFonts w:hint="eastAsia" w:ascii="宋体" w:hAnsi="宋体" w:eastAsia="宋体" w:cs="宋体"/>
          <w:b w:val="0"/>
          <w:color w:val="auto"/>
          <w:sz w:val="36"/>
          <w:szCs w:val="30"/>
          <w:lang w:val="en-US" w:eastAsia="zh-CN"/>
        </w:rPr>
        <w:t xml:space="preserve">第六篇  </w:t>
      </w:r>
      <w:r>
        <w:rPr>
          <w:rFonts w:hint="eastAsia" w:ascii="宋体" w:hAnsi="宋体" w:eastAsia="宋体" w:cs="宋体"/>
          <w:b w:val="0"/>
          <w:color w:val="auto"/>
          <w:sz w:val="36"/>
          <w:szCs w:val="30"/>
        </w:rPr>
        <w:t>采购合同</w:t>
      </w:r>
      <w:bookmarkEnd w:id="180"/>
    </w:p>
    <w:p w14:paraId="4FD74C61">
      <w:pPr>
        <w:pStyle w:val="256"/>
        <w:spacing w:before="156"/>
        <w:ind w:left="0" w:leftChars="0" w:firstLine="0" w:firstLineChars="0"/>
        <w:jc w:val="center"/>
        <w:rPr>
          <w:rFonts w:hint="eastAsia" w:ascii="方正公文小标宋" w:hAnsi="方正公文小标宋" w:eastAsia="方正公文小标宋" w:cs="方正公文小标宋"/>
          <w:color w:val="auto"/>
          <w:sz w:val="44"/>
          <w:szCs w:val="44"/>
        </w:rPr>
      </w:pPr>
      <w:bookmarkStart w:id="181" w:name="_Toc22149"/>
      <w:r>
        <w:rPr>
          <w:rFonts w:hint="eastAsia" w:ascii="方正公文小标宋" w:hAnsi="方正公文小标宋" w:eastAsia="方正公文小标宋" w:cs="方正公文小标宋"/>
          <w:color w:val="auto"/>
          <w:sz w:val="44"/>
          <w:szCs w:val="44"/>
        </w:rPr>
        <w:t>重庆文理学院学生食堂委托经营合同</w:t>
      </w:r>
      <w:bookmarkEnd w:id="181"/>
    </w:p>
    <w:p w14:paraId="278ABC4C">
      <w:pPr>
        <w:snapToGrid w:val="0"/>
        <w:spacing w:line="400" w:lineRule="exact"/>
        <w:ind w:firstLine="480" w:firstLineChars="200"/>
        <w:jc w:val="center"/>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合同编号：</w:t>
      </w:r>
    </w:p>
    <w:p w14:paraId="3A473F9A">
      <w:pPr>
        <w:pStyle w:val="256"/>
        <w:spacing w:before="156"/>
        <w:ind w:firstLine="640"/>
        <w:jc w:val="center"/>
        <w:rPr>
          <w:rFonts w:hint="eastAsia"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以下标有下划线部分在签订正式合同时根据招标文件要求和各包实际情况作增减</w:t>
      </w:r>
      <w:r>
        <w:rPr>
          <w:rFonts w:hint="eastAsia"/>
          <w:color w:val="auto"/>
          <w:sz w:val="21"/>
          <w:szCs w:val="21"/>
          <w:lang w:eastAsia="zh-CN"/>
        </w:rPr>
        <w:t>）</w:t>
      </w:r>
    </w:p>
    <w:p w14:paraId="752D124C">
      <w:pPr>
        <w:snapToGrid w:val="0"/>
        <w:spacing w:line="400" w:lineRule="exact"/>
        <w:ind w:firstLine="480" w:firstLineChars="200"/>
        <w:rPr>
          <w:rFonts w:hint="eastAsia" w:ascii="宋体" w:hAnsi="宋体"/>
          <w:color w:val="auto"/>
          <w:sz w:val="24"/>
          <w:szCs w:val="24"/>
        </w:rPr>
      </w:pPr>
      <w:r>
        <w:rPr>
          <w:rFonts w:hint="eastAsia" w:ascii="宋体" w:hAnsi="宋体"/>
          <w:color w:val="auto"/>
          <w:sz w:val="24"/>
          <w:szCs w:val="24"/>
        </w:rPr>
        <w:t xml:space="preserve">                                          </w:t>
      </w:r>
    </w:p>
    <w:p w14:paraId="3368692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甲方：重庆文理学院</w:t>
      </w:r>
    </w:p>
    <w:p w14:paraId="4B75618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lang w:eastAsia="zh-CN"/>
        </w:rPr>
      </w:pPr>
      <w:r>
        <w:rPr>
          <w:rFonts w:hint="eastAsia" w:ascii="华文仿宋" w:hAnsi="华文仿宋" w:eastAsia="华文仿宋" w:cs="华文仿宋"/>
          <w:color w:val="auto"/>
          <w:sz w:val="28"/>
          <w:szCs w:val="28"/>
        </w:rPr>
        <w:t>乙方：</w:t>
      </w:r>
    </w:p>
    <w:p w14:paraId="78FF27F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甲、乙双方根据《中华人民共和国民典法》及有关法律法规规定，就重庆文理学</w:t>
      </w:r>
      <w:r>
        <w:rPr>
          <w:rFonts w:hint="eastAsia" w:ascii="华文仿宋" w:hAnsi="华文仿宋" w:eastAsia="华文仿宋" w:cs="华文仿宋"/>
          <w:color w:val="auto"/>
          <w:sz w:val="28"/>
          <w:szCs w:val="28"/>
          <w:lang w:val="en-US" w:eastAsia="zh-CN"/>
        </w:rPr>
        <w:t>院</w:t>
      </w:r>
      <w:r>
        <w:rPr>
          <w:rFonts w:hint="eastAsia" w:ascii="华文仿宋" w:hAnsi="华文仿宋" w:eastAsia="华文仿宋" w:cs="华文仿宋"/>
          <w:color w:val="auto"/>
          <w:sz w:val="28"/>
          <w:szCs w:val="28"/>
          <w:highlight w:val="none"/>
          <w:u w:val="single"/>
          <w:lang w:val="en-US" w:eastAsia="zh-CN"/>
        </w:rPr>
        <w:t xml:space="preserve">                 </w:t>
      </w:r>
      <w:r>
        <w:rPr>
          <w:rFonts w:hint="eastAsia" w:ascii="华文仿宋" w:hAnsi="华文仿宋" w:eastAsia="华文仿宋" w:cs="华文仿宋"/>
          <w:color w:val="auto"/>
          <w:sz w:val="28"/>
          <w:szCs w:val="28"/>
          <w:highlight w:val="none"/>
          <w:u w:val="single"/>
        </w:rPr>
        <w:t>食堂委托经营</w:t>
      </w:r>
      <w:r>
        <w:rPr>
          <w:rFonts w:hint="eastAsia" w:ascii="华文仿宋" w:hAnsi="华文仿宋" w:eastAsia="华文仿宋" w:cs="华文仿宋"/>
          <w:color w:val="auto"/>
          <w:sz w:val="28"/>
          <w:szCs w:val="28"/>
        </w:rPr>
        <w:t>管理的有关事宜达成如下合同并共同遵守。</w:t>
      </w:r>
    </w:p>
    <w:p w14:paraId="2646515B">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center"/>
        <w:textAlignment w:val="auto"/>
        <w:rPr>
          <w:rFonts w:hint="eastAsia" w:ascii="华文仿宋" w:hAnsi="华文仿宋" w:eastAsia="华文仿宋" w:cs="华文仿宋"/>
          <w:b/>
          <w:color w:val="auto"/>
          <w:sz w:val="28"/>
          <w:szCs w:val="28"/>
        </w:rPr>
      </w:pPr>
      <w:r>
        <w:rPr>
          <w:rFonts w:hint="eastAsia" w:ascii="华文仿宋" w:hAnsi="华文仿宋" w:eastAsia="华文仿宋" w:cs="华文仿宋"/>
          <w:b/>
          <w:color w:val="auto"/>
          <w:sz w:val="28"/>
          <w:szCs w:val="28"/>
        </w:rPr>
        <w:t>第一部分 基本内容</w:t>
      </w:r>
    </w:p>
    <w:p w14:paraId="486E943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第一条 委托经营地点：</w:t>
      </w:r>
      <w:r>
        <w:rPr>
          <w:rFonts w:hint="eastAsia" w:ascii="华文仿宋" w:hAnsi="华文仿宋" w:eastAsia="华文仿宋" w:cs="华文仿宋"/>
          <w:color w:val="auto"/>
          <w:sz w:val="28"/>
          <w:szCs w:val="28"/>
          <w:u w:val="single"/>
        </w:rPr>
        <w:t xml:space="preserve">                  </w:t>
      </w:r>
      <w:r>
        <w:rPr>
          <w:rFonts w:hint="eastAsia" w:ascii="华文仿宋" w:hAnsi="华文仿宋" w:eastAsia="华文仿宋" w:cs="华文仿宋"/>
          <w:color w:val="auto"/>
          <w:sz w:val="28"/>
          <w:szCs w:val="28"/>
        </w:rPr>
        <w:t>区域共计</w:t>
      </w:r>
      <w:r>
        <w:rPr>
          <w:rFonts w:hint="eastAsia" w:ascii="华文仿宋" w:hAnsi="华文仿宋" w:eastAsia="华文仿宋" w:cs="华文仿宋"/>
          <w:color w:val="auto"/>
          <w:sz w:val="28"/>
          <w:szCs w:val="28"/>
          <w:u w:val="single"/>
        </w:rPr>
        <w:t xml:space="preserve">       </w:t>
      </w:r>
      <w:r>
        <w:rPr>
          <w:rFonts w:hint="eastAsia" w:ascii="华文仿宋" w:hAnsi="华文仿宋" w:eastAsia="华文仿宋" w:cs="华文仿宋"/>
          <w:color w:val="auto"/>
          <w:sz w:val="28"/>
          <w:szCs w:val="28"/>
        </w:rPr>
        <w:t>平米（以甲方指定的经营区域及面积为准）。</w:t>
      </w:r>
    </w:p>
    <w:p w14:paraId="447FB72A">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 xml:space="preserve">第二条 </w:t>
      </w:r>
      <w:r>
        <w:rPr>
          <w:rFonts w:hint="eastAsia" w:ascii="华文仿宋" w:hAnsi="华文仿宋" w:eastAsia="华文仿宋" w:cs="华文仿宋"/>
          <w:bCs/>
          <w:color w:val="auto"/>
          <w:sz w:val="28"/>
          <w:szCs w:val="28"/>
        </w:rPr>
        <w:t>合同期限： 2025年</w:t>
      </w:r>
      <w:r>
        <w:rPr>
          <w:rFonts w:hint="eastAsia" w:ascii="华文仿宋" w:hAnsi="华文仿宋" w:eastAsia="华文仿宋" w:cs="华文仿宋"/>
          <w:bCs/>
          <w:color w:val="auto"/>
          <w:sz w:val="28"/>
          <w:szCs w:val="28"/>
          <w:u w:val="single"/>
        </w:rPr>
        <w:t xml:space="preserve">      </w:t>
      </w:r>
      <w:r>
        <w:rPr>
          <w:rFonts w:hint="eastAsia" w:ascii="华文仿宋" w:hAnsi="华文仿宋" w:eastAsia="华文仿宋" w:cs="华文仿宋"/>
          <w:bCs/>
          <w:color w:val="auto"/>
          <w:sz w:val="28"/>
          <w:szCs w:val="28"/>
        </w:rPr>
        <w:t xml:space="preserve"> 月</w:t>
      </w:r>
      <w:r>
        <w:rPr>
          <w:rFonts w:hint="eastAsia" w:ascii="华文仿宋" w:hAnsi="华文仿宋" w:eastAsia="华文仿宋" w:cs="华文仿宋"/>
          <w:bCs/>
          <w:color w:val="auto"/>
          <w:sz w:val="28"/>
          <w:szCs w:val="28"/>
          <w:u w:val="single"/>
        </w:rPr>
        <w:t xml:space="preserve">    </w:t>
      </w:r>
      <w:r>
        <w:rPr>
          <w:rFonts w:hint="eastAsia" w:ascii="华文仿宋" w:hAnsi="华文仿宋" w:eastAsia="华文仿宋" w:cs="华文仿宋"/>
          <w:bCs/>
          <w:color w:val="auto"/>
          <w:sz w:val="28"/>
          <w:szCs w:val="28"/>
        </w:rPr>
        <w:t>日至</w:t>
      </w:r>
      <w:r>
        <w:rPr>
          <w:rFonts w:hint="eastAsia" w:ascii="华文仿宋" w:hAnsi="华文仿宋" w:eastAsia="华文仿宋" w:cs="华文仿宋"/>
          <w:color w:val="auto"/>
          <w:sz w:val="28"/>
          <w:szCs w:val="28"/>
        </w:rPr>
        <w:t>2030年7月10日截止；</w:t>
      </w:r>
    </w:p>
    <w:p w14:paraId="07AFA28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第三条</w:t>
      </w:r>
      <w:bookmarkStart w:id="182" w:name="_Toc26433"/>
      <w:bookmarkStart w:id="183" w:name="_Toc26838"/>
      <w:r>
        <w:rPr>
          <w:rFonts w:hint="eastAsia" w:ascii="华文仿宋" w:hAnsi="华文仿宋" w:eastAsia="华文仿宋" w:cs="华文仿宋"/>
          <w:color w:val="auto"/>
          <w:sz w:val="28"/>
          <w:szCs w:val="28"/>
        </w:rPr>
        <w:t xml:space="preserve">  </w:t>
      </w:r>
      <w:r>
        <w:rPr>
          <w:rFonts w:hint="eastAsia" w:ascii="华文仿宋" w:hAnsi="华文仿宋" w:eastAsia="华文仿宋" w:cs="华文仿宋"/>
          <w:bCs/>
          <w:color w:val="auto"/>
          <w:sz w:val="28"/>
          <w:szCs w:val="28"/>
        </w:rPr>
        <w:t>经营范围和项目</w:t>
      </w:r>
      <w:bookmarkEnd w:id="182"/>
      <w:bookmarkEnd w:id="183"/>
    </w:p>
    <w:p w14:paraId="4BC56B95">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基本大伙保障型食堂，为师生提供保障用餐。</w:t>
      </w:r>
    </w:p>
    <w:p w14:paraId="3D8081B7">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主营：</w:t>
      </w:r>
      <w:r>
        <w:rPr>
          <w:rFonts w:hint="eastAsia" w:ascii="华文仿宋" w:hAnsi="华文仿宋" w:eastAsia="华文仿宋" w:cs="华文仿宋"/>
          <w:color w:val="auto"/>
          <w:sz w:val="28"/>
          <w:szCs w:val="28"/>
          <w:u w:val="single"/>
        </w:rPr>
        <w:t xml:space="preserve">                        (招标文件中规定的范围)。</w:t>
      </w:r>
    </w:p>
    <w:p w14:paraId="1B6E27EE">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u w:val="none"/>
        </w:rPr>
        <w:t>乙方不得在食堂内使用、销售预制菜。饭菜价格，使用实行审核备案制，严禁随意涨价、调价。乙方不得超经营范围经营，不得经营酒类项目以及污染环境类的餐饮项目，不得经营百货、预包装食品（饮料除外）。</w:t>
      </w:r>
    </w:p>
    <w:p w14:paraId="2A5FE6AD">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第四条 履约保证金</w:t>
      </w:r>
    </w:p>
    <w:p w14:paraId="79EF50E8">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本项目履约保证金金额：100万元人民币。</w:t>
      </w:r>
    </w:p>
    <w:p w14:paraId="39C1F1E6">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在合同签订前必须向甲方缴纳。服务期内如有扣减，乙方必须随时补足履约保证金。合同服务期满结束后，乙方应保证房屋及设施设备、装修等完好，经营区内无生活垃圾、建筑垃圾和其它废弃物，乙方履行完合同义务且无遗留问题(如劳资纠纷、供货纠纷等)，经甲方验收合格并办理完书面移交手续后，甲方10日内无息退还履约保证金。</w:t>
      </w:r>
    </w:p>
    <w:p w14:paraId="23B7A712">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环境改善</w:t>
      </w:r>
      <w:r>
        <w:rPr>
          <w:rFonts w:hint="eastAsia" w:ascii="华文仿宋" w:hAnsi="华文仿宋" w:eastAsia="华文仿宋" w:cs="华文仿宋"/>
          <w:color w:val="auto"/>
          <w:sz w:val="28"/>
          <w:szCs w:val="28"/>
        </w:rPr>
        <w:t>保证金：10万元人民币。</w:t>
      </w:r>
    </w:p>
    <w:p w14:paraId="62764CD6">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乙方在结果公告起5个工作日内向甲方缴纳10万元的环境</w:t>
      </w:r>
      <w:r>
        <w:rPr>
          <w:rFonts w:hint="eastAsia" w:ascii="华文仿宋" w:hAnsi="华文仿宋" w:eastAsia="华文仿宋" w:cs="华文仿宋"/>
          <w:color w:val="auto"/>
          <w:sz w:val="28"/>
          <w:szCs w:val="28"/>
          <w:lang w:val="en-US" w:eastAsia="zh-CN"/>
        </w:rPr>
        <w:t>改善</w:t>
      </w:r>
      <w:r>
        <w:rPr>
          <w:rFonts w:hint="eastAsia" w:ascii="华文仿宋" w:hAnsi="华文仿宋" w:eastAsia="华文仿宋" w:cs="华文仿宋"/>
          <w:color w:val="auto"/>
          <w:sz w:val="28"/>
          <w:szCs w:val="28"/>
        </w:rPr>
        <w:t>保证金，以确保环境</w:t>
      </w:r>
      <w:r>
        <w:rPr>
          <w:rFonts w:hint="eastAsia" w:ascii="华文仿宋" w:hAnsi="华文仿宋" w:eastAsia="华文仿宋" w:cs="华文仿宋"/>
          <w:color w:val="auto"/>
          <w:sz w:val="28"/>
          <w:szCs w:val="28"/>
          <w:lang w:val="en-US" w:eastAsia="zh-CN"/>
        </w:rPr>
        <w:t>改善、数智食堂建设、消防改造、设备设施购置等</w:t>
      </w:r>
      <w:r>
        <w:rPr>
          <w:rFonts w:hint="eastAsia" w:ascii="华文仿宋" w:hAnsi="华文仿宋" w:eastAsia="华文仿宋" w:cs="华文仿宋"/>
          <w:color w:val="auto"/>
          <w:sz w:val="28"/>
          <w:szCs w:val="28"/>
        </w:rPr>
        <w:t>按期、按质进行，验收合格后无息退还。</w:t>
      </w:r>
    </w:p>
    <w:p w14:paraId="3EB14506">
      <w:pPr>
        <w:keepNext w:val="0"/>
        <w:keepLines w:val="0"/>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w:t>
      </w:r>
      <w:r>
        <w:rPr>
          <w:rFonts w:hint="eastAsia" w:ascii="华文仿宋" w:hAnsi="华文仿宋" w:eastAsia="华文仿宋" w:cs="华文仿宋"/>
          <w:color w:val="auto"/>
          <w:sz w:val="28"/>
          <w:szCs w:val="28"/>
          <w:lang w:val="en-US" w:eastAsia="zh-CN"/>
        </w:rPr>
        <w:t>五</w:t>
      </w:r>
      <w:r>
        <w:rPr>
          <w:rFonts w:hint="eastAsia" w:ascii="华文仿宋" w:hAnsi="华文仿宋" w:eastAsia="华文仿宋" w:cs="华文仿宋"/>
          <w:color w:val="auto"/>
          <w:sz w:val="28"/>
          <w:szCs w:val="28"/>
        </w:rPr>
        <w:t>条</w:t>
      </w:r>
      <w:bookmarkStart w:id="184" w:name="_Toc25600"/>
      <w:r>
        <w:rPr>
          <w:rFonts w:hint="eastAsia" w:ascii="华文仿宋" w:hAnsi="华文仿宋" w:eastAsia="华文仿宋" w:cs="华文仿宋"/>
          <w:color w:val="auto"/>
          <w:sz w:val="28"/>
          <w:szCs w:val="28"/>
        </w:rPr>
        <w:t xml:space="preserve"> 费用结算及支付</w:t>
      </w:r>
      <w:bookmarkEnd w:id="184"/>
    </w:p>
    <w:p w14:paraId="3CB256D7">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1.乙方自行承担建设运营期间所需的水电气费，按甲方所在地物价局水、电、气供给部门所公布的居民收费标准执行，由甲方在乙方营业款中直接扣除。</w:t>
      </w:r>
    </w:p>
    <w:p w14:paraId="1E1774F6">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2.考核费（暂扣）：</w:t>
      </w:r>
      <w:r>
        <w:rPr>
          <w:rFonts w:hint="eastAsia" w:ascii="华文仿宋" w:hAnsi="华文仿宋" w:eastAsia="华文仿宋" w:cs="华文仿宋"/>
          <w:color w:val="auto"/>
          <w:sz w:val="28"/>
          <w:szCs w:val="28"/>
          <w:u w:val="single"/>
        </w:rPr>
        <w:t>按乙方的中标报价</w:t>
      </w:r>
      <w:r>
        <w:rPr>
          <w:rFonts w:hint="eastAsia" w:ascii="华文仿宋" w:hAnsi="华文仿宋" w:eastAsia="华文仿宋" w:cs="华文仿宋"/>
          <w:color w:val="auto"/>
          <w:sz w:val="28"/>
          <w:szCs w:val="28"/>
          <w:u w:val="single"/>
          <w:lang w:eastAsia="zh-CN"/>
        </w:rPr>
        <w:t>：</w:t>
      </w:r>
      <w:r>
        <w:rPr>
          <w:rFonts w:hint="eastAsia" w:ascii="华文仿宋" w:hAnsi="华文仿宋" w:eastAsia="华文仿宋" w:cs="华文仿宋"/>
          <w:color w:val="auto"/>
          <w:sz w:val="28"/>
          <w:szCs w:val="28"/>
          <w:u w:val="single"/>
          <w:lang w:val="en-US" w:eastAsia="zh-CN"/>
        </w:rPr>
        <w:t xml:space="preserve">    </w:t>
      </w:r>
      <w:r>
        <w:rPr>
          <w:rFonts w:hint="eastAsia" w:ascii="华文仿宋" w:hAnsi="华文仿宋" w:eastAsia="华文仿宋" w:cs="华文仿宋"/>
          <w:color w:val="auto"/>
          <w:sz w:val="28"/>
          <w:szCs w:val="28"/>
        </w:rPr>
        <w:t>，甲方在乙方每月的一卡通营业款中扣除。</w:t>
      </w:r>
    </w:p>
    <w:p w14:paraId="21F9246C">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3.乙方应向甲方支付的物业费（含生活垃圾处置费）金额：乙方营业额*7‰。由甲方在乙方一卡通营业款中直接扣除。</w:t>
      </w:r>
    </w:p>
    <w:p w14:paraId="7A09F6D7">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4.乙方应向甲方支付一卡通使用维护费用金额：乙方营业额*3‰。由甲方在乙方一卡通营业款中直接扣除。</w:t>
      </w:r>
    </w:p>
    <w:p w14:paraId="61A367EB">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5.乙方的报价和各种承诺作为与甲方的结算依据，据实结算。</w:t>
      </w:r>
    </w:p>
    <w:p w14:paraId="5B183DC7">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6.乙方的营收款直接进入甲方的财务收费系统，与甲方实施月结制度（应扣除乙方应向甲方支付的水电气费、物业费（含生活垃圾处置费）和其他应支付的费用），乙方申请支付第一次每月营业款前，必须提供有效的施工图（含技术审查报告）、</w:t>
      </w:r>
      <w:bookmarkStart w:id="185" w:name="OLE_LINK20"/>
      <w:r>
        <w:rPr>
          <w:rFonts w:hint="eastAsia" w:ascii="华文仿宋" w:hAnsi="华文仿宋" w:eastAsia="华文仿宋" w:cs="华文仿宋"/>
          <w:color w:val="auto"/>
          <w:sz w:val="28"/>
          <w:szCs w:val="28"/>
        </w:rPr>
        <w:t>消防安全验收监测报告</w:t>
      </w:r>
      <w:bookmarkEnd w:id="185"/>
      <w:r>
        <w:rPr>
          <w:rFonts w:hint="eastAsia" w:ascii="华文仿宋" w:hAnsi="华文仿宋" w:eastAsia="华文仿宋" w:cs="华文仿宋"/>
          <w:color w:val="auto"/>
          <w:sz w:val="28"/>
          <w:szCs w:val="28"/>
        </w:rPr>
        <w:t>、营业所需的所有有效手续、装修结算审核报告、验收报告（含人员配备及资质情况、现场改造情况、视频监控情况等本采购文件要求达到的内容）及甲方每月营业款支付前乙方应支付的员工工资、保险、供货商货款和其他合作商款项等支付证明，（</w:t>
      </w:r>
      <w:r>
        <w:rPr>
          <w:rFonts w:hint="eastAsia" w:ascii="华文仿宋" w:hAnsi="华文仿宋" w:eastAsia="华文仿宋" w:cs="华文仿宋"/>
          <w:color w:val="auto"/>
          <w:sz w:val="28"/>
          <w:szCs w:val="28"/>
          <w:u w:val="single"/>
        </w:rPr>
        <w:t>包4的乙方还须提供大厅（隔层）和屋顶现有的钢架结构的专业性安全监测报告</w:t>
      </w:r>
      <w:r>
        <w:rPr>
          <w:rFonts w:hint="eastAsia" w:ascii="华文仿宋" w:hAnsi="华文仿宋" w:eastAsia="华文仿宋" w:cs="华文仿宋"/>
          <w:color w:val="auto"/>
          <w:sz w:val="28"/>
          <w:szCs w:val="28"/>
        </w:rPr>
        <w:t>），最后一次的营业款支付前除应提交员工工资、保险，供货商货款和其他合作商款项等支付证明外，还应在甲方和乙方办理完书面移交手续后10日内支付。</w:t>
      </w:r>
    </w:p>
    <w:p w14:paraId="3C682118">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7.乙方当月的营业收入和其他相关费用结算。在下月初经乙方与甲方财务等相关部门核对无误后，甲方按照其内部管理程序完成审批，学校财务部门按乙方营业收入扣除乙方应支付的费用的净额，由乙方开具票据后，甲方划转到乙方账户。如营业额不足以扣除取相应费用，乙方应及时自行到学校财务部门缴纳。</w:t>
      </w:r>
    </w:p>
    <w:p w14:paraId="080C6D3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8.甲方如发现乙方每月营业款支付前有应支未支的员工工资、保险、供货商货款和其他合作商款项的，发现一次，给予严重警告并补齐相关支付款项再发放营业款。情节严重者，甲方有权终止合同并扣发全部履约保证金。</w:t>
      </w:r>
    </w:p>
    <w:p w14:paraId="64054041">
      <w:pPr>
        <w:keepNext w:val="0"/>
        <w:keepLines w:val="0"/>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9.乙方自行申办高校服务的免税事宜，营业款涉及税务等有关责任由乙方自行承担。</w:t>
      </w:r>
    </w:p>
    <w:p w14:paraId="6F976938">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center"/>
        <w:textAlignment w:val="auto"/>
        <w:rPr>
          <w:rFonts w:hint="eastAsia" w:ascii="华文仿宋" w:hAnsi="华文仿宋" w:eastAsia="华文仿宋" w:cs="华文仿宋"/>
          <w:b/>
          <w:color w:val="auto"/>
          <w:sz w:val="28"/>
          <w:szCs w:val="28"/>
          <w:lang w:val="en-US" w:eastAsia="zh-CN"/>
        </w:rPr>
      </w:pPr>
      <w:r>
        <w:rPr>
          <w:rFonts w:hint="eastAsia" w:ascii="华文仿宋" w:hAnsi="华文仿宋" w:eastAsia="华文仿宋" w:cs="华文仿宋"/>
          <w:b/>
          <w:color w:val="auto"/>
          <w:sz w:val="28"/>
          <w:szCs w:val="28"/>
          <w:lang w:val="en-US" w:eastAsia="zh-CN"/>
        </w:rPr>
        <w:t>第二部分 环境改造要求</w:t>
      </w:r>
    </w:p>
    <w:p w14:paraId="30A14E46">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w:t>
      </w:r>
      <w:r>
        <w:rPr>
          <w:rFonts w:hint="eastAsia" w:ascii="华文仿宋" w:hAnsi="华文仿宋" w:eastAsia="华文仿宋" w:cs="华文仿宋"/>
          <w:color w:val="auto"/>
          <w:sz w:val="28"/>
          <w:szCs w:val="28"/>
          <w:lang w:val="en-US" w:eastAsia="zh-CN"/>
        </w:rPr>
        <w:t>六</w:t>
      </w:r>
      <w:r>
        <w:rPr>
          <w:rFonts w:hint="eastAsia" w:ascii="华文仿宋" w:hAnsi="华文仿宋" w:eastAsia="华文仿宋" w:cs="华文仿宋"/>
          <w:color w:val="auto"/>
          <w:sz w:val="28"/>
          <w:szCs w:val="28"/>
        </w:rPr>
        <w:t>条  环境改造要求</w:t>
      </w:r>
    </w:p>
    <w:p w14:paraId="4F0D2439">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食堂整体的装修改造严格按国家市场监督管理总局最新发布的《餐饮服务食品安全操作规范》内容进行规范化改造。食堂改造后就餐区和后厨面积比原则上保持1：1，后厨需按照4D及以上厨房标准设计，根据后厨设计提供相应的4D及以上厨房（即：整理到位、责任到位、培训到位、执行到位）建设标准及方案。食堂需实现“明厨亮灶”，按照甲方数智食堂建设工作要求自行承担各自食堂建设费用和均摊数智食堂监管平台建设及设备设施费用。</w:t>
      </w:r>
    </w:p>
    <w:p w14:paraId="3F04FD41">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厨房及各功能间改造：各食堂食堂需设立包括主食库、副食库、中转库房、留样间、快检室、洗碗间、备餐间、员工（男、女）更衣室、办公室、杂物间、冷冻（冷藏）间、肉类、蔬菜粗加工间、集中加工烹饪间、蒸煮间，各区域均采用色标管理，标识标牌清晰。特色餐加工区域设置必须有利于排水；后厨地面铺贴满足需要的防滑地砖。食堂防火分隔采用2.0砖墙分隔并使用防火玻璃，燃气报警探头全覆盖；消防通道畅通、设施设备完好及标识标牌醒目。食堂内部功能布局合理，达到食品卫生、消防相关政策和法规要求。乙方应提供高效节水的厨具设备，如低流量水龙头、感应式水阀等，并提供无水或少水的清洁方案；确保后厨排水系统的设计合理，能够快速排水，保持地面干燥；选用环保、易清洁的建筑材料和厨具设备，降低清洁用水量和维护成本，同时结合无水厨房的建设，推行节能措施，提高能源利用效率，提供无水厨房方案的成本效益分析，确保方案具有经济可行性。</w:t>
      </w:r>
    </w:p>
    <w:p w14:paraId="30486E1A">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2.燃气安装要求：乙方须自行联系永川区燃气公司，并按永川区天燃气公司的技术标准和管理要求重新安装布局，且一切费用和风险由乙方自行承担。乙方必须设置自动灭火装置。按照《建筑设计防火规范》GB 50016—2022 （2022年版）要求：餐厅建筑面积大于1000㎡的餐馆或食堂，其烹饪操作间的排油烟罩及烹饪部位应设置自动灭火装置，并应在燃气或燃油管道上设置与自动灭火装置联动的自动切断装置。</w:t>
      </w:r>
    </w:p>
    <w:p w14:paraId="187D1BE8">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3.防水处理要求：乙方应严格按照国家相关规范对食堂重新进行防水改造，装修后必须保证楼层防水处理达到甲方要求。</w:t>
      </w:r>
    </w:p>
    <w:p w14:paraId="5EFF8C18">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4.公共卫生间设置要求：</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按照现有</w:t>
      </w:r>
      <w:r>
        <w:rPr>
          <w:rFonts w:hint="eastAsia" w:ascii="华文仿宋" w:hAnsi="华文仿宋" w:eastAsia="华文仿宋" w:cs="华文仿宋"/>
          <w:color w:val="auto"/>
          <w:sz w:val="28"/>
          <w:szCs w:val="28"/>
          <w:lang w:val="en-US" w:eastAsia="zh-CN"/>
        </w:rPr>
        <w:t>卫生间</w:t>
      </w:r>
      <w:r>
        <w:rPr>
          <w:rFonts w:hint="eastAsia" w:ascii="华文仿宋" w:hAnsi="华文仿宋" w:eastAsia="华文仿宋" w:cs="华文仿宋"/>
          <w:color w:val="auto"/>
          <w:sz w:val="28"/>
          <w:szCs w:val="28"/>
        </w:rPr>
        <w:t>男女蹲位及站位数量设立。总体服务设施齐全，高档、美观、实用、保护隐私。须满足照明设施齐备，小便器和洗手盆采用电磁感应冲水，蹲便器采用脚踏阀冲水，洗手盆为大理石台面或岩板一体洗手盆，须安装烘干设备，整体配备高档洁具。窗采用铝合金中空玻璃；门采用铝塑或高档木门（防潮）；地面采用高档防滑地砖；内墙高档瓷砖到顶；顶棚采用铝扣集成吊顶或纸面石膏板吊顶，安装抽排通风设施。</w:t>
      </w:r>
    </w:p>
    <w:p w14:paraId="39DD6BBF">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5.</w:t>
      </w:r>
      <w:r>
        <w:rPr>
          <w:rFonts w:hint="eastAsia" w:ascii="华文仿宋" w:hAnsi="华文仿宋" w:eastAsia="华文仿宋" w:cs="华文仿宋"/>
          <w:color w:val="auto"/>
          <w:sz w:val="28"/>
          <w:szCs w:val="28"/>
          <w:lang w:val="en-US" w:eastAsia="zh-CN"/>
        </w:rPr>
        <w:t>乙方对</w:t>
      </w:r>
      <w:r>
        <w:rPr>
          <w:rFonts w:hint="eastAsia" w:ascii="华文仿宋" w:hAnsi="华文仿宋" w:eastAsia="华文仿宋" w:cs="华文仿宋"/>
          <w:color w:val="auto"/>
          <w:sz w:val="28"/>
          <w:szCs w:val="28"/>
        </w:rPr>
        <w:t>就餐区可做适当分区、装修须凸显校园文化特色，融合甲方现有标志标识、专业特色、服务育人等内容和功能，整体呈现现代风格，灯光明亮，符合当代大学气质，现有空调全部更换为全新格力或美的空调且食堂覆盖，须满足师生就餐、自习、研讨、工作交流等要求，确保监控设施全覆盖、数智食堂功能按“餐饮安全在线”应用手机端（原“重庆阳光食品”APP）功能要求接入并正常使用。</w:t>
      </w:r>
    </w:p>
    <w:p w14:paraId="2C73AE73">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6.乙方提供4D及以上厨房建设方案：乙方要结合后厨设计，提供相应科学、合理且可行的4D及以上厨房建设方案，实现环境卫生“四无”要求，即地面无油渍、无水迹、无卫生死角、无杂物。墙砖满贴，功能间、加工间及售卖间均全屋铝扣板吊顶。</w:t>
      </w:r>
    </w:p>
    <w:p w14:paraId="48908040">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7.乙方根据实际需要须对食堂外墙进行整修和改造工作。在合同服务期内，乙方负责对食堂装饰工程、食堂主体外墙、设备设施的质量保修维护工作。按照甲方要求及时、高效完成各项售后维修维护工作。</w:t>
      </w:r>
    </w:p>
    <w:p w14:paraId="0DD0FAAC">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8.乙方提供数智食堂建设方案：乙方按照甲方数智食堂建设要求，无条件响应并投资完成建设。即甲方数智食堂总平台搭建（须满足甲方两校区所有食堂的统筹监管需求）、本项目食堂必要的硬件建设（</w:t>
      </w:r>
      <w:r>
        <w:rPr>
          <w:rFonts w:hint="eastAsia" w:ascii="华文仿宋" w:hAnsi="华文仿宋" w:eastAsia="华文仿宋" w:cs="华文仿宋"/>
          <w:color w:val="auto"/>
          <w:sz w:val="28"/>
          <w:szCs w:val="28"/>
          <w:lang w:val="en-US" w:eastAsia="zh-CN"/>
        </w:rPr>
        <w:t>详见附件二</w:t>
      </w:r>
      <w:r>
        <w:rPr>
          <w:rFonts w:hint="eastAsia" w:ascii="华文仿宋" w:hAnsi="华文仿宋" w:eastAsia="华文仿宋" w:cs="华文仿宋"/>
          <w:color w:val="auto"/>
          <w:sz w:val="28"/>
          <w:szCs w:val="28"/>
        </w:rPr>
        <w:t>）。按照甲方数智食堂建设工作要求自行承担各自食堂数智食堂相关费用。</w:t>
      </w:r>
      <w:r>
        <w:rPr>
          <w:rFonts w:hint="eastAsia" w:ascii="华文仿宋" w:hAnsi="华文仿宋" w:eastAsia="华文仿宋" w:cs="华文仿宋"/>
          <w:color w:val="auto"/>
          <w:sz w:val="28"/>
          <w:szCs w:val="28"/>
          <w:u w:val="single"/>
        </w:rPr>
        <w:t>（包3的乙方须完成“数智食堂”学校食安监管平台建设要求全部内容），包1、包2、包3、包4和包5的乙方须按照“数智食堂”食堂数智化设备建设要求完成各自食堂的所有建设。</w:t>
      </w:r>
      <w:r>
        <w:rPr>
          <w:rFonts w:hint="eastAsia" w:ascii="华文仿宋" w:hAnsi="华文仿宋" w:eastAsia="华文仿宋" w:cs="华文仿宋"/>
          <w:color w:val="auto"/>
          <w:sz w:val="28"/>
          <w:szCs w:val="28"/>
        </w:rPr>
        <w:t>整个数智食堂系统须在</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装修改造投入使用前建成，经甲方验收后投入使用，乙方须委托系统建设单位负责对甲方的使用人员进行培训，乙方须在数智食堂建设合同中明确系统建设单位负责免费为甲方后续拓展接入的食堂终端设备做好技术服务，乙方同时将该系统的产权移交给甲方并办理移交手续，甲方终身免费使用该系统，乙方数智食堂建设单位须在售后服务期限内负责数智食堂系统的维护，确保整个系统正常使用。录像及管理数据资产归甲方处置，任何数据不得不经甲方书面同意提供给第三方，所有数据必须无条件提供给甲方并提供相关接口或数据库权限。</w:t>
      </w:r>
    </w:p>
    <w:p w14:paraId="31D02A03">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9.</w:t>
      </w:r>
      <w:r>
        <w:rPr>
          <w:rFonts w:hint="eastAsia" w:ascii="华文仿宋" w:hAnsi="华文仿宋" w:eastAsia="华文仿宋" w:cs="华文仿宋"/>
          <w:color w:val="auto"/>
          <w:sz w:val="28"/>
          <w:szCs w:val="28"/>
          <w:lang w:val="en-US" w:eastAsia="zh-CN"/>
        </w:rPr>
        <w:t>甲方</w:t>
      </w:r>
      <w:r>
        <w:rPr>
          <w:rFonts w:hint="eastAsia" w:ascii="华文仿宋" w:hAnsi="华文仿宋" w:eastAsia="华文仿宋" w:cs="华文仿宋"/>
          <w:color w:val="auto"/>
          <w:sz w:val="28"/>
          <w:szCs w:val="28"/>
        </w:rPr>
        <w:t>食堂建筑物现状：现有的室内消防设施仅有消火栓系统、应急疏散指示标志和防火门，没有或部分没有消防报警、喷淋、防排烟、烟感和温感等设施。乙方务必要充分了解该情况，环境改善完成后，乙方应达到由政府机构认可的第三方机构出具的消防安全验收合格检测报告，相关费用由乙方承担。新增的各项消防设施和报警装置，需要统一接入甲方整个消防系统联网，故消防设施设备必须与原有消防系统无缝对接（现在甲方的消防系统使用的是“海湾牌”系列产品）。</w:t>
      </w:r>
    </w:p>
    <w:p w14:paraId="790777E2">
      <w:pPr>
        <w:tabs>
          <w:tab w:val="left" w:pos="3200"/>
        </w:tabs>
        <w:spacing w:line="480" w:lineRule="exact"/>
        <w:ind w:firstLine="560" w:firstLineChars="200"/>
        <w:jc w:val="left"/>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10.食堂油烟排放改造：按照重庆市永川区生态环境局、重庆市永川区教育委员会《关于加快推进学校食堂油烟治理提标改造的通知》的要求：</w:t>
      </w:r>
    </w:p>
    <w:p w14:paraId="08AD184C">
      <w:pPr>
        <w:tabs>
          <w:tab w:val="left" w:pos="3200"/>
        </w:tabs>
        <w:spacing w:line="480" w:lineRule="exact"/>
        <w:ind w:firstLine="560" w:firstLineChars="200"/>
        <w:jc w:val="left"/>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技术改造标准：</w:t>
      </w:r>
    </w:p>
    <w:p w14:paraId="22DF6B72">
      <w:pPr>
        <w:tabs>
          <w:tab w:val="left" w:pos="3200"/>
        </w:tabs>
        <w:spacing w:line="480" w:lineRule="exact"/>
        <w:ind w:firstLine="560" w:firstLineChars="200"/>
        <w:jc w:val="left"/>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(一)设备配置要求。油烟净化处理风量与灶头数量相匹配，设备标准化安装，采用高效静电、湿法冷凝等先进技术，同时净化设备应与排风机联动。</w:t>
      </w:r>
    </w:p>
    <w:p w14:paraId="085BB774">
      <w:pPr>
        <w:tabs>
          <w:tab w:val="left" w:pos="3200"/>
        </w:tabs>
        <w:spacing w:line="480" w:lineRule="exact"/>
        <w:ind w:firstLine="560" w:firstLineChars="200"/>
        <w:jc w:val="left"/>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(二)排放限值标准。改造后油烟净化效率需≥95%,油烟排 放浓度稳定≤0.3mg/m³(鼓励达到0.1mg/m³), 非甲烷总烃浓度 ≤5mg/m³,需同步提交第三方监测报告。</w:t>
      </w:r>
    </w:p>
    <w:p w14:paraId="00991E26">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三)运维管理要求。需保证治理设施持续正常运行，严格落实日常巡查工作，定期对设施进行清洗维护，且妥善保存相关记录。鼓励实施治理设施的第三方运维管理模式，以及油烟设备的自动清洗作业。对本条必须响应。</w:t>
      </w:r>
    </w:p>
    <w:p w14:paraId="02DDCD07">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11.乙方根据</w:t>
      </w:r>
      <w:r>
        <w:rPr>
          <w:rFonts w:hint="eastAsia" w:ascii="华文仿宋" w:hAnsi="华文仿宋" w:eastAsia="华文仿宋" w:cs="华文仿宋"/>
          <w:color w:val="auto"/>
          <w:sz w:val="28"/>
          <w:szCs w:val="28"/>
          <w:lang w:val="en-US" w:eastAsia="zh-CN"/>
        </w:rPr>
        <w:t>甲方要求</w:t>
      </w:r>
      <w:r>
        <w:rPr>
          <w:rFonts w:hint="eastAsia" w:ascii="华文仿宋" w:hAnsi="华文仿宋" w:eastAsia="华文仿宋" w:cs="华文仿宋"/>
          <w:color w:val="auto"/>
          <w:sz w:val="28"/>
          <w:szCs w:val="28"/>
        </w:rPr>
        <w:t>、自身管理和服务的需要，对加工区的分隔或房间的功能做必要的整合或调整，装修改造方案和施工图须在满足需求、现状条件和设计规范的基础上，由乙方委托有资质的单位进行设计和施工图审查，并按照食堂所在地（重庆市永川区）燃气管理部门、市场监督</w:t>
      </w:r>
      <w:r>
        <w:rPr>
          <w:rFonts w:hint="eastAsia" w:ascii="华文仿宋" w:hAnsi="华文仿宋" w:eastAsia="华文仿宋" w:cs="华文仿宋"/>
          <w:color w:val="auto"/>
          <w:sz w:val="28"/>
          <w:szCs w:val="28"/>
          <w:lang w:val="en-US" w:eastAsia="zh-CN"/>
        </w:rPr>
        <w:t>等</w:t>
      </w:r>
      <w:r>
        <w:rPr>
          <w:rFonts w:hint="eastAsia" w:ascii="华文仿宋" w:hAnsi="华文仿宋" w:eastAsia="华文仿宋" w:cs="华文仿宋"/>
          <w:color w:val="auto"/>
          <w:sz w:val="28"/>
          <w:szCs w:val="28"/>
        </w:rPr>
        <w:t>部门的要求，办理好各项合法的建设审批手续后方能组织实施。乙方应在中标通知书发布后10日内完成装修改造涉及的平面布局、管网、用电负荷等设计方案论证并通过甲方的审核，作为施工图设计的依据；同时在中标通知书发布后 15日内，提交环境改善投入实施方案和投资概算并通过甲方的审核，作为乙方环境改善投入的实施依据。</w:t>
      </w:r>
    </w:p>
    <w:p w14:paraId="4919BF9E">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12.乙方在装修改造中必须委托有资质的监理单位对施工全过程进行监理，装修改造完工后，乙方自行邀请所在地建设行政主管部门、燃气管理部门、市场监管部门以及其他相关主管部门进行合格验收并取得验收合格意见书。甲方结合装修改造对各食堂区域进行安防升级施工时，乙方须无条件的配合并承担升级所需的费用。在装修改造办理建设审批手续过程中，若需要以甲方名义进行的申报、报验等工作，甲方只负责配合提供甲方的相关信息、已有的工程资料和盖章，其余的所有工作，由乙方完成，并由乙方承担相应的费用。</w:t>
      </w:r>
    </w:p>
    <w:p w14:paraId="5E873E8B">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13.乙方在取得相关主管部门的验收合格意见书和甲方指定的第三方有资质公司出具的项目结算审核报告书的基础上，将一套完整的施工过程资料备齐后 15个工作日内，由甲方组织相关人员组成验收小组，对整个装修改造和设备设施投入进行验收，形成验收意见。装饰装修改造投入的结算编制，按照重庆市 2018 年及最新的相关工程定额和文件计价。乙方投入金额审定的允许负偏差范围为中标承诺金额的-2%，若发现实际投资金额超出了允许的负偏差范围，视为未履行中标承诺，乙方必须按差额部分补偿给甲方，差额补偿金从乙方履约保证金中扣除，如影响师生就餐的，学校还将追究其违约责任。装修投入的正偏差，不设上限偏差范围。</w:t>
      </w:r>
    </w:p>
    <w:p w14:paraId="056BADD2">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14.乙方资金投入要求：</w:t>
      </w:r>
    </w:p>
    <w:p w14:paraId="48FBD0D0">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u w:val="single"/>
        </w:rPr>
        <w:t>包1投入资金不得低于250万元。包2投入资金不得低于250万元。包3投入资金不得低于460万。包4投入资金不得低于260万。包5投入资金不得低于250万。</w:t>
      </w:r>
      <w:r>
        <w:rPr>
          <w:rFonts w:hint="eastAsia" w:ascii="华文仿宋" w:hAnsi="华文仿宋" w:eastAsia="华文仿宋" w:cs="华文仿宋"/>
          <w:color w:val="auto"/>
          <w:sz w:val="28"/>
          <w:szCs w:val="28"/>
        </w:rPr>
        <w:t>该投入费用包括数智食堂建设、环境改善、设施设备购置、餐厨具等，乙方在投标文件中承诺具体金额，但不低于本招标文件要求的最低金额，乙方投入资金以甲方指定的第三方有资质的公司出具的项目结算审核报告书为准，结算审核费用由乙方自行负担。</w:t>
      </w:r>
    </w:p>
    <w:p w14:paraId="40248B48">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15.“三防”设施要求：</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确保配备符合实际的防鼠、防虫、防蝇设施并能够有效发挥作用，防止鼠类等有害生物侵入。其中，墙壁、地板应无缝隙；所有管道与外界或天花板连接处应封闭，所有管线穿越而产生的孔洞应封堵，孔洞填充牢固，无缝隙；使用水封式地漏；人员、货物与外界相连通道应设有防鼠板；门缝隙、排水管道出水口应按照操作规范要求做好“三防”措施。</w:t>
      </w:r>
    </w:p>
    <w:p w14:paraId="68EA0DF1">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16.水电搭接安装要求。原先的所有电气线路和给水管网必须结合</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自身经营所需电力负荷和使用需求重新规划布局（包括搭接至变压器的主供电电缆），如因食堂能源超负荷，还需承担能源扩容所涉及的费用。乙方整个经营区域只能</w:t>
      </w:r>
      <w:r>
        <w:rPr>
          <w:rFonts w:hint="eastAsia" w:ascii="华文仿宋" w:hAnsi="华文仿宋" w:eastAsia="华文仿宋" w:cs="华文仿宋"/>
          <w:color w:val="auto"/>
          <w:sz w:val="28"/>
          <w:szCs w:val="28"/>
          <w:lang w:val="en-US" w:eastAsia="zh-CN"/>
        </w:rPr>
        <w:t>各</w:t>
      </w:r>
      <w:r>
        <w:rPr>
          <w:rFonts w:hint="eastAsia" w:ascii="华文仿宋" w:hAnsi="华文仿宋" w:eastAsia="华文仿宋" w:cs="华文仿宋"/>
          <w:color w:val="auto"/>
          <w:sz w:val="28"/>
          <w:szCs w:val="28"/>
        </w:rPr>
        <w:t>设置一块水、电、气计量表，水电气搭接口由甲方指定，需要配备负荷用电安全要求的用电安全防护设施设备。施工中发生的安全责任事故由乙方自行承担。</w:t>
      </w:r>
    </w:p>
    <w:p w14:paraId="31220AA4">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rPr>
        <w:t>17.</w:t>
      </w:r>
      <w:r>
        <w:rPr>
          <w:rFonts w:hint="eastAsia" w:ascii="华文仿宋" w:hAnsi="华文仿宋" w:eastAsia="华文仿宋" w:cs="华文仿宋"/>
          <w:color w:val="auto"/>
          <w:sz w:val="28"/>
          <w:szCs w:val="28"/>
          <w:u w:val="single"/>
        </w:rPr>
        <w:t>包4红河校区三食堂的乙方须邀请专业机构对大厅（隔层）和屋顶现有的钢架结构进行安全监测，并向甲方提交安全监测报告，甲方邀请相关专业监测机构监测后确认没有安全隐患后乙方方可投入使用，并由乙方自行承担所有相关专业检测费用；如大厅（隔层）和屋顶现有的钢架结构安全监测不合格，须乙方出资进行改造并达到安全要求。</w:t>
      </w:r>
    </w:p>
    <w:p w14:paraId="3B9DE114">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18合同期满，乙方投入的装修装饰和管网、电线、消防设施、数智食堂及设施设备所有权无偿转让给甲方，交由甲方进行处置，乙方不得破坏。同时乙方在撤离时如数返还甲方原有设施设备，完成食堂内的清洁工作。乙方逾期未撤离，甲方有权对乙方所有投入设施设备进行全权处置，由此造成的一切后果与损失由乙方自行承担。乙方在合同期内可以对食堂进行再次装修，其装修费用均由乙方自行承担，乙方再次装修方案必须甲方书面同意后方可进行，否则，甲方扣除乙方50000元的违约金。尾料、现场垃圾及废品、废物须由乙方负责处置并打扫清理干净，甲方无义务回收或转</w:t>
      </w:r>
      <w:r>
        <w:rPr>
          <w:rFonts w:hint="eastAsia" w:ascii="华文仿宋" w:hAnsi="华文仿宋" w:eastAsia="华文仿宋" w:cs="华文仿宋"/>
          <w:color w:val="auto"/>
          <w:sz w:val="28"/>
          <w:szCs w:val="28"/>
          <w:lang w:val="en-US" w:eastAsia="zh-CN"/>
        </w:rPr>
        <w:t>运</w:t>
      </w:r>
      <w:r>
        <w:rPr>
          <w:rFonts w:hint="eastAsia" w:ascii="华文仿宋" w:hAnsi="华文仿宋" w:eastAsia="华文仿宋" w:cs="华文仿宋"/>
          <w:color w:val="auto"/>
          <w:sz w:val="28"/>
          <w:szCs w:val="28"/>
        </w:rPr>
        <w:t>。乙方与食堂监管部门进行清点并完善移交签字手续。</w:t>
      </w:r>
    </w:p>
    <w:p w14:paraId="3EB5E90C">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19.应合理使用甲方提供的房屋、场地及其附属设施，负责日常管理与维护，如因使用不当造成房屋、场地及设施损坏的，乙方应立即负责修复或给予经济赔偿。在合同期内，乙方未事先征得学校书面书面同意，不得擅自改变房屋、场地及其附属设施的外观、结构和用途。不得超承重负荷使用房屋。</w:t>
      </w:r>
    </w:p>
    <w:p w14:paraId="7F8D84B5">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20.乙方的用电负荷上限须取得甲方基建后勤处的书面同意。</w:t>
      </w:r>
    </w:p>
    <w:p w14:paraId="33A6C30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b/>
          <w:color w:val="auto"/>
          <w:sz w:val="28"/>
          <w:szCs w:val="28"/>
          <w:lang w:val="en-US" w:eastAsia="zh-CN"/>
        </w:rPr>
      </w:pPr>
      <w:r>
        <w:rPr>
          <w:rFonts w:hint="eastAsia" w:ascii="华文仿宋" w:hAnsi="华文仿宋" w:eastAsia="华文仿宋" w:cs="华文仿宋"/>
          <w:b/>
          <w:color w:val="auto"/>
          <w:sz w:val="28"/>
          <w:szCs w:val="28"/>
          <w:lang w:val="en-US" w:eastAsia="zh-CN"/>
        </w:rPr>
        <w:t>第三部分   经营管理要求</w:t>
      </w:r>
    </w:p>
    <w:p w14:paraId="1C23792F">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w:t>
      </w:r>
      <w:r>
        <w:rPr>
          <w:rFonts w:hint="eastAsia" w:ascii="华文仿宋" w:hAnsi="华文仿宋" w:eastAsia="华文仿宋" w:cs="华文仿宋"/>
          <w:color w:val="auto"/>
          <w:sz w:val="28"/>
          <w:szCs w:val="28"/>
          <w:lang w:val="en-US" w:eastAsia="zh-CN"/>
        </w:rPr>
        <w:t>八</w:t>
      </w:r>
      <w:r>
        <w:rPr>
          <w:rFonts w:hint="eastAsia" w:ascii="华文仿宋" w:hAnsi="华文仿宋" w:eastAsia="华文仿宋" w:cs="华文仿宋"/>
          <w:color w:val="auto"/>
          <w:sz w:val="28"/>
          <w:szCs w:val="28"/>
        </w:rPr>
        <w:t>条  服务要求</w:t>
      </w:r>
    </w:p>
    <w:p w14:paraId="23A0BDA9">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乙方应充分考虑大多数学生的经济承受能力，“学生需求”与“健康饮食”的关系，严格执行甲方和行业的相关规定控制饭菜质量和价格。合理设置基本大伙档口（乙方必须设置明确标识），各食堂一楼的基本大伙档口数量占比不低于35%，同时在食堂一楼还须设置独立爱心餐档口。所有饭菜价格应明码标价且应低于社会餐饮同等水平。</w:t>
      </w:r>
    </w:p>
    <w:p w14:paraId="7FB7BD38">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2.基本大伙菜品种类和份量须满足学生用餐的实际需求。针对基本早餐类食品、基本大伙餐、爱心餐管理，暂定执行以下要求且必须确保</w:t>
      </w:r>
      <w:r>
        <w:rPr>
          <w:rFonts w:hint="eastAsia" w:ascii="华文仿宋" w:hAnsi="华文仿宋" w:eastAsia="华文仿宋" w:cs="华文仿宋"/>
          <w:color w:val="auto"/>
          <w:sz w:val="28"/>
          <w:szCs w:val="28"/>
          <w:lang w:val="zh-CN"/>
        </w:rPr>
        <w:t>供应</w:t>
      </w:r>
      <w:r>
        <w:rPr>
          <w:rFonts w:hint="eastAsia" w:ascii="华文仿宋" w:hAnsi="华文仿宋" w:eastAsia="华文仿宋" w:cs="华文仿宋"/>
          <w:color w:val="auto"/>
          <w:sz w:val="28"/>
          <w:szCs w:val="28"/>
        </w:rPr>
        <w:t>不断档或限量销售，后续调价按照重庆市教委或经市教委授权重庆教育后勤协会发布相关文件执行。</w:t>
      </w:r>
    </w:p>
    <w:p w14:paraId="70F78162">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（1）所有菜品的出品量、荤素比、售卖价，采取报批制，严格按照乙方上报的数据对照执行。所有上报的菜品包括菜品名称、菜品主配料成分、成品售卖价格。</w:t>
      </w:r>
    </w:p>
    <w:p w14:paraId="74B2FB23">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（2）所有上报的菜品与永川及周边高校一致的，需包括相同产品2-3所高校的对比价格。</w:t>
      </w:r>
    </w:p>
    <w:p w14:paraId="14171790">
      <w:pPr>
        <w:keepNext w:val="0"/>
        <w:keepLines w:val="0"/>
        <w:pageBreakBefore w:val="0"/>
        <w:widowControl w:val="0"/>
        <w:tabs>
          <w:tab w:val="left" w:pos="3200"/>
        </w:tabs>
        <w:kinsoku/>
        <w:wordWrap/>
        <w:overflowPunct/>
        <w:topLinePunct w:val="0"/>
        <w:autoSpaceDE/>
        <w:autoSpaceDN/>
        <w:bidi w:val="0"/>
        <w:adjustRightInd/>
        <w:spacing w:line="480" w:lineRule="exact"/>
        <w:ind w:firstLine="560" w:firstLineChars="200"/>
        <w:textAlignment w:val="auto"/>
        <w:rPr>
          <w:rFonts w:hint="eastAsia" w:ascii="方正仿宋_GBK" w:hAnsi="Times New Roman" w:eastAsia="方正仿宋_GBK" w:cs="Times New Roman"/>
          <w:color w:val="auto"/>
          <w:szCs w:val="28"/>
        </w:rPr>
      </w:pPr>
      <w:r>
        <w:rPr>
          <w:rFonts w:hint="eastAsia" w:ascii="华文仿宋" w:hAnsi="华文仿宋" w:eastAsia="华文仿宋" w:cs="华文仿宋"/>
          <w:color w:val="auto"/>
          <w:sz w:val="28"/>
          <w:szCs w:val="28"/>
        </w:rPr>
        <w:t>（3）基本早餐类食品价格按照以下标准：</w:t>
      </w:r>
    </w:p>
    <w:tbl>
      <w:tblPr>
        <w:tblStyle w:val="59"/>
        <w:tblW w:w="9135" w:type="dxa"/>
        <w:jc w:val="center"/>
        <w:tblLayout w:type="fixed"/>
        <w:tblCellMar>
          <w:top w:w="0" w:type="dxa"/>
          <w:left w:w="108" w:type="dxa"/>
          <w:bottom w:w="0" w:type="dxa"/>
          <w:right w:w="108" w:type="dxa"/>
        </w:tblCellMar>
      </w:tblPr>
      <w:tblGrid>
        <w:gridCol w:w="3609"/>
        <w:gridCol w:w="2890"/>
        <w:gridCol w:w="2636"/>
      </w:tblGrid>
      <w:tr w14:paraId="110D8A82">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443A1189">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品类</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5FD2F797">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售价（元）</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799993E">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单位</w:t>
            </w:r>
          </w:p>
        </w:tc>
      </w:tr>
      <w:tr w14:paraId="337CB3DE">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0F4849D9">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白馒头</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BC89C77">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0.5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42BB3C17">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个（≥100g）</w:t>
            </w:r>
          </w:p>
        </w:tc>
      </w:tr>
      <w:tr w14:paraId="51D196FC">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4C2AC120">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花卷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44A9392F">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0.6</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75C6112">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个（≥100g）</w:t>
            </w:r>
          </w:p>
        </w:tc>
      </w:tr>
      <w:tr w14:paraId="17AACB93">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6B7F9F42">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发糕</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51BD4AAA">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0.7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271E5020">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个（≥100g）</w:t>
            </w:r>
          </w:p>
        </w:tc>
      </w:tr>
      <w:tr w14:paraId="6D25702B">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564900DA">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白水蛋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48815993">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1</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A464F6C">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个</w:t>
            </w:r>
          </w:p>
        </w:tc>
      </w:tr>
      <w:tr w14:paraId="7BDA5747">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0CD1D9F2">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鲜肉包</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245058F">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0.8</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69BB3F1B">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个（≥80克）</w:t>
            </w:r>
          </w:p>
        </w:tc>
      </w:tr>
      <w:tr w14:paraId="33F86AF4">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957559A">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煎蛋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E4D1BBF">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1.5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CBA116C">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个</w:t>
            </w:r>
          </w:p>
        </w:tc>
      </w:tr>
      <w:tr w14:paraId="2EC7BA7C">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6F0B25FD">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卤蛋</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04164E2">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1.5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0E63AB20">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个</w:t>
            </w:r>
          </w:p>
        </w:tc>
      </w:tr>
      <w:tr w14:paraId="3D41CDD0">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CFCAF4D">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豆浆</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8AC957F">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0.7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3A47E428">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碗（≥330ml）</w:t>
            </w:r>
          </w:p>
        </w:tc>
      </w:tr>
      <w:tr w14:paraId="6A09BF9B">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7CFC8010">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油条</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42FDFD2">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1</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05E062B9">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根（≥80g）</w:t>
            </w:r>
          </w:p>
        </w:tc>
      </w:tr>
      <w:tr w14:paraId="15BA5D6B">
        <w:tblPrEx>
          <w:tblCellMar>
            <w:top w:w="0" w:type="dxa"/>
            <w:left w:w="108" w:type="dxa"/>
            <w:bottom w:w="0" w:type="dxa"/>
            <w:right w:w="108" w:type="dxa"/>
          </w:tblCellMar>
        </w:tblPrEx>
        <w:trPr>
          <w:trHeight w:val="340" w:hRule="atLeast"/>
          <w:jc w:val="center"/>
        </w:trPr>
        <w:tc>
          <w:tcPr>
            <w:tcW w:w="3607" w:type="dxa"/>
            <w:tcBorders>
              <w:top w:val="single" w:color="000000" w:sz="4" w:space="0"/>
              <w:left w:val="single" w:color="000000" w:sz="4" w:space="0"/>
              <w:bottom w:val="single" w:color="000000" w:sz="4" w:space="0"/>
              <w:right w:val="single" w:color="000000" w:sz="4" w:space="0"/>
            </w:tcBorders>
            <w:noWrap/>
            <w:vAlign w:val="center"/>
          </w:tcPr>
          <w:p w14:paraId="1A3F9500">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白粥</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477B0D2">
            <w:pPr>
              <w:spacing w:line="500" w:lineRule="exact"/>
              <w:ind w:firstLine="420" w:firstLineChars="200"/>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0.5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20B634D7">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碗（≥330ml）</w:t>
            </w:r>
          </w:p>
        </w:tc>
      </w:tr>
      <w:tr w14:paraId="19F08E2B">
        <w:tblPrEx>
          <w:tblCellMar>
            <w:top w:w="0" w:type="dxa"/>
            <w:left w:w="108" w:type="dxa"/>
            <w:bottom w:w="0" w:type="dxa"/>
            <w:right w:w="108" w:type="dxa"/>
          </w:tblCellMar>
        </w:tblPrEx>
        <w:trPr>
          <w:trHeight w:val="340" w:hRule="atLeast"/>
          <w:jc w:val="center"/>
        </w:trPr>
        <w:tc>
          <w:tcPr>
            <w:tcW w:w="3607" w:type="dxa"/>
            <w:vMerge w:val="restart"/>
            <w:tcBorders>
              <w:top w:val="single" w:color="000000" w:sz="4" w:space="0"/>
              <w:left w:val="single" w:color="000000" w:sz="4" w:space="0"/>
              <w:bottom w:val="single" w:color="000000" w:sz="4" w:space="0"/>
              <w:right w:val="single" w:color="000000" w:sz="4" w:space="0"/>
            </w:tcBorders>
            <w:noWrap/>
            <w:vAlign w:val="center"/>
          </w:tcPr>
          <w:p w14:paraId="70697192">
            <w:pPr>
              <w:spacing w:line="500" w:lineRule="exact"/>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汤或干拌（面、</w:t>
            </w:r>
            <w:r>
              <w:rPr>
                <w:rFonts w:hint="eastAsia" w:ascii="方正仿宋_GBK" w:hAnsi="宋体" w:eastAsia="方正仿宋_GBK" w:cs="宋体"/>
                <w:color w:val="auto"/>
                <w:sz w:val="21"/>
                <w:szCs w:val="21"/>
                <w:lang w:val="zh-CN"/>
              </w:rPr>
              <w:t>米线、</w:t>
            </w:r>
            <w:r>
              <w:rPr>
                <w:rFonts w:hint="eastAsia" w:ascii="方正仿宋_GBK" w:hAnsi="宋体" w:eastAsia="方正仿宋_GBK" w:cs="宋体"/>
                <w:color w:val="auto"/>
                <w:sz w:val="21"/>
                <w:szCs w:val="21"/>
              </w:rPr>
              <w:t>粉、刀削）</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5BFA861">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4.5</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52DA796C">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1两</w:t>
            </w:r>
          </w:p>
        </w:tc>
      </w:tr>
      <w:tr w14:paraId="77DA4A27">
        <w:tblPrEx>
          <w:tblCellMar>
            <w:top w:w="0" w:type="dxa"/>
            <w:left w:w="108" w:type="dxa"/>
            <w:bottom w:w="0" w:type="dxa"/>
            <w:right w:w="108" w:type="dxa"/>
          </w:tblCellMar>
        </w:tblPrEx>
        <w:trPr>
          <w:trHeight w:val="340" w:hRule="atLeast"/>
          <w:jc w:val="center"/>
        </w:trPr>
        <w:tc>
          <w:tcPr>
            <w:tcW w:w="3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14631">
            <w:pPr>
              <w:widowControl/>
              <w:spacing w:line="500" w:lineRule="exact"/>
              <w:jc w:val="left"/>
              <w:rPr>
                <w:rFonts w:hint="eastAsia" w:ascii="方正仿宋_GBK" w:hAnsi="宋体" w:eastAsia="方正仿宋_GBK" w:cs="宋体"/>
                <w:color w:val="auto"/>
                <w:sz w:val="21"/>
                <w:szCs w:val="21"/>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1DC5CBC3">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6</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7E54B75A">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2两</w:t>
            </w:r>
          </w:p>
        </w:tc>
      </w:tr>
      <w:tr w14:paraId="6519D13D">
        <w:tblPrEx>
          <w:tblCellMar>
            <w:top w:w="0" w:type="dxa"/>
            <w:left w:w="108" w:type="dxa"/>
            <w:bottom w:w="0" w:type="dxa"/>
            <w:right w:w="108" w:type="dxa"/>
          </w:tblCellMar>
        </w:tblPrEx>
        <w:trPr>
          <w:trHeight w:val="340" w:hRule="atLeast"/>
          <w:jc w:val="center"/>
        </w:trPr>
        <w:tc>
          <w:tcPr>
            <w:tcW w:w="3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730B4">
            <w:pPr>
              <w:widowControl/>
              <w:spacing w:line="500" w:lineRule="exact"/>
              <w:jc w:val="left"/>
              <w:rPr>
                <w:rFonts w:hint="eastAsia" w:ascii="方正仿宋_GBK" w:hAnsi="宋体" w:eastAsia="方正仿宋_GBK" w:cs="宋体"/>
                <w:color w:val="auto"/>
                <w:sz w:val="21"/>
                <w:szCs w:val="21"/>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1FA9F276">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7</w:t>
            </w:r>
          </w:p>
        </w:tc>
        <w:tc>
          <w:tcPr>
            <w:tcW w:w="2634" w:type="dxa"/>
            <w:tcBorders>
              <w:top w:val="single" w:color="000000" w:sz="4" w:space="0"/>
              <w:left w:val="single" w:color="000000" w:sz="4" w:space="0"/>
              <w:bottom w:val="single" w:color="000000" w:sz="4" w:space="0"/>
              <w:right w:val="single" w:color="000000" w:sz="4" w:space="0"/>
            </w:tcBorders>
            <w:noWrap/>
            <w:vAlign w:val="center"/>
          </w:tcPr>
          <w:p w14:paraId="72AE1435">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3两</w:t>
            </w:r>
          </w:p>
        </w:tc>
      </w:tr>
    </w:tbl>
    <w:p w14:paraId="1905BA60">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（4）基本大伙餐价格参照以下标准（其中鲜猪肉菜品比例每餐不得低于4个品种）：</w:t>
      </w:r>
    </w:p>
    <w:tbl>
      <w:tblPr>
        <w:tblStyle w:val="59"/>
        <w:tblW w:w="9150" w:type="dxa"/>
        <w:jc w:val="center"/>
        <w:tblLayout w:type="fixed"/>
        <w:tblCellMar>
          <w:top w:w="0" w:type="dxa"/>
          <w:left w:w="108" w:type="dxa"/>
          <w:bottom w:w="0" w:type="dxa"/>
          <w:right w:w="108" w:type="dxa"/>
        </w:tblCellMar>
      </w:tblPr>
      <w:tblGrid>
        <w:gridCol w:w="1561"/>
        <w:gridCol w:w="1375"/>
        <w:gridCol w:w="989"/>
        <w:gridCol w:w="3132"/>
        <w:gridCol w:w="2093"/>
      </w:tblGrid>
      <w:tr w14:paraId="35D4E444">
        <w:tblPrEx>
          <w:tblCellMar>
            <w:top w:w="0" w:type="dxa"/>
            <w:left w:w="108" w:type="dxa"/>
            <w:bottom w:w="0" w:type="dxa"/>
            <w:right w:w="108" w:type="dxa"/>
          </w:tblCellMar>
        </w:tblPrEx>
        <w:trPr>
          <w:trHeight w:val="818" w:hRule="atLeast"/>
          <w:jc w:val="center"/>
        </w:trPr>
        <w:tc>
          <w:tcPr>
            <w:tcW w:w="2937" w:type="dxa"/>
            <w:gridSpan w:val="2"/>
            <w:tcBorders>
              <w:top w:val="single" w:color="000000" w:sz="4" w:space="0"/>
              <w:left w:val="single" w:color="000000" w:sz="4" w:space="0"/>
              <w:bottom w:val="single" w:color="000000" w:sz="4" w:space="0"/>
              <w:right w:val="single" w:color="000000" w:sz="4" w:space="0"/>
            </w:tcBorders>
            <w:noWrap/>
            <w:vAlign w:val="center"/>
          </w:tcPr>
          <w:p w14:paraId="129590E4">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品类</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F23F171">
            <w:pPr>
              <w:spacing w:line="500" w:lineRule="exact"/>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售价（元）</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5D1B639A">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荤菜类（g）（熟重）</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0FF6C8CA">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素菜类（g）</w:t>
            </w:r>
          </w:p>
          <w:p w14:paraId="5DC96AB4">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（熟重）</w:t>
            </w:r>
          </w:p>
        </w:tc>
      </w:tr>
      <w:tr w14:paraId="251BEA4A">
        <w:tblPrEx>
          <w:tblCellMar>
            <w:top w:w="0" w:type="dxa"/>
            <w:left w:w="108" w:type="dxa"/>
            <w:bottom w:w="0" w:type="dxa"/>
            <w:right w:w="108" w:type="dxa"/>
          </w:tblCellMar>
        </w:tblPrEx>
        <w:trPr>
          <w:trHeight w:val="634" w:hRule="atLeast"/>
          <w:jc w:val="center"/>
        </w:trPr>
        <w:tc>
          <w:tcPr>
            <w:tcW w:w="1561" w:type="dxa"/>
            <w:tcBorders>
              <w:top w:val="single" w:color="000000" w:sz="4" w:space="0"/>
              <w:left w:val="single" w:color="000000" w:sz="4" w:space="0"/>
              <w:bottom w:val="single" w:color="auto" w:sz="4" w:space="0"/>
              <w:right w:val="single" w:color="000000" w:sz="4" w:space="0"/>
            </w:tcBorders>
            <w:noWrap/>
            <w:vAlign w:val="center"/>
          </w:tcPr>
          <w:p w14:paraId="65AC2BFF">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爱心餐</w:t>
            </w:r>
          </w:p>
          <w:p w14:paraId="3C1674FB">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米饭、汤免费</w:t>
            </w:r>
          </w:p>
        </w:tc>
        <w:tc>
          <w:tcPr>
            <w:tcW w:w="1376" w:type="dxa"/>
            <w:tcBorders>
              <w:top w:val="single" w:color="000000" w:sz="4" w:space="0"/>
              <w:left w:val="single" w:color="000000" w:sz="4" w:space="0"/>
              <w:bottom w:val="single" w:color="auto" w:sz="4" w:space="0"/>
              <w:right w:val="single" w:color="000000" w:sz="4" w:space="0"/>
            </w:tcBorders>
            <w:noWrap/>
            <w:vAlign w:val="center"/>
          </w:tcPr>
          <w:p w14:paraId="1693A975">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一荤一素</w:t>
            </w:r>
          </w:p>
        </w:tc>
        <w:tc>
          <w:tcPr>
            <w:tcW w:w="990" w:type="dxa"/>
            <w:tcBorders>
              <w:top w:val="single" w:color="000000" w:sz="4" w:space="0"/>
              <w:left w:val="single" w:color="000000" w:sz="4" w:space="0"/>
              <w:bottom w:val="single" w:color="auto" w:sz="4" w:space="0"/>
              <w:right w:val="single" w:color="000000" w:sz="4" w:space="0"/>
            </w:tcBorders>
            <w:noWrap/>
            <w:vAlign w:val="center"/>
          </w:tcPr>
          <w:p w14:paraId="2A461E5F">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5</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2FAF5412">
            <w:pPr>
              <w:spacing w:line="500" w:lineRule="exact"/>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鲜猪肉≥60，配菜≥50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3254F448">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 xml:space="preserve">≥100 </w:t>
            </w:r>
          </w:p>
        </w:tc>
      </w:tr>
      <w:tr w14:paraId="229476C5">
        <w:tblPrEx>
          <w:tblCellMar>
            <w:top w:w="0" w:type="dxa"/>
            <w:left w:w="108" w:type="dxa"/>
            <w:bottom w:w="0" w:type="dxa"/>
            <w:right w:w="108" w:type="dxa"/>
          </w:tblCellMar>
        </w:tblPrEx>
        <w:trPr>
          <w:trHeight w:val="634" w:hRule="atLeast"/>
          <w:jc w:val="center"/>
        </w:trPr>
        <w:tc>
          <w:tcPr>
            <w:tcW w:w="1561" w:type="dxa"/>
            <w:vMerge w:val="restart"/>
            <w:tcBorders>
              <w:top w:val="single" w:color="auto" w:sz="4" w:space="0"/>
              <w:left w:val="single" w:color="000000" w:sz="4" w:space="0"/>
              <w:bottom w:val="single" w:color="000000" w:sz="4" w:space="0"/>
              <w:right w:val="single" w:color="000000" w:sz="4" w:space="0"/>
            </w:tcBorders>
            <w:noWrap/>
            <w:vAlign w:val="center"/>
          </w:tcPr>
          <w:p w14:paraId="5002DB87">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基础大伙餐</w:t>
            </w:r>
          </w:p>
          <w:p w14:paraId="64C8DF7D">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米饭、汤免费</w:t>
            </w:r>
          </w:p>
        </w:tc>
        <w:tc>
          <w:tcPr>
            <w:tcW w:w="1376" w:type="dxa"/>
            <w:tcBorders>
              <w:top w:val="single" w:color="auto" w:sz="4" w:space="0"/>
              <w:left w:val="single" w:color="000000" w:sz="4" w:space="0"/>
              <w:bottom w:val="single" w:color="000000" w:sz="4" w:space="0"/>
              <w:right w:val="single" w:color="000000" w:sz="4" w:space="0"/>
            </w:tcBorders>
            <w:noWrap/>
            <w:vAlign w:val="center"/>
          </w:tcPr>
          <w:p w14:paraId="67B7FC5A">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两素</w:t>
            </w:r>
          </w:p>
        </w:tc>
        <w:tc>
          <w:tcPr>
            <w:tcW w:w="990" w:type="dxa"/>
            <w:tcBorders>
              <w:top w:val="single" w:color="auto" w:sz="4" w:space="0"/>
              <w:left w:val="single" w:color="000000" w:sz="4" w:space="0"/>
              <w:bottom w:val="single" w:color="000000" w:sz="4" w:space="0"/>
              <w:right w:val="single" w:color="000000" w:sz="4" w:space="0"/>
            </w:tcBorders>
            <w:noWrap/>
            <w:vAlign w:val="center"/>
          </w:tcPr>
          <w:p w14:paraId="555DC679">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5</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3B929703">
            <w:pPr>
              <w:spacing w:line="500" w:lineRule="exact"/>
              <w:ind w:firstLine="420" w:firstLineChars="200"/>
              <w:rPr>
                <w:rFonts w:hint="eastAsia" w:ascii="方正仿宋_GBK" w:hAnsi="宋体" w:eastAsia="方正仿宋_GBK" w:cs="宋体"/>
                <w:color w:val="auto"/>
                <w:sz w:val="21"/>
                <w:szCs w:val="21"/>
              </w:rPr>
            </w:pP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039AEB04">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≥200</w:t>
            </w:r>
          </w:p>
        </w:tc>
      </w:tr>
      <w:tr w14:paraId="2352BE1B">
        <w:tblPrEx>
          <w:tblCellMar>
            <w:top w:w="0" w:type="dxa"/>
            <w:left w:w="108" w:type="dxa"/>
            <w:bottom w:w="0" w:type="dxa"/>
            <w:right w:w="108" w:type="dxa"/>
          </w:tblCellMar>
        </w:tblPrEx>
        <w:trPr>
          <w:trHeight w:val="634" w:hRule="atLeast"/>
          <w:jc w:val="center"/>
        </w:trPr>
        <w:tc>
          <w:tcPr>
            <w:tcW w:w="2937" w:type="dxa"/>
            <w:vMerge w:val="continue"/>
            <w:tcBorders>
              <w:top w:val="single" w:color="auto" w:sz="4" w:space="0"/>
              <w:left w:val="single" w:color="000000" w:sz="4" w:space="0"/>
              <w:bottom w:val="single" w:color="000000" w:sz="4" w:space="0"/>
              <w:right w:val="single" w:color="000000" w:sz="4" w:space="0"/>
            </w:tcBorders>
            <w:noWrap w:val="0"/>
            <w:vAlign w:val="center"/>
          </w:tcPr>
          <w:p w14:paraId="0562C8A5">
            <w:pPr>
              <w:widowControl/>
              <w:spacing w:line="500" w:lineRule="exact"/>
              <w:jc w:val="left"/>
              <w:rPr>
                <w:rFonts w:hint="eastAsia" w:ascii="方正仿宋_GBK" w:hAnsi="宋体" w:eastAsia="方正仿宋_GBK" w:cs="宋体"/>
                <w:color w:val="auto"/>
                <w:sz w:val="21"/>
                <w:szCs w:val="21"/>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708FABB">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一荤一素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AEC35D9">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6</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05CE0070">
            <w:pPr>
              <w:spacing w:line="500" w:lineRule="exact"/>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肉类≥60，配菜≥50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38CF4B0A">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≥100</w:t>
            </w:r>
          </w:p>
        </w:tc>
      </w:tr>
      <w:tr w14:paraId="0DD00399">
        <w:tblPrEx>
          <w:tblCellMar>
            <w:top w:w="0" w:type="dxa"/>
            <w:left w:w="108" w:type="dxa"/>
            <w:bottom w:w="0" w:type="dxa"/>
            <w:right w:w="108" w:type="dxa"/>
          </w:tblCellMar>
        </w:tblPrEx>
        <w:trPr>
          <w:trHeight w:val="824" w:hRule="atLeast"/>
          <w:jc w:val="center"/>
        </w:trPr>
        <w:tc>
          <w:tcPr>
            <w:tcW w:w="2937" w:type="dxa"/>
            <w:vMerge w:val="continue"/>
            <w:tcBorders>
              <w:top w:val="single" w:color="auto" w:sz="4" w:space="0"/>
              <w:left w:val="single" w:color="000000" w:sz="4" w:space="0"/>
              <w:bottom w:val="single" w:color="000000" w:sz="4" w:space="0"/>
              <w:right w:val="single" w:color="000000" w:sz="4" w:space="0"/>
            </w:tcBorders>
            <w:noWrap w:val="0"/>
            <w:vAlign w:val="center"/>
          </w:tcPr>
          <w:p w14:paraId="56811FE2">
            <w:pPr>
              <w:widowControl/>
              <w:spacing w:line="500" w:lineRule="exact"/>
              <w:jc w:val="left"/>
              <w:rPr>
                <w:rFonts w:hint="eastAsia" w:ascii="方正仿宋_GBK" w:hAnsi="宋体" w:eastAsia="方正仿宋_GBK" w:cs="宋体"/>
                <w:color w:val="auto"/>
                <w:sz w:val="21"/>
                <w:szCs w:val="21"/>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C73C25B">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一荤两素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17EEF67">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7</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9979832">
            <w:pPr>
              <w:spacing w:line="500" w:lineRule="exact"/>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肉类≥60，配菜≥100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4558665E">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≥200</w:t>
            </w:r>
          </w:p>
        </w:tc>
      </w:tr>
      <w:tr w14:paraId="0C714759">
        <w:tblPrEx>
          <w:tblCellMar>
            <w:top w:w="0" w:type="dxa"/>
            <w:left w:w="108" w:type="dxa"/>
            <w:bottom w:w="0" w:type="dxa"/>
            <w:right w:w="108" w:type="dxa"/>
          </w:tblCellMar>
        </w:tblPrEx>
        <w:trPr>
          <w:trHeight w:val="824" w:hRule="atLeast"/>
          <w:jc w:val="center"/>
        </w:trPr>
        <w:tc>
          <w:tcPr>
            <w:tcW w:w="2937" w:type="dxa"/>
            <w:vMerge w:val="continue"/>
            <w:tcBorders>
              <w:top w:val="single" w:color="auto" w:sz="4" w:space="0"/>
              <w:left w:val="single" w:color="000000" w:sz="4" w:space="0"/>
              <w:bottom w:val="single" w:color="000000" w:sz="4" w:space="0"/>
              <w:right w:val="single" w:color="000000" w:sz="4" w:space="0"/>
            </w:tcBorders>
            <w:noWrap w:val="0"/>
            <w:vAlign w:val="center"/>
          </w:tcPr>
          <w:p w14:paraId="5E76C7B9">
            <w:pPr>
              <w:widowControl/>
              <w:spacing w:line="500" w:lineRule="exact"/>
              <w:jc w:val="left"/>
              <w:rPr>
                <w:rFonts w:hint="eastAsia" w:ascii="方正仿宋_GBK" w:hAnsi="宋体" w:eastAsia="方正仿宋_GBK" w:cs="宋体"/>
                <w:color w:val="auto"/>
                <w:sz w:val="21"/>
                <w:szCs w:val="21"/>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087BCA73">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两荤一素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C7222D9">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8</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2D44D87">
            <w:pPr>
              <w:spacing w:line="500" w:lineRule="exact"/>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肉类≥120，配菜≥100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1C1F7238">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≥100</w:t>
            </w:r>
          </w:p>
        </w:tc>
      </w:tr>
      <w:tr w14:paraId="18F5E7FD">
        <w:tblPrEx>
          <w:tblCellMar>
            <w:top w:w="0" w:type="dxa"/>
            <w:left w:w="108" w:type="dxa"/>
            <w:bottom w:w="0" w:type="dxa"/>
            <w:right w:w="108" w:type="dxa"/>
          </w:tblCellMar>
        </w:tblPrEx>
        <w:trPr>
          <w:trHeight w:val="914" w:hRule="atLeast"/>
          <w:jc w:val="center"/>
        </w:trPr>
        <w:tc>
          <w:tcPr>
            <w:tcW w:w="2937" w:type="dxa"/>
            <w:vMerge w:val="continue"/>
            <w:tcBorders>
              <w:top w:val="single" w:color="auto" w:sz="4" w:space="0"/>
              <w:left w:val="single" w:color="000000" w:sz="4" w:space="0"/>
              <w:bottom w:val="single" w:color="000000" w:sz="4" w:space="0"/>
              <w:right w:val="single" w:color="000000" w:sz="4" w:space="0"/>
            </w:tcBorders>
            <w:noWrap w:val="0"/>
            <w:vAlign w:val="center"/>
          </w:tcPr>
          <w:p w14:paraId="6AB0A3D4">
            <w:pPr>
              <w:widowControl/>
              <w:spacing w:line="500" w:lineRule="exact"/>
              <w:jc w:val="left"/>
              <w:rPr>
                <w:rFonts w:hint="eastAsia" w:ascii="方正仿宋_GBK" w:hAnsi="宋体" w:eastAsia="方正仿宋_GBK" w:cs="宋体"/>
                <w:color w:val="auto"/>
                <w:sz w:val="21"/>
                <w:szCs w:val="21"/>
              </w:rPr>
            </w:pPr>
          </w:p>
        </w:tc>
        <w:tc>
          <w:tcPr>
            <w:tcW w:w="1376" w:type="dxa"/>
            <w:tcBorders>
              <w:top w:val="single" w:color="000000" w:sz="4" w:space="0"/>
              <w:left w:val="single" w:color="000000" w:sz="4" w:space="0"/>
              <w:bottom w:val="single" w:color="000000" w:sz="4" w:space="0"/>
              <w:right w:val="single" w:color="000000" w:sz="4" w:space="0"/>
            </w:tcBorders>
            <w:noWrap/>
            <w:vAlign w:val="center"/>
          </w:tcPr>
          <w:p w14:paraId="59849F44">
            <w:pPr>
              <w:spacing w:line="500" w:lineRule="exact"/>
              <w:jc w:val="center"/>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两荤两素</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20F36AC">
            <w:pPr>
              <w:spacing w:line="500" w:lineRule="exact"/>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10</w:t>
            </w:r>
          </w:p>
        </w:tc>
        <w:tc>
          <w:tcPr>
            <w:tcW w:w="3135" w:type="dxa"/>
            <w:tcBorders>
              <w:top w:val="single" w:color="000000" w:sz="4" w:space="0"/>
              <w:left w:val="single" w:color="000000" w:sz="4" w:space="0"/>
              <w:bottom w:val="single" w:color="000000" w:sz="4" w:space="0"/>
              <w:right w:val="single" w:color="000000" w:sz="4" w:space="0"/>
            </w:tcBorders>
            <w:noWrap/>
            <w:vAlign w:val="center"/>
          </w:tcPr>
          <w:p w14:paraId="6D33E87C">
            <w:pPr>
              <w:spacing w:line="500" w:lineRule="exact"/>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肉类≥120，配菜≥100</w:t>
            </w:r>
          </w:p>
        </w:tc>
        <w:tc>
          <w:tcPr>
            <w:tcW w:w="2095" w:type="dxa"/>
            <w:tcBorders>
              <w:top w:val="single" w:color="000000" w:sz="4" w:space="0"/>
              <w:left w:val="single" w:color="000000" w:sz="4" w:space="0"/>
              <w:bottom w:val="single" w:color="000000" w:sz="4" w:space="0"/>
              <w:right w:val="single" w:color="000000" w:sz="4" w:space="0"/>
            </w:tcBorders>
            <w:noWrap/>
            <w:vAlign w:val="center"/>
          </w:tcPr>
          <w:p w14:paraId="312361F7">
            <w:pPr>
              <w:spacing w:line="500" w:lineRule="exact"/>
              <w:ind w:firstLine="420" w:firstLineChars="200"/>
              <w:rPr>
                <w:rFonts w:hint="eastAsia" w:ascii="方正仿宋_GBK" w:hAnsi="宋体" w:eastAsia="方正仿宋_GBK" w:cs="宋体"/>
                <w:color w:val="auto"/>
                <w:sz w:val="21"/>
                <w:szCs w:val="21"/>
              </w:rPr>
            </w:pPr>
            <w:r>
              <w:rPr>
                <w:rFonts w:hint="eastAsia" w:ascii="方正仿宋_GBK" w:hAnsi="宋体" w:eastAsia="方正仿宋_GBK" w:cs="宋体"/>
                <w:color w:val="auto"/>
                <w:sz w:val="21"/>
                <w:szCs w:val="21"/>
              </w:rPr>
              <w:t>≥200</w:t>
            </w:r>
          </w:p>
        </w:tc>
      </w:tr>
    </w:tbl>
    <w:p w14:paraId="1D73891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（5）</w:t>
      </w:r>
      <w:r>
        <w:rPr>
          <w:rFonts w:hint="eastAsia" w:ascii="华文仿宋" w:hAnsi="华文仿宋" w:eastAsia="华文仿宋" w:cs="华文仿宋"/>
          <w:color w:val="auto"/>
          <w:sz w:val="28"/>
          <w:szCs w:val="28"/>
          <w:u w:val="single"/>
        </w:rPr>
        <w:t>包1、包3、包4、包5</w:t>
      </w:r>
      <w:r>
        <w:rPr>
          <w:rFonts w:hint="eastAsia" w:ascii="华文仿宋" w:hAnsi="华文仿宋" w:eastAsia="华文仿宋" w:cs="华文仿宋"/>
          <w:color w:val="auto"/>
          <w:sz w:val="28"/>
          <w:szCs w:val="28"/>
        </w:rPr>
        <w:t>乙方须按照甲方要求每日提供爱心保障餐，以套餐形式提供，确保每日不同样，配置标准：中餐和晚餐一荤一素，提供免费汤，米饭免费添加；爱心保障餐每餐不高于5元，鼓励乙方主动让利给困难家庭学生，可以通过关怀育人的项目，适当再降低餐标，由乙方在经营期内制订供餐方案，报甲方审核书面同意后实施。乙方须按照以上服务要求在基本大伙方案中响应，爱心保障餐品质应符合基本大伙饭菜品质和质量份量要求。</w:t>
      </w:r>
    </w:p>
    <w:p w14:paraId="24C9B72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食堂业态和档口设置须进行前置审核，特色品种在同质同量同品种的前提下，价格应低于周边市场价格或不高于同类高校，罗列所有能提供的特色菜品或套餐品类，菜肴品种、菜品价格、成本核算、菜品质量标准和经营管理（含人员管理）等须交甲方监管部门审核书面同意后方可实施，甲方实行全过程监督管理，否则，乙方按照每一菜品每次5000元违约金支付甲方。乙方不得从事餐饮以外的其它任何业务（如经营超市等），不得经营超出自身经营许可或条件的餐饮项目（如没有凉菜制作条件和餐饮许可，则不得经营凉菜项目等）。乙方需不断增加饭菜的花色品种，提高饭菜质量，注重科学营养配餐。保证甲方正常教学运行期间满足师生就餐需求，且未经批准不得擅自停业。</w:t>
      </w:r>
    </w:p>
    <w:p w14:paraId="309450D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4.乙方须直接管理和经营食堂，食堂所有窗口须一体化管理，不得分包或转包，</w:t>
      </w:r>
      <w:r>
        <w:rPr>
          <w:rFonts w:hint="eastAsia" w:ascii="华文仿宋" w:hAnsi="华文仿宋" w:eastAsia="华文仿宋" w:cs="华文仿宋"/>
          <w:bCs/>
          <w:color w:val="auto"/>
          <w:sz w:val="28"/>
          <w:szCs w:val="28"/>
        </w:rPr>
        <w:t>一经发现分包或转包，甲方不认可任何分包转包合同，有权直接终止合同，扣罚所有履约保证金并追究乙方责任。甲方定期或不定期对所有档口工作人员的聘用合同、缴纳社保的材料、上岗情况及工资流水进行查验。</w:t>
      </w:r>
      <w:r>
        <w:rPr>
          <w:rFonts w:hint="eastAsia" w:ascii="华文仿宋" w:hAnsi="华文仿宋" w:eastAsia="华文仿宋" w:cs="华文仿宋"/>
          <w:color w:val="auto"/>
          <w:sz w:val="28"/>
          <w:szCs w:val="28"/>
        </w:rPr>
        <w:t>乙方不得在食堂内非窗口场所、食堂周边、校园内摆摊设点，不得破坏食堂整体格局、外观和使用功能。</w:t>
      </w:r>
    </w:p>
    <w:p w14:paraId="5992FE87">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5.乙方须注重食品安全卫生管理，严格执行国家、政府行政主管部门、学校对食品安全生产的法律、法规、规章制度的要求，有健全的食品安全管理制度，有食品安全管理团队，有完备的食品安全事故处置预案。不得在食堂内使用、销售预制菜。</w:t>
      </w:r>
    </w:p>
    <w:p w14:paraId="039F4929">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6.乙方须注重师生身体健康，按照《“健康中国2030”规划纲要》减盐要求，本项目所有食堂须使用低钠盐。且必须在具有食盐批发业务资质的企业中采购低钠盐。否则，甲方按每次50000元扣罚乙方违约金。</w:t>
      </w:r>
    </w:p>
    <w:p w14:paraId="1E789866">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7.人员管理要求：</w:t>
      </w:r>
    </w:p>
    <w:p w14:paraId="77FDCF24">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在合同期内须履行好主体责任，按要求做好在本项目员工的教育管理，甲方将严格按该相关要求加强对成交乙方的考核。严格把好食堂从业人员的“入门关”，严格从业资格审查。对拟使用的食堂从业人员，要按照相关文件要求，开展性侵等各类违法犯罪信息查询，并按规定定期报备查询结果。食堂管理服务人员应政治坚定、遵纪守法、廉洁自律、品行端正、无犯罪记录；身体健康无传染性疾病；心理健康无精神病史；掌握相关岗位业务知识和技能，能胜任工作；年龄原则上不宜过大。乙方须按照要求提供项目所有人员信息（甲方严格报名）备查；甲方将不定期全面排查食堂从业人员动态信息情况，按照相关文件规定，每年3月对在岗人员进行涉罪信息查询，对不符合或不具备在岗条件的人员要及时进行清退。乙方要关心关爱食堂从业人员，及时了解他们的思想动态，协助解决实际困难。</w:t>
      </w:r>
    </w:p>
    <w:p w14:paraId="378C4314">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乙方须服从政府相关部门和学校的监督管理和指导，自行承担经营责任和风险。乙方应制定完善的员工管理办法和制度，依法用工。</w:t>
      </w:r>
      <w:r>
        <w:rPr>
          <w:rFonts w:hint="eastAsia" w:ascii="华文仿宋" w:hAnsi="华文仿宋" w:eastAsia="华文仿宋" w:cs="华文仿宋"/>
          <w:bCs/>
          <w:color w:val="auto"/>
          <w:sz w:val="28"/>
          <w:szCs w:val="28"/>
        </w:rPr>
        <w:t>乙方以本单位名义依法为本项目食堂所有从业人员全员签订劳动合同，不能签订劳动合同的必须签订劳务协议。</w:t>
      </w:r>
      <w:r>
        <w:rPr>
          <w:rFonts w:hint="eastAsia" w:ascii="华文仿宋" w:hAnsi="华文仿宋" w:eastAsia="华文仿宋" w:cs="华文仿宋"/>
          <w:color w:val="auto"/>
          <w:sz w:val="28"/>
          <w:szCs w:val="28"/>
        </w:rPr>
        <w:t>工资待遇和社会保险按国家规定执行，必须做好内部员工管理，包括安全和稳定的管理。乙方应妥善处理与就餐人员之间的矛盾、冲突，且不得使冲突升级，乙方承担由此造成的一切经济、安全和法律责任。若因乙方资金链断裂、内部员工工伤、工资报酬、供货商、合作商、贷款纠纷等情况出现上访、投诉或重大网络舆情事件，或者发生</w:t>
      </w:r>
      <w:r>
        <w:rPr>
          <w:rFonts w:hint="eastAsia" w:ascii="华文仿宋" w:hAnsi="华文仿宋" w:eastAsia="华文仿宋" w:cs="华文仿宋"/>
          <w:color w:val="auto"/>
          <w:sz w:val="28"/>
          <w:szCs w:val="28"/>
          <w:lang w:val="zh-CN"/>
        </w:rPr>
        <w:t>学生集体性食物中毒、火灾、拥挤踩踏等群体性安全事故和</w:t>
      </w:r>
      <w:r>
        <w:rPr>
          <w:rFonts w:hint="eastAsia" w:ascii="华文仿宋" w:hAnsi="华文仿宋" w:eastAsia="华文仿宋" w:cs="华文仿宋"/>
          <w:color w:val="auto"/>
          <w:sz w:val="28"/>
          <w:szCs w:val="28"/>
        </w:rPr>
        <w:t>重大</w:t>
      </w:r>
      <w:r>
        <w:rPr>
          <w:rFonts w:hint="eastAsia" w:ascii="华文仿宋" w:hAnsi="华文仿宋" w:eastAsia="华文仿宋" w:cs="华文仿宋"/>
          <w:color w:val="auto"/>
          <w:sz w:val="28"/>
          <w:szCs w:val="28"/>
          <w:lang w:val="zh-CN"/>
        </w:rPr>
        <w:t>网络舆情事件</w:t>
      </w:r>
      <w:r>
        <w:rPr>
          <w:rFonts w:hint="eastAsia" w:ascii="华文仿宋" w:hAnsi="华文仿宋" w:eastAsia="华文仿宋" w:cs="华文仿宋"/>
          <w:bCs/>
          <w:color w:val="auto"/>
          <w:sz w:val="28"/>
          <w:szCs w:val="28"/>
          <w:lang w:val="zh-CN"/>
        </w:rPr>
        <w:t>，</w:t>
      </w:r>
      <w:r>
        <w:rPr>
          <w:rFonts w:hint="eastAsia" w:ascii="华文仿宋" w:hAnsi="华文仿宋" w:eastAsia="华文仿宋" w:cs="华文仿宋"/>
          <w:color w:val="auto"/>
          <w:sz w:val="28"/>
          <w:szCs w:val="28"/>
        </w:rPr>
        <w:t>一经查实，乙方每次向甲方支付违约金500000元，如造成重大不良影响，甲方有权单方面解除合同，且不退还全部履约保证金。乙方或乙方工作人员应遵守甲方相关规章制度，因乙方或乙方工作人员原因给自身、甲方或第三方造成的一切人身、财产损害等后果由乙方自行承担。乙方须为食堂购买食品安全责任险和燃气安全责任险，且乙方须自行承担员工和经营范围内发生的人身财产安全、食品安全、燃气安全、消防安全等事故造成的一切经济、行政和法律责任。</w:t>
      </w:r>
    </w:p>
    <w:p w14:paraId="2E1DDACD">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乙方必须以本单位名义为本项目食堂所有从业人员购买社保，不能购买社保的超龄人员必须100%购买雇主责任险，如发现少买或漏买，甲方将按每人每月1000元违约金处罚乙方。</w:t>
      </w:r>
    </w:p>
    <w:p w14:paraId="4A9CB572">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8.结算要求：乙方营业款结算周期则上为每月20日，如遇寒暑假和法定节假日，结算周期顺延。为防止乙方拖欠员工工资、保险，供货商货款和其他合作商款项等，乙方需在甲方发出的营业款结算帐单之日起10日内将员工资、保险，供货商货款和其他合作商款项支付到位，甲方在收到乙方提交的工资、保险，供货商货款和其他合作商款项支付证明材料后10内将营业款支付到位。</w:t>
      </w:r>
    </w:p>
    <w:p w14:paraId="7B161E59">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9.乙方必须使用甲方的一卡通系统进行收费，不得采取其他任何支付方式(除学校统一监管的现金收银以外)。否则，经查实后乙方按照每次20000元的违约金标准支付甲方，若当月发现三次以上违规交易的情况，则扣除当月营业额的20%作为违约金。甲方不再向乙方收取收费系统维护费，乙方需自行承担甲方食堂新增收费终端设备和数智食堂软硬件的购买、升级、线路改造及日常设备维护费用。</w:t>
      </w:r>
    </w:p>
    <w:p w14:paraId="5CD9158B">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10.乙方须根据食堂的定位和要求进行成本核算。要按照相关规章制度和甲方要求，聘请市内外专家对员工进行安全和业务能力培训，并承担专家指导费；与其他食堂保持和谐经营关系。要采取有效措施确保饮食安全、生产安全和价格稳定，接受甲方监督考核，承担一切安全事故责任。</w:t>
      </w:r>
    </w:p>
    <w:p w14:paraId="73213A7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11.本项目乙方所有员工上岗前必须取得健康证，避免因员工身体原因造成的安全事故，否则不能上岗且按照每次违规扣罚2000元标准执行。乙方还须根据实际用工需求接纳甲方推荐的优秀员工和管理人员。</w:t>
      </w:r>
    </w:p>
    <w:p w14:paraId="61F19CFC">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12.乙方需自行负责经营区域及分摊的公共区域清洁卫生，其标准必须达到上级主管部门及甲方的相关要求，接受学校的日常监督考核。</w:t>
      </w:r>
    </w:p>
    <w:p w14:paraId="1F98F66D">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13.乙方须确保饭菜品质，成品菜符合质量要求，按五项指标（饮食卫生、服务态度、饭菜价格、饭菜质量、花色品种）接受甲方后勤部门考核和监督。乙方必须设立纸质意见簿和“一码收集”“一键反馈”等数智化意见采集和反馈系统，听取意见，改进服务，师生满意率达85%以上。无条件配合甲方创建主管部门组织的学生食堂相关评选和创建活动。</w:t>
      </w:r>
    </w:p>
    <w:p w14:paraId="21A3817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14.乙方必须把好饮食卫生“四关”，即验收关、拣洗关、烹饪关和销售关；“三消毒”，即餐具消毒、工用具消毒和功能间消毒；“二净”，即窗口服务员工要衣、帽干净整洁；“一留样”，即熟食留样并记录。</w:t>
      </w:r>
    </w:p>
    <w:p w14:paraId="128D3626">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15.乙方做好餐具和工用具的洗涤，洗涤用品必须选用符合国家相关标准的食品级用品，清洗好的餐具和工用具做好保洁工作，餐具需烘干，无水渍。</w:t>
      </w:r>
    </w:p>
    <w:p w14:paraId="1E4E35F6">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16.乙方所提供的不锈钢餐具必须符合国家标准B/T15067.2-2016，密胺塑料餐具必须符合国家标准GB/T41001-2021，一次性塑料餐饮用具必须符合国家标准GB/T18006.12009，GB/T18006.1-2020，一次性纸碗必须符合国家标准GB/T27591—2011，一次性筷子（木筷）必须符合国家标准GB/T19790.1-2021，一次性筷子（竹筷）必须符合国家标准GB19790.2-2005，倡导使用环保低碳可降解产品。</w:t>
      </w:r>
    </w:p>
    <w:p w14:paraId="0B71D795">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17.乙方应加强员工安全教育，落实安全措施，按加工流程和操作流程规范生产，违章操作者按有关制度严格处罚，确保食品安全、消防安全、生产安全、食堂卫生、环境卫生，“四防”（防毒、防火、防盗、防恐）责任到人，食堂负责人及专职安全员每日负责检查并作好检查记录备查。</w:t>
      </w:r>
    </w:p>
    <w:p w14:paraId="00805F0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18.乙方经营本项目要实行“四统一”，即统一规划建设、统一管理、统一采购、统一洗消，服从调整和安排。如遇紧急情况和突发事件，乙方必须无条件服从甲方的统一安排和指挥。</w:t>
      </w:r>
    </w:p>
    <w:p w14:paraId="504ED012">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19.乙方必须按照甲方要求，指派公司负责人全面统筹所经营管理食堂的食品安全、饭菜质量、内部管理等，每月应至少1次到食堂现场检查食品安全工作并留在检查影像资料和记录备查。</w:t>
      </w:r>
    </w:p>
    <w:p w14:paraId="09A6599C">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20.招标文件中未尽条款按《中华人民共和国食品安全法》、《中华人民共和国食品安全法实施条例》、《餐饮服务食品安全操作规范》、《GB31654-2021食品安全国家标准餐饮服务通用卫生规范》、《重庆文理学院食品安全管理办法》、《重庆文理学院食堂监管办法》等最新相关文件要求执行。</w:t>
      </w:r>
    </w:p>
    <w:p w14:paraId="76F6D72D">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21.甲方不提供员工住宿场所，乙方自行解决员工住宿问题，员工不得在食堂内住宿。</w:t>
      </w:r>
    </w:p>
    <w:p w14:paraId="5F1DB4D4">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22.垃圾处理及油污排放:厨余垃圾成交乙方必须交由政府相关部门指定的有合法资质的单位回收处理，费用由成交乙方承担，严禁私自变卖等违法处理，否则每次扣罚违约金10000元。油污排放：食堂内所有油污必须排入学校现有的化油池，食堂至化油池间的管网根据需要进行必要的改造，并做好疏通和维护保养工作，其费用由成交乙方承担，拒绝改造或者改造不到位的每次扣罚违约金10000元。</w:t>
      </w:r>
    </w:p>
    <w:p w14:paraId="32F63174">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23.</w:t>
      </w:r>
      <w:r>
        <w:rPr>
          <w:rFonts w:hint="eastAsia" w:ascii="华文仿宋" w:hAnsi="华文仿宋" w:eastAsia="华文仿宋" w:cs="华文仿宋"/>
          <w:color w:val="auto"/>
          <w:sz w:val="28"/>
          <w:szCs w:val="28"/>
          <w:lang w:val="en-US" w:eastAsia="zh-CN"/>
        </w:rPr>
        <w:t>甲方</w:t>
      </w:r>
      <w:r>
        <w:rPr>
          <w:rFonts w:hint="eastAsia" w:ascii="华文仿宋" w:hAnsi="华文仿宋" w:eastAsia="华文仿宋" w:cs="华文仿宋"/>
          <w:color w:val="auto"/>
          <w:sz w:val="28"/>
          <w:szCs w:val="28"/>
        </w:rPr>
        <w:t>食堂货运升降梯使用要求:现食堂内有部分货运升降梯暂不能使用，如乙方需要使用须对其安全性加强管理，并取得市场监管部门许可后方可使用，其使用的安全责任和费用由成交乙方承担。</w:t>
      </w:r>
    </w:p>
    <w:p w14:paraId="67DF1859">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24、物质存贮管理要求:</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 xml:space="preserve">建设数智化库房管理系统，做到物资分区、分类、整齐有序，标识清楚、温度适宜、干净卫生、专人管理、台账清晰。 </w:t>
      </w:r>
    </w:p>
    <w:p w14:paraId="002FACC1">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u w:val="single"/>
        </w:rPr>
        <w:t>25.接待餐厅要求：包2乙方须积极配合、参与甲方的各类重大活动（如迎新、专项会务及活动、上级检查评估等），加强桌餐（包房接待）备餐能力，并提供优质服务。按甲方会议、活动主办单位要求提供用餐方案（用餐方案须经甲方会议活动主办单位审核书面同意后执行），用餐形式包含大型会议自助餐和包房接待餐，方案中涉及的菜品等应优质薄利提供。</w:t>
      </w:r>
    </w:p>
    <w:p w14:paraId="6429C668">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rPr>
        <w:t>26.</w:t>
      </w:r>
      <w:r>
        <w:rPr>
          <w:rFonts w:hint="eastAsia" w:ascii="华文仿宋" w:hAnsi="华文仿宋" w:eastAsia="华文仿宋" w:cs="华文仿宋"/>
          <w:color w:val="auto"/>
          <w:sz w:val="28"/>
          <w:szCs w:val="28"/>
          <w:u w:val="single"/>
        </w:rPr>
        <w:t>包1、包3、包5乙方必须在收到中标通知之日起至2025年9月5日正式供餐之前，无条件根据甲方要求做好暑假食堂供餐值班保障工作。乙方</w:t>
      </w:r>
      <w:r>
        <w:rPr>
          <w:rFonts w:hint="eastAsia" w:ascii="华文仿宋" w:hAnsi="华文仿宋" w:eastAsia="华文仿宋" w:cs="华文仿宋"/>
          <w:color w:val="auto"/>
          <w:sz w:val="28"/>
          <w:szCs w:val="28"/>
          <w:u w:val="single"/>
          <w:lang w:val="en-US" w:eastAsia="zh-CN"/>
        </w:rPr>
        <w:t>须</w:t>
      </w:r>
      <w:r>
        <w:rPr>
          <w:rFonts w:hint="eastAsia" w:ascii="华文仿宋" w:hAnsi="华文仿宋" w:eastAsia="华文仿宋" w:cs="华文仿宋"/>
          <w:color w:val="auto"/>
          <w:sz w:val="28"/>
          <w:szCs w:val="28"/>
          <w:u w:val="single"/>
        </w:rPr>
        <w:t>在2025年9月5日达到正式供餐条件要求，否则按违约处理，每延迟一天须支付违约金100000元。</w:t>
      </w:r>
    </w:p>
    <w:p w14:paraId="5991A5A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27.经营服务时间：乙方须无条件服从甲方关于寒暑假期间留校师生正常伙食供应的值班工作安排，保证寒暑假期间师生的正常供餐，否则，</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按50000元/次</w:t>
      </w:r>
      <w:r>
        <w:rPr>
          <w:rFonts w:hint="eastAsia" w:ascii="华文仿宋" w:hAnsi="华文仿宋" w:eastAsia="华文仿宋" w:cs="华文仿宋"/>
          <w:color w:val="auto"/>
          <w:sz w:val="28"/>
          <w:szCs w:val="28"/>
          <w:lang w:val="en-US" w:eastAsia="zh-CN"/>
        </w:rPr>
        <w:t>向</w:t>
      </w:r>
      <w:r>
        <w:rPr>
          <w:rFonts w:hint="eastAsia" w:ascii="华文仿宋" w:hAnsi="华文仿宋" w:eastAsia="华文仿宋" w:cs="华文仿宋"/>
          <w:color w:val="auto"/>
          <w:sz w:val="28"/>
          <w:szCs w:val="28"/>
        </w:rPr>
        <w:t>甲方</w:t>
      </w:r>
      <w:r>
        <w:rPr>
          <w:rFonts w:hint="eastAsia" w:ascii="华文仿宋" w:hAnsi="华文仿宋" w:eastAsia="华文仿宋" w:cs="华文仿宋"/>
          <w:color w:val="auto"/>
          <w:sz w:val="28"/>
          <w:szCs w:val="28"/>
          <w:lang w:val="en-US" w:eastAsia="zh-CN"/>
        </w:rPr>
        <w:t>支付</w:t>
      </w:r>
      <w:r>
        <w:rPr>
          <w:rFonts w:hint="eastAsia" w:ascii="华文仿宋" w:hAnsi="华文仿宋" w:eastAsia="华文仿宋" w:cs="华文仿宋"/>
          <w:color w:val="auto"/>
          <w:sz w:val="28"/>
          <w:szCs w:val="28"/>
        </w:rPr>
        <w:t>违约金。每学期开学及放假开停餐须严格按照甲方的通知时间执行。经营期间乙方不得以任何理由私自全部或部分或个别档口停餐，否则，</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按每餐所停或未开餐档口20000元/个</w:t>
      </w:r>
      <w:r>
        <w:rPr>
          <w:rFonts w:hint="eastAsia" w:ascii="华文仿宋" w:hAnsi="华文仿宋" w:eastAsia="华文仿宋" w:cs="华文仿宋"/>
          <w:color w:val="auto"/>
          <w:sz w:val="28"/>
          <w:szCs w:val="28"/>
          <w:lang w:val="en-US" w:eastAsia="zh-CN"/>
        </w:rPr>
        <w:t>向</w:t>
      </w:r>
      <w:r>
        <w:rPr>
          <w:rFonts w:hint="eastAsia" w:ascii="华文仿宋" w:hAnsi="华文仿宋" w:eastAsia="华文仿宋" w:cs="华文仿宋"/>
          <w:color w:val="auto"/>
          <w:sz w:val="28"/>
          <w:szCs w:val="28"/>
        </w:rPr>
        <w:t>甲方</w:t>
      </w:r>
      <w:r>
        <w:rPr>
          <w:rFonts w:hint="eastAsia" w:ascii="华文仿宋" w:hAnsi="华文仿宋" w:eastAsia="华文仿宋" w:cs="华文仿宋"/>
          <w:color w:val="auto"/>
          <w:sz w:val="28"/>
          <w:szCs w:val="28"/>
          <w:lang w:val="en-US" w:eastAsia="zh-CN"/>
        </w:rPr>
        <w:t>支付违约</w:t>
      </w:r>
      <w:r>
        <w:rPr>
          <w:rFonts w:hint="eastAsia" w:ascii="华文仿宋" w:hAnsi="华文仿宋" w:eastAsia="华文仿宋" w:cs="华文仿宋"/>
          <w:color w:val="auto"/>
          <w:sz w:val="28"/>
          <w:szCs w:val="28"/>
        </w:rPr>
        <w:t>金。</w:t>
      </w:r>
    </w:p>
    <w:p w14:paraId="610EDEA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u w:val="single"/>
        </w:rPr>
        <w:t>28.包2乙方在知味楼二楼、包3乙方在知善楼二楼、包5乙方在星湖校区知和楼二楼食堂必须分别保证有一个面积大小合理、窗口独立的民族特色食品专卖窗口，须严格遵守少数民族的饮食习惯和加工程序。</w:t>
      </w:r>
    </w:p>
    <w:p w14:paraId="0A99AE43">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u w:val="single"/>
        </w:rPr>
        <w:t>29.包3乙方须在红河A区知善楼二楼的现小鱼精品套餐窗口及操作间、现洗消间、2间库房、更衣间、办公室等区域暂时设立附属幼儿园食堂。附属幼儿园食堂由永川兴龙湖小学独立经营（包括水、电、气费单独计量并由永川兴龙湖小学付费），时间一年，须预留区域不少于80平方米（包括附属幼儿园食堂加工区20平方米、存储区20平方米、洗消区10平方米，烹饪间20平方米，配餐间10平方米）。因兴龙湖小学一年后要将该区域要交还给包3乙方，所以包3乙方需要出资对该区域按照幼儿园食堂要求进行统一设计装修、安装食安系统、抽排系统、排水系统、灶2台、餐具消毒柜1台、六门冰箱2台等后厨必备的设备设施（装修要求、安全责任划分由乙方与附属幼儿园另行协商约定，甲方不承担任何责任），且必须在幼儿园开园前达到供餐条件（具体时间以幼儿园通知为准）。</w:t>
      </w:r>
    </w:p>
    <w:p w14:paraId="5EB18510">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u w:val="single"/>
        </w:rPr>
        <w:t>30.座位个数。包1红河B区知味楼一楼食堂不低于687个座位；包2红河B区知味楼二楼食堂学生就餐区不低于794个座位；包3红河A区知善楼一、二楼食堂不低于1784个座位；包4红河A校区三食堂不低于900个座位；包5星湖校区知和楼一、二楼食堂不低于1000个座位，学聚苑食堂不低于264个座位。乙方的餐桌椅配置须符合高端大气的现代大学食堂标准要求，并经甲方基建后勤处书面同意。</w:t>
      </w:r>
    </w:p>
    <w:p w14:paraId="530591C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31.监督管理。乙方须服从学校现有的以及学校不断完善和新增的各项管理制度、规范及考核办法，并按照考核结果和考核意见进行整改落实。考核分为日常考核、学期考核，按考核办法执行。成交供应商在运营期间，因管理不善，收到学校、国家机关在监督管理过程中提出的各项整改要求和处罚必须无条件按要求限时完成整改，接受处罚。</w:t>
      </w:r>
    </w:p>
    <w:p w14:paraId="2F5C6E85">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w:t>
      </w:r>
      <w:r>
        <w:rPr>
          <w:rFonts w:hint="eastAsia" w:ascii="华文仿宋" w:hAnsi="华文仿宋" w:eastAsia="华文仿宋" w:cs="华文仿宋"/>
          <w:color w:val="auto"/>
          <w:sz w:val="28"/>
          <w:szCs w:val="28"/>
          <w:lang w:val="en-US" w:eastAsia="zh-CN"/>
        </w:rPr>
        <w:t>九</w:t>
      </w:r>
      <w:r>
        <w:rPr>
          <w:rFonts w:hint="eastAsia" w:ascii="华文仿宋" w:hAnsi="华文仿宋" w:eastAsia="华文仿宋" w:cs="华文仿宋"/>
          <w:color w:val="auto"/>
          <w:sz w:val="28"/>
          <w:szCs w:val="28"/>
        </w:rPr>
        <w:t>条  食材要求</w:t>
      </w:r>
    </w:p>
    <w:p w14:paraId="7C80625F">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乙方必须建立食堂集中统一采购制度，集中统一采购食材（含米、面、油、肉、蔬菜、一次性餐具以及各类原辅料及调料），其中食用油必须为非转基因品种，米为品牌优质东北当年产大米，未经甲方允许，不得使用及进口冻制食材。乙方必须全力配合甲方搞好食品安全的入口关管理，须保证各类食材乙方资质符合甲方要求，相应证照复印件收集完整，报甲方备案，并将原辅料采购相关信息纳入甲方数智食堂系统统一管理。执行好甲方规定的采购原则和制度，确保食材采购管理规范。</w:t>
      </w:r>
    </w:p>
    <w:p w14:paraId="52E5CCE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乙方必须使用进销存管理系统，在系统中建立所有食材（主料、辅料、调料）进货、出货台账，甲方将根据系统数据对食材进出情况进行核验。乙方须安排专人负责管理进销存系统，确保每天进货、出货数据及时更新，保证食材种类、数量与系统数据一致。</w:t>
      </w:r>
    </w:p>
    <w:p w14:paraId="36CDBC60">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餐饮原材料的采购须严格执行索证索票、登记和验收制度，并建立台帐，确保准确溯源。对购买的每批次货物生产厂家的营业执照、卫生许可证、检疫检验、购货单据等相关证明应保存二年以上，以备查验。严禁“三无产品”（无生产日期、无质量合格证及无生产厂家）、不合格品、过期、变质食品及原料进入食堂，否则视为违约，甲方有权单方面解除合同，且不退还全部履约保证金。</w:t>
      </w:r>
    </w:p>
    <w:p w14:paraId="7C04999A">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甲方随机检查乙方的伙食原材料采购情况，包括但不限于乙方合同、发票、支付凭证等文件资料，甲方必要时有权委托第三方机构对乙方伙食原料进行检验检测，并由乙方承担检验检测费；检验检测不合格的，乙方承担所有有关责任。乙方需积极配合甲方开展此项工作，不得推诿、拒绝，否则视为违约，每次扣罚违约金10000元。</w:t>
      </w:r>
    </w:p>
    <w:p w14:paraId="58161197">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5.乙方烹制饭菜所用的原材料、调味品等应符合国家有关规定，严禁使用非食用辅助材料或添加剂加工食品，否则视为违约，首次扣罚违约金10000元，第二次开始每次50000元。</w:t>
      </w:r>
    </w:p>
    <w:p w14:paraId="72D0292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6.乙方须按照《重庆市财政局关于做好贫困地区农副产品预留采购份额工作的通知》（渝财采购〔2019〕10 号，如有新文件要求，按新文件要求执行）及相关上级部门关于消费帮扶工作的要求，完成甲方预留给贫困地区或乡村振兴帮扶地区农副产品的采购份额，采购金额以甲方核定为准，乙方不得推诿、拒绝，否则，乙方每次向甲方支付违约金50000元人民币。</w:t>
      </w:r>
    </w:p>
    <w:p w14:paraId="26E6D325">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w:t>
      </w:r>
      <w:r>
        <w:rPr>
          <w:rFonts w:hint="eastAsia" w:ascii="华文仿宋" w:hAnsi="华文仿宋" w:eastAsia="华文仿宋" w:cs="华文仿宋"/>
          <w:color w:val="auto"/>
          <w:sz w:val="28"/>
          <w:szCs w:val="28"/>
          <w:lang w:val="en-US" w:eastAsia="zh-CN"/>
        </w:rPr>
        <w:t>十</w:t>
      </w:r>
      <w:r>
        <w:rPr>
          <w:rFonts w:hint="eastAsia" w:ascii="华文仿宋" w:hAnsi="华文仿宋" w:eastAsia="华文仿宋" w:cs="华文仿宋"/>
          <w:color w:val="auto"/>
          <w:sz w:val="28"/>
          <w:szCs w:val="28"/>
        </w:rPr>
        <w:t>条 消防安全要求</w:t>
      </w:r>
    </w:p>
    <w:p w14:paraId="2580CC6B">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bookmarkStart w:id="186" w:name="OLE_LINK30"/>
      <w:bookmarkStart w:id="187" w:name="OLE_LINK31"/>
      <w:r>
        <w:rPr>
          <w:rFonts w:hint="eastAsia" w:ascii="华文仿宋" w:hAnsi="华文仿宋" w:eastAsia="华文仿宋" w:cs="华文仿宋"/>
          <w:color w:val="auto"/>
          <w:sz w:val="28"/>
          <w:szCs w:val="28"/>
        </w:rPr>
        <w:t>1.乙方必须按照市场监管、消防、环保、燃气等部门及甲方的要求对食堂的燃气设施、一氧化碳探头、燃气报警装置和安全自闭阀、抽排灭火喷淋、新风系统、消防报警、喷淋、烟感、温感、报警系统、特种设备及电路电气设备进行安装、更换、添置、维修、维护、年检并取得相关合格报告或检验合格证明材料交甲方备案，保证相关设施、设备的正常、安全运行，确保通过食品安全、消防安全、燃气安全、环保等部门的验收。为保证服务需要，</w:t>
      </w:r>
      <w:r>
        <w:rPr>
          <w:rFonts w:hint="eastAsia" w:ascii="华文仿宋" w:hAnsi="华文仿宋" w:eastAsia="华文仿宋" w:cs="华文仿宋"/>
          <w:bCs/>
          <w:color w:val="auto"/>
          <w:sz w:val="28"/>
          <w:szCs w:val="28"/>
        </w:rPr>
        <w:t>完成油烟净化器、烟道、烟机及送排风系统的更换</w:t>
      </w:r>
      <w:r>
        <w:rPr>
          <w:rFonts w:hint="eastAsia" w:ascii="华文仿宋" w:hAnsi="华文仿宋" w:eastAsia="华文仿宋" w:cs="华文仿宋"/>
          <w:color w:val="auto"/>
          <w:sz w:val="28"/>
          <w:szCs w:val="28"/>
        </w:rPr>
        <w:t>、清洗、维护，油烟抽排标准符合国家及重庆市有关规定，上述一切改造、安装、更换、维修维护、整改费用由乙方自行承担。</w:t>
      </w:r>
    </w:p>
    <w:p w14:paraId="48D3349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2.环境改善完成后，乙方应达到由</w:t>
      </w:r>
      <w:bookmarkStart w:id="188" w:name="OLE_LINK17"/>
      <w:bookmarkStart w:id="189" w:name="OLE_LINK18"/>
      <w:r>
        <w:rPr>
          <w:rFonts w:hint="eastAsia" w:ascii="华文仿宋" w:hAnsi="华文仿宋" w:eastAsia="华文仿宋" w:cs="华文仿宋"/>
          <w:color w:val="auto"/>
          <w:sz w:val="28"/>
          <w:szCs w:val="28"/>
        </w:rPr>
        <w:t>政府机构认可的第三方机构出具的消防安全验收合格检测报告</w:t>
      </w:r>
      <w:bookmarkEnd w:id="188"/>
      <w:bookmarkEnd w:id="189"/>
      <w:r>
        <w:rPr>
          <w:rFonts w:hint="eastAsia" w:ascii="华文仿宋" w:hAnsi="华文仿宋" w:eastAsia="华文仿宋" w:cs="华文仿宋"/>
          <w:color w:val="auto"/>
          <w:sz w:val="28"/>
          <w:szCs w:val="28"/>
        </w:rPr>
        <w:t>，相关费用由乙方承担。</w:t>
      </w:r>
    </w:p>
    <w:p w14:paraId="0A6499B6">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乙方必须按消防法规相关要求，食堂防火分隔采用2.0砖墙分隔并使用防火玻璃，装修材料燃烧性能等级需达到B1级（难燃材料）及以上，其中顶棚材料须采用A级（不燃材料），严禁使用易燃可燃材料,具体要求如下：</w:t>
      </w:r>
    </w:p>
    <w:p w14:paraId="2C9AC970">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（1）建筑防火规范</w:t>
      </w:r>
    </w:p>
    <w:p w14:paraId="33C5DC8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a.耐火等级</w:t>
      </w:r>
    </w:p>
    <w:p w14:paraId="5D3903A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厨房区域应与其他区域采用防火隔墙（≥2h耐火极限）和甲级防火门分隔。</w:t>
      </w:r>
    </w:p>
    <w:p w14:paraId="7AAD82A0">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墙面、地面：B1级（难燃）材料及以上，顶棚必须使用A级（不燃）材料，禁止使用易燃材料（如泡沫板、木板等）。</w:t>
      </w:r>
    </w:p>
    <w:p w14:paraId="7F2C512E">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b.安全疏散</w:t>
      </w:r>
    </w:p>
    <w:p w14:paraId="75203905">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出口数量：至少设置2个独立安全出口，且间距≥5米。</w:t>
      </w:r>
    </w:p>
    <w:p w14:paraId="778D75C6">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通道宽度：主疏散通道≥1.4米，次通道≥1.1米，不得堆放杂物。</w:t>
      </w:r>
    </w:p>
    <w:p w14:paraId="42950A7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疏散门：必须为外开式，宽度≥1.2米，禁止使用推拉门或卷帘门。</w:t>
      </w:r>
    </w:p>
    <w:p w14:paraId="0D813E62">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(2)厨房专项要求</w:t>
      </w:r>
    </w:p>
    <w:p w14:paraId="0702AAD4">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a.防火分隔</w:t>
      </w:r>
    </w:p>
    <w:p w14:paraId="4D1AA2CA">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厨房区域必须单独划分，与用餐区采用防火墙（耐火极限≥2h）分隔，就餐区域禁止出现明火操作。</w:t>
      </w:r>
    </w:p>
    <w:p w14:paraId="655A4AE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b.燃气表间需独立设置，通风次数≥6次/小时。</w:t>
      </w:r>
    </w:p>
    <w:p w14:paraId="5D17D459">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c.排油烟系统</w:t>
      </w:r>
    </w:p>
    <w:p w14:paraId="05E36A0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排油烟管道应采用不锈钢材质，安装防火阀（150℃自动关闭）和油烟净化装置。</w:t>
      </w:r>
    </w:p>
    <w:p w14:paraId="1453BFF7">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排油烟罩、管道每季月至少清洗1次（需留存清洗记录）。</w:t>
      </w:r>
    </w:p>
    <w:p w14:paraId="3D6EFF5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d.灭火设施</w:t>
      </w:r>
    </w:p>
    <w:p w14:paraId="52B36FB7">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厨房必须安装厨房专用自动灭火装置（覆盖炉灶、烟道等），并联动燃气切断阀。</w:t>
      </w:r>
    </w:p>
    <w:p w14:paraId="79A28F0E">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配置泡沫灭火器（应对油火），每50㎡不少于2具。</w:t>
      </w:r>
    </w:p>
    <w:p w14:paraId="25EDFE9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(3)消防设施配置</w:t>
      </w:r>
    </w:p>
    <w:p w14:paraId="4A07D46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a.火灾报警系统</w:t>
      </w:r>
    </w:p>
    <w:p w14:paraId="6716E5DB">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安装感烟、感温探测器（现有位置不得私自改变、遮挡），厨房需增设可燃气体探测器并全面覆盖操作经营范围（燃气泄漏报警）。</w:t>
      </w:r>
    </w:p>
    <w:p w14:paraId="639D0B74">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b.报警系统需联动声光警报和应急广播。</w:t>
      </w:r>
    </w:p>
    <w:p w14:paraId="5AB6645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c.喷淋系统</w:t>
      </w:r>
    </w:p>
    <w:p w14:paraId="1E7A3465">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用餐区采用标准喷头（动作温度68℃），厨房区域需用高温喷头（93℃）。</w:t>
      </w:r>
    </w:p>
    <w:p w14:paraId="3BEBC171">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喷淋头与灶具水平距离≥0.8米，避免误喷。</w:t>
      </w:r>
    </w:p>
    <w:p w14:paraId="79B88D45">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d.应急照明与标识</w:t>
      </w:r>
    </w:p>
    <w:p w14:paraId="77C66EE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疏散通道、出口处设置持续供电≥1小时的应急照明。</w:t>
      </w:r>
    </w:p>
    <w:p w14:paraId="24DE1386">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地面1米以下设置发光疏散指示标志，间距≤20米。</w:t>
      </w:r>
    </w:p>
    <w:p w14:paraId="479F0DF9">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(4)电气防火要求</w:t>
      </w:r>
    </w:p>
    <w:p w14:paraId="340130A4">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a.所有电线穿金属管保护或阻燃PVC管，禁止私拉临时线路。</w:t>
      </w:r>
    </w:p>
    <w:p w14:paraId="0FD6D4C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b.大功率设备（如蒸柜、烤箱）需单独回路，配电箱加装漏电保护器。</w:t>
      </w:r>
    </w:p>
    <w:p w14:paraId="0667847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c.插座、开关距水源≥1米，厨房设备需防水防潮。</w:t>
      </w:r>
    </w:p>
    <w:p w14:paraId="416CF6FA">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(5)施工期间管理</w:t>
      </w:r>
    </w:p>
    <w:p w14:paraId="7AC0280C">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动火审批：焊接、切割等作业需办理动火证，现场配置灭火器材并清除周边可燃物。</w:t>
      </w:r>
    </w:p>
    <w:p w14:paraId="1841017A">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临时用电：使用防爆灯具和电缆，下班后切断电源。</w:t>
      </w:r>
    </w:p>
    <w:p w14:paraId="3733FA9F">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燃气报警探头全覆盖；消防通道畅通、设施设备完好及标识标牌醒目。乙方全面负责食堂内的防火、防盗工作和员工的管理工作，认真履行安全职责，不得占用消防通道、遮挡消防设施设备及标牌。注意用水、用电、用气的安全，并做好定期相关培训。配合甲方及国家相关部门定期安全检查，发现安全隐患立即整改。若乙方出现食堂重大消防安全事故并造成重大负面影响的，乙方除承担一切经济和法律责任外，甲方有权单方面解除合同，并扣罚乙方全部履约保证金；若出现食堂消防安全事故未且造成负面影响的，甲方扣罚乙方违约金20000元/次。</w:t>
      </w:r>
    </w:p>
    <w:p w14:paraId="706FF69D">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5.乙方不得损坏原有的消防设施设备，如原有消防设施设备已坏或不能正常使用或覆盖不全，由乙方负责增加、更换，被更换的设施设备交由采购处置；按消防要求，乙方配置足够的灭火器材和后厨F类专用灭火器、灭火毯、疏散引导箱，安装满足需要的应急照明和疏散标识。乙方需按消防和物业管理条例自行添置消防设备设施。</w:t>
      </w:r>
      <w:bookmarkEnd w:id="186"/>
      <w:bookmarkEnd w:id="187"/>
    </w:p>
    <w:p w14:paraId="185712B8">
      <w:pPr>
        <w:pStyle w:val="3"/>
        <w:pageBreakBefore w:val="0"/>
        <w:widowControl w:val="0"/>
        <w:kinsoku/>
        <w:wordWrap/>
        <w:overflowPunct/>
        <w:topLinePunct w:val="0"/>
        <w:autoSpaceDE/>
        <w:autoSpaceDN/>
        <w:bidi w:val="0"/>
        <w:adjustRightInd/>
        <w:spacing w:before="0" w:after="0" w:line="480" w:lineRule="exact"/>
        <w:ind w:firstLine="560" w:firstLineChars="200"/>
        <w:textAlignment w:val="auto"/>
        <w:rPr>
          <w:rFonts w:hint="eastAsia" w:ascii="华文仿宋" w:hAnsi="华文仿宋" w:eastAsia="华文仿宋" w:cs="华文仿宋"/>
          <w:b w:val="0"/>
          <w:color w:val="auto"/>
          <w:sz w:val="28"/>
          <w:szCs w:val="28"/>
        </w:rPr>
      </w:pPr>
      <w:bookmarkStart w:id="190" w:name="_Toc3749"/>
      <w:bookmarkStart w:id="191" w:name="_Toc32046"/>
      <w:bookmarkStart w:id="192" w:name="_Toc31824"/>
      <w:r>
        <w:rPr>
          <w:rFonts w:hint="eastAsia" w:ascii="华文仿宋" w:hAnsi="华文仿宋" w:eastAsia="华文仿宋" w:cs="华文仿宋"/>
          <w:b w:val="0"/>
          <w:color w:val="auto"/>
          <w:sz w:val="28"/>
          <w:szCs w:val="28"/>
        </w:rPr>
        <w:t>第</w:t>
      </w:r>
      <w:r>
        <w:rPr>
          <w:rFonts w:hint="eastAsia" w:ascii="华文仿宋" w:hAnsi="华文仿宋" w:eastAsia="华文仿宋" w:cs="华文仿宋"/>
          <w:b w:val="0"/>
          <w:color w:val="auto"/>
          <w:sz w:val="28"/>
          <w:szCs w:val="28"/>
          <w:lang w:val="en-US" w:eastAsia="zh-CN"/>
        </w:rPr>
        <w:t>十一</w:t>
      </w:r>
      <w:r>
        <w:rPr>
          <w:rFonts w:hint="eastAsia" w:ascii="华文仿宋" w:hAnsi="华文仿宋" w:eastAsia="华文仿宋" w:cs="华文仿宋"/>
          <w:b w:val="0"/>
          <w:color w:val="auto"/>
          <w:sz w:val="28"/>
          <w:szCs w:val="28"/>
        </w:rPr>
        <w:t>条  食堂服务育人要求</w:t>
      </w:r>
      <w:bookmarkEnd w:id="190"/>
      <w:bookmarkEnd w:id="191"/>
      <w:bookmarkEnd w:id="192"/>
    </w:p>
    <w:p w14:paraId="16AE78C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围绕后勤育人的要求，应积极配合甲方推进“三全育人”工作，乙方需按照不低于3万元/年的投入，无条件协助甲方相关部门做好实践体验育人、劳动育人、环境育人、服务育人、文化育人和后勤餐饮特色文化打造工作。深化共建共享工作机制，在食堂就餐区设立数智电子文化展示墙，由乙方投入充足经费开展以食品安全、营养健康、制止餐饮浪费等文化主题活动，积极配合甲方学生伙管会的各项活动规划和落实。乙方还需应甲方要求投入充足经费确保各类饮食文化活动项目的开展、传统佳节氛围营造、勤工助学岗位提供以及勤工助学人员的伙食保障。食堂文化建设符合甲方相关规定，与甲方发展特色契合，打造后勤育人品牌，积极营造和谐校园文化，不得在甲方本招标区域以外从事任何商业、广告、集会等活动。</w:t>
      </w:r>
    </w:p>
    <w:p w14:paraId="30BA06EE">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w:t>
      </w:r>
      <w:r>
        <w:rPr>
          <w:rFonts w:hint="eastAsia" w:ascii="华文仿宋" w:hAnsi="华文仿宋" w:eastAsia="华文仿宋" w:cs="华文仿宋"/>
          <w:color w:val="auto"/>
          <w:sz w:val="28"/>
          <w:szCs w:val="28"/>
          <w:lang w:val="en-US" w:eastAsia="zh-CN"/>
        </w:rPr>
        <w:t>十二</w:t>
      </w:r>
      <w:r>
        <w:rPr>
          <w:rFonts w:hint="eastAsia" w:ascii="华文仿宋" w:hAnsi="华文仿宋" w:eastAsia="华文仿宋" w:cs="华文仿宋"/>
          <w:color w:val="auto"/>
          <w:sz w:val="28"/>
          <w:szCs w:val="28"/>
        </w:rPr>
        <w:t>条  教工餐要求</w:t>
      </w:r>
    </w:p>
    <w:p w14:paraId="0F86E1B4">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1.甲方以提供的优惠条件要求乙方做好自助教工餐。自助教工餐菜品必须有鸡、鸭、鱼、兔、猪、牛羊肉、根茎、瓜果、豆制品、绿叶蔬菜等荤素菜合理搭配的新鲜食材。菜品基本配置：每餐 6荤6素、荤或素汤1道（变换使用）、生牛乳酸奶1盒（每人）或水果1个（每人）、米饭、粥、馒头，做到饭菜丰富、品种轮换（原则上每周菜品重复率不超过20%且每天要有1道主题菜品）、南北风味搭配；做好饭菜保温。价格为15元（甲方在编在岗教职工当天第一次只刷卡计次学校补贴15元给乙方，第二次刷卡为15元，甲方不再补贴；甲方外聘合同工及退休教职工当天第一次刷卡5元，甲方补贴10元给乙方，第二次刷卡为15元，甲方不再补贴）。乙方每周提前制订教工餐菜单，并提交采购审核，并于每周五前公布下周菜单。</w:t>
      </w:r>
    </w:p>
    <w:p w14:paraId="15A0D16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乙方采购原料须符合《食品安全法》及其实施条例规定，从正规固定进货渠道采购。主材选择必须为非转基因品牌植物油，品牌优质东北米、优质鲜肉（一级以上），鱼类菜品须用活鱼制作。所选主材需提供相关证明材料交甲方备案。</w:t>
      </w:r>
    </w:p>
    <w:p w14:paraId="39AC5CD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3.甲方将在成交乙方运行期间适时合理调整教工餐供应方式和考核方式，成交乙方须无条件配合。</w:t>
      </w:r>
    </w:p>
    <w:p w14:paraId="23161176">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4.甲方在勘察阶段提供一年的教工餐菜单供乙方查看，此菜单作为合同期内的教工餐，未经甲方书面同意，不得随意变更。如未查看视为认同此菜单。</w:t>
      </w:r>
    </w:p>
    <w:p w14:paraId="45350E89">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w:t>
      </w:r>
      <w:r>
        <w:rPr>
          <w:rFonts w:hint="eastAsia" w:ascii="华文仿宋" w:hAnsi="华文仿宋" w:eastAsia="华文仿宋" w:cs="华文仿宋"/>
          <w:color w:val="auto"/>
          <w:sz w:val="28"/>
          <w:szCs w:val="28"/>
          <w:lang w:val="en-US" w:eastAsia="zh-CN"/>
        </w:rPr>
        <w:t>三</w:t>
      </w:r>
      <w:r>
        <w:rPr>
          <w:rFonts w:hint="eastAsia" w:ascii="华文仿宋" w:hAnsi="华文仿宋" w:eastAsia="华文仿宋" w:cs="华文仿宋"/>
          <w:color w:val="auto"/>
          <w:sz w:val="28"/>
          <w:szCs w:val="28"/>
        </w:rPr>
        <w:t>条项目管理班子要求</w:t>
      </w:r>
    </w:p>
    <w:p w14:paraId="29B8C50B">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乙方为本项目配置科学合理的管理服务团队，并要求管理服务团队素质高、经验丰富、人员充足，管理服务制度健全。各食堂必须配备项目负责人、厨师、食品安全总监、消防安全人员各1名（该人员必须具备消防设施操作证），食品安全员各2名，提供项目管理班子所有成员及职务清单，加盖乙方公章（具体见附件项目全部人员组成表），项目负责人、厨师、食品安全总监、食品安全员必须持有市场监督管理局颁发的食品安全知识考试合格证书，且项目负责人、食品安全总监、食品安全员必须为投标单位员工（提供劳动合同和2025年1月至5月连续的养老保险证明复印件加盖乙方公章，原件现场备查）。本项目负责人应当具备国民教育专科及以上文化程度。实际到岗履职的项目管理班子成员应与投标文件中的一致，不得擅自更换。特殊情况经甲方书面同意，以上岗位人员方可调整。如未经甲方书面同意擅自更换人员，每擅自更换一次乙方需向甲方支付违约金50000元/人/次。如项目管理班子未按照要求配备配齐相应人员或未配备相应资格的人员视为违约，甲方扣罚乙方违约金10000元/人/次。</w:t>
      </w:r>
    </w:p>
    <w:p w14:paraId="4223C99F">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rPr>
      </w:pPr>
    </w:p>
    <w:p w14:paraId="411E977D">
      <w:pPr>
        <w:pageBreakBefore w:val="0"/>
        <w:widowControl w:val="0"/>
        <w:kinsoku/>
        <w:wordWrap/>
        <w:overflowPunct/>
        <w:topLinePunct w:val="0"/>
        <w:autoSpaceDE/>
        <w:autoSpaceDN/>
        <w:bidi w:val="0"/>
        <w:adjustRightInd/>
        <w:snapToGrid w:val="0"/>
        <w:spacing w:line="480" w:lineRule="exact"/>
        <w:ind w:firstLine="2242" w:firstLineChars="800"/>
        <w:textAlignment w:val="auto"/>
        <w:rPr>
          <w:rFonts w:hint="eastAsia" w:ascii="华文仿宋" w:hAnsi="华文仿宋" w:eastAsia="华文仿宋" w:cs="华文仿宋"/>
          <w:b/>
          <w:color w:val="auto"/>
          <w:sz w:val="28"/>
          <w:szCs w:val="28"/>
        </w:rPr>
      </w:pPr>
      <w:r>
        <w:rPr>
          <w:rFonts w:hint="eastAsia" w:ascii="华文仿宋" w:hAnsi="华文仿宋" w:eastAsia="华文仿宋" w:cs="华文仿宋"/>
          <w:b/>
          <w:color w:val="auto"/>
          <w:sz w:val="28"/>
          <w:szCs w:val="28"/>
        </w:rPr>
        <w:t>第</w:t>
      </w:r>
      <w:r>
        <w:rPr>
          <w:rFonts w:hint="eastAsia" w:ascii="华文仿宋" w:hAnsi="华文仿宋" w:eastAsia="华文仿宋" w:cs="华文仿宋"/>
          <w:b/>
          <w:color w:val="auto"/>
          <w:sz w:val="28"/>
          <w:szCs w:val="28"/>
          <w:lang w:val="en-US" w:eastAsia="zh-CN"/>
        </w:rPr>
        <w:t>四</w:t>
      </w:r>
      <w:r>
        <w:rPr>
          <w:rFonts w:hint="eastAsia" w:ascii="华文仿宋" w:hAnsi="华文仿宋" w:eastAsia="华文仿宋" w:cs="华文仿宋"/>
          <w:b/>
          <w:color w:val="auto"/>
          <w:sz w:val="28"/>
          <w:szCs w:val="28"/>
        </w:rPr>
        <w:t>部分  数智食堂建设要求</w:t>
      </w:r>
    </w:p>
    <w:p w14:paraId="6AFDC7A2">
      <w:pPr>
        <w:pageBreakBefore w:val="0"/>
        <w:widowControl w:val="0"/>
        <w:kinsoku/>
        <w:wordWrap/>
        <w:overflowPunct/>
        <w:topLinePunct w:val="0"/>
        <w:autoSpaceDE/>
        <w:autoSpaceDN/>
        <w:bidi w:val="0"/>
        <w:adjustRightInd/>
        <w:snapToGrid w:val="0"/>
        <w:spacing w:line="480" w:lineRule="exact"/>
        <w:ind w:firstLine="561" w:firstLineChars="200"/>
        <w:textAlignment w:val="auto"/>
        <w:rPr>
          <w:rFonts w:hint="eastAsia" w:ascii="华文仿宋" w:hAnsi="华文仿宋" w:eastAsia="华文仿宋" w:cs="华文仿宋"/>
          <w:b/>
          <w:color w:val="auto"/>
          <w:sz w:val="28"/>
          <w:szCs w:val="28"/>
        </w:rPr>
      </w:pPr>
      <w:bookmarkStart w:id="193" w:name="OLE_LINK48"/>
      <w:r>
        <w:rPr>
          <w:rFonts w:hint="eastAsia" w:ascii="华文仿宋" w:hAnsi="华文仿宋" w:eastAsia="华文仿宋" w:cs="华文仿宋"/>
          <w:b/>
          <w:color w:val="auto"/>
          <w:sz w:val="28"/>
          <w:szCs w:val="28"/>
        </w:rPr>
        <w:t>第十</w:t>
      </w:r>
      <w:r>
        <w:rPr>
          <w:rFonts w:hint="eastAsia" w:ascii="华文仿宋" w:hAnsi="华文仿宋" w:eastAsia="华文仿宋" w:cs="华文仿宋"/>
          <w:b/>
          <w:color w:val="auto"/>
          <w:sz w:val="28"/>
          <w:szCs w:val="28"/>
          <w:lang w:val="en-US" w:eastAsia="zh-CN"/>
        </w:rPr>
        <w:t>四</w:t>
      </w:r>
      <w:r>
        <w:rPr>
          <w:rFonts w:hint="eastAsia" w:ascii="华文仿宋" w:hAnsi="华文仿宋" w:eastAsia="华文仿宋" w:cs="华文仿宋"/>
          <w:b/>
          <w:color w:val="auto"/>
          <w:sz w:val="28"/>
          <w:szCs w:val="28"/>
        </w:rPr>
        <w:t>条</w:t>
      </w:r>
      <w:bookmarkStart w:id="194" w:name="OLE_LINK39"/>
      <w:r>
        <w:rPr>
          <w:rFonts w:hint="eastAsia" w:ascii="华文仿宋" w:hAnsi="华文仿宋" w:eastAsia="华文仿宋" w:cs="华文仿宋"/>
          <w:b/>
          <w:color w:val="auto"/>
          <w:sz w:val="28"/>
          <w:szCs w:val="28"/>
          <w:lang w:val="en-US" w:eastAsia="zh-CN"/>
        </w:rPr>
        <w:t xml:space="preserve"> </w:t>
      </w:r>
      <w:r>
        <w:rPr>
          <w:rFonts w:hint="eastAsia" w:ascii="华文仿宋" w:hAnsi="华文仿宋" w:eastAsia="华文仿宋" w:cs="华文仿宋"/>
          <w:b/>
          <w:color w:val="auto"/>
          <w:sz w:val="28"/>
          <w:szCs w:val="28"/>
        </w:rPr>
        <w:t>数智食堂总体要求</w:t>
      </w:r>
      <w:bookmarkEnd w:id="194"/>
    </w:p>
    <w:bookmarkEnd w:id="193"/>
    <w:p w14:paraId="2F8F9428">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项目实施后，须实现以下四个方面的管理及功能：一是视频监控管理，实时了解后厨动态，实现全流程记录，大厅屏幕实时播放，引导公众直接参与食安监督，提升保障食堂工作人员的自律意识，监管系统实现全覆盖，需接入学校视频监控系统；二是通过智能物联硬件设备+食安管控平台，对食堂进行全面的监管，及时发现违规异常情况，发出预警，从多方面保障校园食品安全，智能物联硬件设备包含智能晨检门禁、智能留样秤、智能留样冰箱、动火离人摄像头、AI行为分析摄像头、AI鼠患识别、食安服务终端、仓库物联监管系统、紫外消毒管理系统、餐具消毒系统、冷库监管、水电能耗监管、客流量智能人员统计摄像头、农残检测、重金属检测和智能溯源秤、陌生人识别摄像机等；三是食堂数据化管理，提高管理层的工作效率，包含食堂数据驾驶舱和后勤监管平台数据屏等；四是后勤监管数智化升级，实现师生满意度管理、菜品菜价审核、菜品溯源监管、数字化巡检和合同考核、处罚管理等。</w:t>
      </w:r>
    </w:p>
    <w:p w14:paraId="1C935D2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b/>
          <w:color w:val="auto"/>
          <w:sz w:val="28"/>
          <w:szCs w:val="28"/>
          <w:u w:val="single"/>
          <w:lang w:eastAsia="zh-CN"/>
        </w:rPr>
      </w:pPr>
      <w:r>
        <w:rPr>
          <w:rFonts w:hint="eastAsia" w:ascii="华文仿宋" w:hAnsi="华文仿宋" w:eastAsia="华文仿宋" w:cs="华文仿宋"/>
          <w:color w:val="auto"/>
          <w:sz w:val="28"/>
          <w:szCs w:val="28"/>
          <w:u w:val="single"/>
        </w:rPr>
        <w:t>第十</w:t>
      </w:r>
      <w:r>
        <w:rPr>
          <w:rFonts w:hint="eastAsia" w:ascii="华文仿宋" w:hAnsi="华文仿宋" w:eastAsia="华文仿宋" w:cs="华文仿宋"/>
          <w:color w:val="auto"/>
          <w:sz w:val="28"/>
          <w:szCs w:val="28"/>
          <w:u w:val="single"/>
          <w:lang w:val="en-US" w:eastAsia="zh-CN"/>
        </w:rPr>
        <w:t>五</w:t>
      </w:r>
      <w:r>
        <w:rPr>
          <w:rFonts w:hint="eastAsia" w:ascii="华文仿宋" w:hAnsi="华文仿宋" w:eastAsia="华文仿宋" w:cs="华文仿宋"/>
          <w:color w:val="auto"/>
          <w:sz w:val="28"/>
          <w:szCs w:val="28"/>
          <w:u w:val="single"/>
        </w:rPr>
        <w:t>条 数智食堂”数智化设备建设要求</w:t>
      </w:r>
      <w:r>
        <w:rPr>
          <w:rFonts w:hint="eastAsia" w:ascii="华文仿宋" w:hAnsi="华文仿宋" w:eastAsia="华文仿宋" w:cs="华文仿宋"/>
          <w:b/>
          <w:color w:val="auto"/>
          <w:sz w:val="28"/>
          <w:szCs w:val="28"/>
          <w:u w:val="single"/>
          <w:lang w:eastAsia="zh-CN"/>
        </w:rPr>
        <w:t>（</w:t>
      </w:r>
      <w:r>
        <w:rPr>
          <w:rFonts w:hint="eastAsia" w:ascii="华文仿宋" w:hAnsi="华文仿宋" w:eastAsia="华文仿宋" w:cs="华文仿宋"/>
          <w:b/>
          <w:color w:val="auto"/>
          <w:sz w:val="28"/>
          <w:szCs w:val="28"/>
          <w:u w:val="single"/>
          <w:lang w:val="en-US" w:eastAsia="zh-CN"/>
        </w:rPr>
        <w:t>详见附件二</w:t>
      </w:r>
      <w:r>
        <w:rPr>
          <w:rFonts w:hint="eastAsia" w:ascii="华文仿宋" w:hAnsi="华文仿宋" w:eastAsia="华文仿宋" w:cs="华文仿宋"/>
          <w:b/>
          <w:color w:val="auto"/>
          <w:sz w:val="28"/>
          <w:szCs w:val="28"/>
          <w:u w:val="single"/>
          <w:lang w:eastAsia="zh-CN"/>
        </w:rPr>
        <w:t>）</w:t>
      </w:r>
    </w:p>
    <w:p w14:paraId="7443902A">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b/>
          <w:color w:val="auto"/>
          <w:sz w:val="28"/>
          <w:szCs w:val="28"/>
        </w:rPr>
      </w:pPr>
    </w:p>
    <w:p w14:paraId="4A7C571D">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b/>
          <w:color w:val="auto"/>
          <w:sz w:val="28"/>
          <w:szCs w:val="28"/>
        </w:rPr>
      </w:pPr>
      <w:r>
        <w:rPr>
          <w:rFonts w:hint="eastAsia" w:ascii="华文仿宋" w:hAnsi="华文仿宋" w:eastAsia="华文仿宋" w:cs="华文仿宋"/>
          <w:b/>
          <w:color w:val="auto"/>
          <w:sz w:val="28"/>
          <w:szCs w:val="28"/>
        </w:rPr>
        <w:t>第</w:t>
      </w:r>
      <w:r>
        <w:rPr>
          <w:rFonts w:hint="eastAsia" w:ascii="华文仿宋" w:hAnsi="华文仿宋" w:eastAsia="华文仿宋" w:cs="华文仿宋"/>
          <w:b/>
          <w:color w:val="auto"/>
          <w:sz w:val="28"/>
          <w:szCs w:val="28"/>
          <w:lang w:val="en-US" w:eastAsia="zh-CN"/>
        </w:rPr>
        <w:t>五</w:t>
      </w:r>
      <w:r>
        <w:rPr>
          <w:rFonts w:hint="eastAsia" w:ascii="华文仿宋" w:hAnsi="华文仿宋" w:eastAsia="华文仿宋" w:cs="华文仿宋"/>
          <w:b/>
          <w:color w:val="auto"/>
          <w:sz w:val="28"/>
          <w:szCs w:val="28"/>
        </w:rPr>
        <w:t>部分 服务考核</w:t>
      </w:r>
    </w:p>
    <w:p w14:paraId="42FBAC43">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第十</w:t>
      </w:r>
      <w:r>
        <w:rPr>
          <w:rFonts w:hint="eastAsia" w:ascii="华文仿宋" w:hAnsi="华文仿宋" w:eastAsia="华文仿宋" w:cs="华文仿宋"/>
          <w:color w:val="auto"/>
          <w:sz w:val="28"/>
          <w:szCs w:val="28"/>
          <w:lang w:val="en-US" w:eastAsia="zh-CN"/>
        </w:rPr>
        <w:t>六</w:t>
      </w:r>
      <w:r>
        <w:rPr>
          <w:rFonts w:hint="eastAsia" w:ascii="华文仿宋" w:hAnsi="华文仿宋" w:eastAsia="华文仿宋" w:cs="华文仿宋"/>
          <w:color w:val="auto"/>
          <w:sz w:val="28"/>
          <w:szCs w:val="28"/>
        </w:rPr>
        <w:t>条 服务考核</w:t>
      </w:r>
    </w:p>
    <w:p w14:paraId="346CEC8F">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为调动</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经营积极性，确保师生餐饮的品质和质量，</w:t>
      </w:r>
      <w:r>
        <w:rPr>
          <w:rFonts w:hint="eastAsia" w:ascii="华文仿宋" w:hAnsi="华文仿宋" w:eastAsia="华文仿宋" w:cs="华文仿宋"/>
          <w:color w:val="auto"/>
          <w:sz w:val="28"/>
          <w:szCs w:val="28"/>
          <w:lang w:val="en-US" w:eastAsia="zh-CN"/>
        </w:rPr>
        <w:t>甲方</w:t>
      </w:r>
      <w:r>
        <w:rPr>
          <w:rFonts w:hint="eastAsia" w:ascii="华文仿宋" w:hAnsi="华文仿宋" w:eastAsia="华文仿宋" w:cs="华文仿宋"/>
          <w:color w:val="auto"/>
          <w:sz w:val="28"/>
          <w:szCs w:val="28"/>
        </w:rPr>
        <w:t>按照</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 xml:space="preserve">投标承诺收取考核费，采取学期考核和日常考核相结合的方式建立考核机制，根据考核结果实施奖惩。 </w:t>
      </w:r>
    </w:p>
    <w:p w14:paraId="310BB542">
      <w:pPr>
        <w:pStyle w:val="22"/>
        <w:pageBreakBefore w:val="0"/>
        <w:widowControl w:val="0"/>
        <w:numPr>
          <w:ilvl w:val="0"/>
          <w:numId w:val="200"/>
        </w:numPr>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kern w:val="2"/>
          <w:sz w:val="28"/>
          <w:szCs w:val="28"/>
          <w:lang w:val="en-US" w:eastAsia="zh-CN" w:bidi="ar-SA"/>
        </w:rPr>
      </w:pPr>
      <w:r>
        <w:rPr>
          <w:rFonts w:hint="eastAsia" w:ascii="华文仿宋" w:hAnsi="华文仿宋" w:eastAsia="华文仿宋" w:cs="华文仿宋"/>
          <w:color w:val="auto"/>
          <w:kern w:val="2"/>
          <w:sz w:val="28"/>
          <w:szCs w:val="28"/>
          <w:lang w:val="en-US" w:eastAsia="zh-CN" w:bidi="ar-SA"/>
        </w:rPr>
        <w:t>日常考核</w:t>
      </w:r>
    </w:p>
    <w:p w14:paraId="06DC3A82">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kern w:val="2"/>
          <w:sz w:val="28"/>
          <w:szCs w:val="28"/>
          <w:lang w:val="en-US" w:eastAsia="zh-CN" w:bidi="ar-SA"/>
        </w:rPr>
      </w:pPr>
      <w:r>
        <w:rPr>
          <w:rFonts w:hint="eastAsia" w:ascii="华文仿宋" w:hAnsi="华文仿宋" w:eastAsia="华文仿宋" w:cs="华文仿宋"/>
          <w:color w:val="auto"/>
          <w:kern w:val="2"/>
          <w:sz w:val="28"/>
          <w:szCs w:val="28"/>
          <w:lang w:val="en-US" w:eastAsia="zh-CN" w:bidi="ar-SA"/>
        </w:rPr>
        <w:t>按《重庆文理学院学生食堂委托经营管理日常考核实施细则》执行（见附件一）。</w:t>
      </w:r>
    </w:p>
    <w:p w14:paraId="21A72AE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kern w:val="2"/>
          <w:sz w:val="28"/>
          <w:szCs w:val="28"/>
          <w:lang w:val="en-US" w:eastAsia="zh-CN" w:bidi="ar-SA"/>
        </w:rPr>
      </w:pPr>
      <w:r>
        <w:rPr>
          <w:rFonts w:hint="eastAsia" w:ascii="华文仿宋" w:hAnsi="华文仿宋" w:eastAsia="华文仿宋" w:cs="华文仿宋"/>
          <w:color w:val="auto"/>
          <w:kern w:val="2"/>
          <w:sz w:val="28"/>
          <w:szCs w:val="28"/>
          <w:lang w:val="en-US" w:eastAsia="zh-CN" w:bidi="ar-SA"/>
        </w:rPr>
        <w:t>1.甲方可根据实际情况对日常考核实施细则进行修订，乙方须按修订后的办法执行。</w:t>
      </w:r>
    </w:p>
    <w:p w14:paraId="60EEF7F4">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kern w:val="2"/>
          <w:sz w:val="28"/>
          <w:szCs w:val="28"/>
          <w:lang w:val="en-US" w:eastAsia="zh-CN" w:bidi="ar-SA"/>
        </w:rPr>
      </w:pPr>
      <w:r>
        <w:rPr>
          <w:rFonts w:hint="eastAsia" w:ascii="华文仿宋" w:hAnsi="华文仿宋" w:eastAsia="华文仿宋" w:cs="华文仿宋"/>
          <w:color w:val="auto"/>
          <w:kern w:val="2"/>
          <w:sz w:val="28"/>
          <w:szCs w:val="28"/>
          <w:lang w:val="en-US" w:eastAsia="zh-CN" w:bidi="ar-SA"/>
        </w:rPr>
        <w:t>2.上述违约金均从乙方最近一次营业款中扣除并按甲方要求及时整改。</w:t>
      </w:r>
    </w:p>
    <w:p w14:paraId="02E01A32">
      <w:pPr>
        <w:pStyle w:val="22"/>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kern w:val="2"/>
          <w:sz w:val="28"/>
          <w:szCs w:val="28"/>
          <w:lang w:val="en-US" w:eastAsia="zh-CN" w:bidi="ar-SA"/>
        </w:rPr>
      </w:pPr>
      <w:r>
        <w:rPr>
          <w:rFonts w:hint="eastAsia" w:ascii="华文仿宋" w:hAnsi="华文仿宋" w:eastAsia="华文仿宋" w:cs="华文仿宋"/>
          <w:color w:val="auto"/>
          <w:kern w:val="2"/>
          <w:sz w:val="28"/>
          <w:szCs w:val="28"/>
          <w:lang w:val="en-US" w:eastAsia="zh-CN" w:bidi="ar-SA"/>
        </w:rPr>
        <w:t>（二）学期考核</w:t>
      </w:r>
    </w:p>
    <w:p w14:paraId="3C3E5DF6">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kern w:val="2"/>
          <w:sz w:val="28"/>
          <w:szCs w:val="28"/>
          <w:lang w:val="en-US" w:eastAsia="zh-CN" w:bidi="ar-SA"/>
        </w:rPr>
      </w:pPr>
      <w:r>
        <w:rPr>
          <w:rFonts w:hint="eastAsia" w:ascii="华文仿宋" w:hAnsi="华文仿宋" w:eastAsia="华文仿宋" w:cs="华文仿宋"/>
          <w:color w:val="auto"/>
          <w:kern w:val="2"/>
          <w:sz w:val="28"/>
          <w:szCs w:val="28"/>
          <w:lang w:val="en-US" w:eastAsia="zh-CN" w:bidi="ar-SA"/>
        </w:rPr>
        <w:t>甲方每学期在食堂内线下组织一次满意度测评，填写“餐饮服务满意度测评表”（见下表），每个项目参加测评人数不低于200人：</w:t>
      </w:r>
    </w:p>
    <w:p w14:paraId="1F34F6AD">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kern w:val="2"/>
          <w:sz w:val="28"/>
          <w:szCs w:val="28"/>
          <w:lang w:val="en-US" w:eastAsia="zh-CN" w:bidi="ar-SA"/>
        </w:rPr>
      </w:pPr>
      <w:r>
        <w:rPr>
          <w:rFonts w:hint="eastAsia" w:ascii="华文仿宋" w:hAnsi="华文仿宋" w:eastAsia="华文仿宋" w:cs="华文仿宋"/>
          <w:color w:val="auto"/>
          <w:kern w:val="2"/>
          <w:sz w:val="28"/>
          <w:szCs w:val="28"/>
          <w:lang w:val="en-US" w:eastAsia="zh-CN" w:bidi="ar-SA"/>
        </w:rPr>
        <w:t>餐饮服务学期满意度测评表（100分，得分保留一位小数）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87"/>
        <w:gridCol w:w="727"/>
        <w:gridCol w:w="917"/>
        <w:gridCol w:w="927"/>
        <w:gridCol w:w="953"/>
        <w:gridCol w:w="950"/>
        <w:gridCol w:w="912"/>
        <w:gridCol w:w="865"/>
        <w:gridCol w:w="1199"/>
      </w:tblGrid>
      <w:tr w14:paraId="6D91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54" w:type="dxa"/>
            <w:noWrap w:val="0"/>
            <w:vAlign w:val="center"/>
          </w:tcPr>
          <w:p w14:paraId="55C9C75B">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项目</w:t>
            </w:r>
          </w:p>
        </w:tc>
        <w:tc>
          <w:tcPr>
            <w:tcW w:w="887" w:type="dxa"/>
            <w:noWrap w:val="0"/>
            <w:vAlign w:val="center"/>
          </w:tcPr>
          <w:p w14:paraId="4E4706CF">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就餐环境</w:t>
            </w:r>
          </w:p>
        </w:tc>
        <w:tc>
          <w:tcPr>
            <w:tcW w:w="727" w:type="dxa"/>
            <w:noWrap w:val="0"/>
            <w:vAlign w:val="center"/>
          </w:tcPr>
          <w:p w14:paraId="1D2BE34D">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食堂卫生</w:t>
            </w:r>
          </w:p>
        </w:tc>
        <w:tc>
          <w:tcPr>
            <w:tcW w:w="917" w:type="dxa"/>
            <w:noWrap w:val="0"/>
            <w:vAlign w:val="center"/>
          </w:tcPr>
          <w:p w14:paraId="7B415B1D">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餐具清洁</w:t>
            </w:r>
          </w:p>
        </w:tc>
        <w:tc>
          <w:tcPr>
            <w:tcW w:w="927" w:type="dxa"/>
            <w:noWrap w:val="0"/>
            <w:vAlign w:val="center"/>
          </w:tcPr>
          <w:p w14:paraId="516AD5EA">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菜品</w:t>
            </w:r>
          </w:p>
          <w:p w14:paraId="6D1283E1">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味道</w:t>
            </w:r>
          </w:p>
        </w:tc>
        <w:tc>
          <w:tcPr>
            <w:tcW w:w="953" w:type="dxa"/>
            <w:noWrap w:val="0"/>
            <w:vAlign w:val="center"/>
          </w:tcPr>
          <w:p w14:paraId="341474A5">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菜品</w:t>
            </w:r>
          </w:p>
          <w:p w14:paraId="71D4363C">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变化</w:t>
            </w:r>
          </w:p>
        </w:tc>
        <w:tc>
          <w:tcPr>
            <w:tcW w:w="950" w:type="dxa"/>
            <w:noWrap w:val="0"/>
            <w:vAlign w:val="center"/>
          </w:tcPr>
          <w:p w14:paraId="73F1F454">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菜品</w:t>
            </w:r>
          </w:p>
          <w:p w14:paraId="4952A83A">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质量</w:t>
            </w:r>
          </w:p>
        </w:tc>
        <w:tc>
          <w:tcPr>
            <w:tcW w:w="912" w:type="dxa"/>
            <w:noWrap w:val="0"/>
            <w:vAlign w:val="center"/>
          </w:tcPr>
          <w:p w14:paraId="582676C0">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服务</w:t>
            </w:r>
          </w:p>
          <w:p w14:paraId="70FB7364">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态度</w:t>
            </w:r>
          </w:p>
        </w:tc>
        <w:tc>
          <w:tcPr>
            <w:tcW w:w="865" w:type="dxa"/>
            <w:noWrap w:val="0"/>
            <w:vAlign w:val="center"/>
          </w:tcPr>
          <w:p w14:paraId="147A2BB3">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米饭品质</w:t>
            </w:r>
          </w:p>
        </w:tc>
        <w:tc>
          <w:tcPr>
            <w:tcW w:w="1199" w:type="dxa"/>
            <w:noWrap w:val="0"/>
            <w:vAlign w:val="center"/>
          </w:tcPr>
          <w:p w14:paraId="2C782A35">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得分</w:t>
            </w:r>
          </w:p>
        </w:tc>
      </w:tr>
      <w:tr w14:paraId="79B3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14:paraId="51FE6A50">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分值</w:t>
            </w:r>
          </w:p>
        </w:tc>
        <w:tc>
          <w:tcPr>
            <w:tcW w:w="887" w:type="dxa"/>
            <w:noWrap w:val="0"/>
            <w:vAlign w:val="center"/>
          </w:tcPr>
          <w:p w14:paraId="5121F498">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10</w:t>
            </w:r>
          </w:p>
        </w:tc>
        <w:tc>
          <w:tcPr>
            <w:tcW w:w="727" w:type="dxa"/>
            <w:noWrap w:val="0"/>
            <w:vAlign w:val="center"/>
          </w:tcPr>
          <w:p w14:paraId="09BE8903">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10</w:t>
            </w:r>
          </w:p>
        </w:tc>
        <w:tc>
          <w:tcPr>
            <w:tcW w:w="917" w:type="dxa"/>
            <w:noWrap w:val="0"/>
            <w:vAlign w:val="center"/>
          </w:tcPr>
          <w:p w14:paraId="49982809">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10</w:t>
            </w:r>
          </w:p>
        </w:tc>
        <w:tc>
          <w:tcPr>
            <w:tcW w:w="927" w:type="dxa"/>
            <w:noWrap w:val="0"/>
            <w:vAlign w:val="center"/>
          </w:tcPr>
          <w:p w14:paraId="5F76E2E0">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10</w:t>
            </w:r>
          </w:p>
        </w:tc>
        <w:tc>
          <w:tcPr>
            <w:tcW w:w="953" w:type="dxa"/>
            <w:noWrap w:val="0"/>
            <w:vAlign w:val="center"/>
          </w:tcPr>
          <w:p w14:paraId="7EC6FCEB">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10</w:t>
            </w:r>
          </w:p>
        </w:tc>
        <w:tc>
          <w:tcPr>
            <w:tcW w:w="950" w:type="dxa"/>
            <w:noWrap w:val="0"/>
            <w:vAlign w:val="center"/>
          </w:tcPr>
          <w:p w14:paraId="66689B3A">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20</w:t>
            </w:r>
          </w:p>
        </w:tc>
        <w:tc>
          <w:tcPr>
            <w:tcW w:w="912" w:type="dxa"/>
            <w:noWrap w:val="0"/>
            <w:vAlign w:val="center"/>
          </w:tcPr>
          <w:p w14:paraId="28F035A1">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20</w:t>
            </w:r>
          </w:p>
        </w:tc>
        <w:tc>
          <w:tcPr>
            <w:tcW w:w="865" w:type="dxa"/>
            <w:noWrap w:val="0"/>
            <w:vAlign w:val="center"/>
          </w:tcPr>
          <w:p w14:paraId="56C21501">
            <w:pPr>
              <w:pageBreakBefore w:val="0"/>
              <w:widowControl w:val="0"/>
              <w:kinsoku/>
              <w:wordWrap/>
              <w:overflowPunct/>
              <w:topLinePunct w:val="0"/>
              <w:autoSpaceDE/>
              <w:autoSpaceDN/>
              <w:bidi w:val="0"/>
              <w:adjustRightInd/>
              <w:spacing w:line="480" w:lineRule="exact"/>
              <w:jc w:val="center"/>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10</w:t>
            </w:r>
          </w:p>
        </w:tc>
        <w:tc>
          <w:tcPr>
            <w:tcW w:w="1199" w:type="dxa"/>
            <w:noWrap w:val="0"/>
            <w:vAlign w:val="center"/>
          </w:tcPr>
          <w:p w14:paraId="5868F1F1">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p>
        </w:tc>
      </w:tr>
      <w:tr w14:paraId="236E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noWrap w:val="0"/>
            <w:vAlign w:val="center"/>
          </w:tcPr>
          <w:p w14:paraId="3EE62EB9">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意见</w:t>
            </w:r>
          </w:p>
        </w:tc>
        <w:tc>
          <w:tcPr>
            <w:tcW w:w="8337" w:type="dxa"/>
            <w:gridSpan w:val="9"/>
            <w:noWrap w:val="0"/>
            <w:vAlign w:val="top"/>
          </w:tcPr>
          <w:p w14:paraId="74DEFBB1">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p>
        </w:tc>
      </w:tr>
    </w:tbl>
    <w:p w14:paraId="2E138BB7">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备注：1、学期满意度测评与日常考核相结合，发生较大消防安全事故、食品卫生安全事故、员工群体性事件等对</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造成重大负面影响的事件，学期考核直接为不合格。</w:t>
      </w:r>
    </w:p>
    <w:p w14:paraId="0BB296A7">
      <w:pPr>
        <w:pageBreakBefore w:val="0"/>
        <w:widowControl w:val="0"/>
        <w:numPr>
          <w:ilvl w:val="0"/>
          <w:numId w:val="198"/>
        </w:numPr>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rPr>
        <w:t>学期满意度测评成绩与日常考核相结合，</w:t>
      </w:r>
      <w:r>
        <w:rPr>
          <w:rFonts w:hint="eastAsia" w:ascii="华文仿宋" w:hAnsi="华文仿宋" w:eastAsia="华文仿宋" w:cs="华文仿宋"/>
          <w:color w:val="auto"/>
          <w:sz w:val="28"/>
          <w:szCs w:val="28"/>
          <w:u w:val="single"/>
        </w:rPr>
        <w:t>学期满意度测评成绩=餐饮服务学期满意度测评*40%，日常考核成绩=（100-学期日常考核扣分）*60%，</w:t>
      </w:r>
      <w:r>
        <w:rPr>
          <w:rFonts w:hint="eastAsia" w:ascii="华文仿宋" w:hAnsi="华文仿宋" w:eastAsia="华文仿宋" w:cs="华文仿宋"/>
          <w:color w:val="auto"/>
          <w:sz w:val="28"/>
          <w:szCs w:val="28"/>
        </w:rPr>
        <w:t>除发生备注第1条外，</w:t>
      </w:r>
      <w:r>
        <w:rPr>
          <w:rFonts w:hint="eastAsia" w:ascii="华文仿宋" w:hAnsi="华文仿宋" w:eastAsia="华文仿宋" w:cs="华文仿宋"/>
          <w:color w:val="auto"/>
          <w:sz w:val="28"/>
          <w:szCs w:val="28"/>
          <w:u w:val="single"/>
        </w:rPr>
        <w:t>学期考核成绩=学期满意度测评成绩+日常考核成绩。</w:t>
      </w:r>
    </w:p>
    <w:p w14:paraId="4B48638E">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3.以上测评表，</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每学期可以根据上级机关和学校管理要求，结合实际情况对测评项目及细则予以调整。</w:t>
      </w:r>
    </w:p>
    <w:p w14:paraId="2F878AC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（三）考核结果运用</w:t>
      </w:r>
    </w:p>
    <w:p w14:paraId="4FB96663">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华文仿宋" w:hAnsi="华文仿宋" w:eastAsia="华文仿宋" w:cs="华文仿宋"/>
          <w:b/>
          <w:bCs/>
          <w:color w:val="auto"/>
          <w:sz w:val="28"/>
          <w:szCs w:val="28"/>
        </w:rPr>
      </w:pPr>
      <w:r>
        <w:rPr>
          <w:rFonts w:hint="eastAsia" w:ascii="华文仿宋" w:hAnsi="华文仿宋" w:eastAsia="华文仿宋" w:cs="华文仿宋"/>
          <w:color w:val="auto"/>
          <w:sz w:val="28"/>
          <w:szCs w:val="28"/>
        </w:rPr>
        <w:t>学期考核成绩≥95分为非常优秀，全额返还当学期所提取考核费；95分＞学期考核成绩≥90分为基本优秀，返还当学期所提取考核费50%；90分＞学期考核成绩≥85分为良好，返还当学期所提取考核费40%； 85分＞学期考核成绩≥80分为合格，返还当学期所提取考核费30%；80分＞学期考核成绩≥70分为合格，不返还当学期所提取考核费；学期考核成绩&lt;70分为不合格，</w:t>
      </w:r>
      <w:r>
        <w:rPr>
          <w:rFonts w:hint="eastAsia" w:ascii="华文仿宋" w:hAnsi="华文仿宋" w:eastAsia="华文仿宋" w:cs="华文仿宋"/>
          <w:color w:val="auto"/>
          <w:sz w:val="28"/>
          <w:szCs w:val="28"/>
          <w:lang w:val="zh-CN"/>
        </w:rPr>
        <w:t>对其诫勉谈话，</w:t>
      </w:r>
      <w:r>
        <w:rPr>
          <w:rFonts w:hint="eastAsia" w:ascii="华文仿宋" w:hAnsi="华文仿宋" w:eastAsia="华文仿宋" w:cs="华文仿宋"/>
          <w:color w:val="auto"/>
          <w:sz w:val="28"/>
          <w:szCs w:val="28"/>
        </w:rPr>
        <w:t>按合同违约处理，</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须向</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支付违约金200000元，且下一个考核期每月营业款再原有考核费提取的基础上再增加1%提取每月考核费，出现一切经济和法律责任由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自行承担，</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不承担任何责任和做任何补偿。未返还完的考核费用于</w:t>
      </w:r>
      <w:r>
        <w:rPr>
          <w:rFonts w:hint="eastAsia" w:ascii="华文仿宋" w:hAnsi="华文仿宋" w:eastAsia="华文仿宋" w:cs="华文仿宋"/>
          <w:color w:val="auto"/>
          <w:sz w:val="28"/>
          <w:szCs w:val="28"/>
          <w:lang w:val="en-US" w:eastAsia="zh-CN"/>
        </w:rPr>
        <w:t>甲方</w:t>
      </w:r>
      <w:r>
        <w:rPr>
          <w:rFonts w:hint="eastAsia" w:ascii="华文仿宋" w:hAnsi="华文仿宋" w:eastAsia="华文仿宋" w:cs="华文仿宋"/>
          <w:color w:val="auto"/>
          <w:sz w:val="28"/>
          <w:szCs w:val="28"/>
        </w:rPr>
        <w:t>学生奖助贷、合理承担食堂在编在岗监管人员的薪资、食品安全管理及学生活动等公益性支出，惠及全校学生。</w:t>
      </w:r>
    </w:p>
    <w:p w14:paraId="5F80B3DC">
      <w:pPr>
        <w:pageBreakBefore w:val="0"/>
        <w:widowControl w:val="0"/>
        <w:kinsoku/>
        <w:wordWrap/>
        <w:overflowPunct/>
        <w:topLinePunct w:val="0"/>
        <w:autoSpaceDE/>
        <w:autoSpaceDN/>
        <w:bidi w:val="0"/>
        <w:adjustRightInd/>
        <w:snapToGrid w:val="0"/>
        <w:spacing w:line="480" w:lineRule="exact"/>
        <w:jc w:val="center"/>
        <w:textAlignment w:val="auto"/>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第</w:t>
      </w:r>
      <w:r>
        <w:rPr>
          <w:rFonts w:hint="eastAsia" w:ascii="华文仿宋" w:hAnsi="华文仿宋" w:eastAsia="华文仿宋" w:cs="华文仿宋"/>
          <w:b/>
          <w:bCs/>
          <w:color w:val="auto"/>
          <w:sz w:val="28"/>
          <w:szCs w:val="28"/>
          <w:lang w:val="en-US" w:eastAsia="zh-CN"/>
        </w:rPr>
        <w:t>六</w:t>
      </w:r>
      <w:r>
        <w:rPr>
          <w:rFonts w:hint="eastAsia" w:ascii="华文仿宋" w:hAnsi="华文仿宋" w:eastAsia="华文仿宋" w:cs="华文仿宋"/>
          <w:b/>
          <w:bCs/>
          <w:color w:val="auto"/>
          <w:sz w:val="28"/>
          <w:szCs w:val="28"/>
        </w:rPr>
        <w:t>部分 违约责任</w:t>
      </w:r>
    </w:p>
    <w:p w14:paraId="46E68D04">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第十七条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提供的服务质量、服务标准不符合采购文件及合同要求的、或履约过程中有违约行为的，</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保留追究由此给</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造成损失责任的权力。</w:t>
      </w:r>
    </w:p>
    <w:p w14:paraId="0CB0B879">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第十八条 </w:t>
      </w:r>
      <w:r>
        <w:rPr>
          <w:rFonts w:hint="eastAsia" w:ascii="华文仿宋" w:hAnsi="华文仿宋" w:eastAsia="华文仿宋" w:cs="华文仿宋"/>
          <w:color w:val="auto"/>
          <w:sz w:val="28"/>
          <w:szCs w:val="28"/>
        </w:rPr>
        <w:t>本项目一律为一卡通刷卡消费的方式结算，新增</w:t>
      </w:r>
      <w:r>
        <w:rPr>
          <w:rFonts w:hint="eastAsia" w:ascii="华文仿宋" w:hAnsi="华文仿宋" w:eastAsia="华文仿宋" w:cs="华文仿宋"/>
          <w:bCs/>
          <w:color w:val="auto"/>
          <w:sz w:val="28"/>
          <w:szCs w:val="28"/>
        </w:rPr>
        <w:t>校园一卡通设备购置和安装费由成交供应商承担，</w:t>
      </w:r>
      <w:r>
        <w:rPr>
          <w:rFonts w:hint="eastAsia" w:ascii="华文仿宋" w:hAnsi="华文仿宋" w:eastAsia="华文仿宋" w:cs="华文仿宋"/>
          <w:color w:val="auto"/>
          <w:sz w:val="28"/>
          <w:szCs w:val="28"/>
        </w:rPr>
        <w:t>不得以任何非一卡通方式进行交易，否则经查实后</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向</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每次支付违约金20000元，若当月发现三次以上（含本数）违规交易的情况，按当月营业额的20%支付违约金，一年累计发现5次及以上，</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有权解除合同。</w:t>
      </w:r>
    </w:p>
    <w:p w14:paraId="062A912F">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第十九条 </w:t>
      </w:r>
      <w:r>
        <w:rPr>
          <w:rFonts w:hint="eastAsia" w:ascii="华文仿宋" w:hAnsi="华文仿宋" w:eastAsia="华文仿宋" w:cs="华文仿宋"/>
          <w:color w:val="auto"/>
          <w:sz w:val="28"/>
          <w:szCs w:val="28"/>
        </w:rPr>
        <w:t>除不可抗力或</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书面同意外，</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在经营过程中不得以任何理由擅自停止供餐，否则每次按每档口支付违约金20000元。</w:t>
      </w:r>
    </w:p>
    <w:p w14:paraId="45A4AA5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第二十条 </w:t>
      </w:r>
      <w:r>
        <w:rPr>
          <w:rFonts w:hint="eastAsia" w:ascii="华文仿宋" w:hAnsi="华文仿宋" w:eastAsia="华文仿宋" w:cs="华文仿宋"/>
          <w:color w:val="auto"/>
          <w:sz w:val="28"/>
          <w:szCs w:val="28"/>
        </w:rPr>
        <w:t>若</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擅自变更食品售价，则按每个品种支付违约金5000元/次。</w:t>
      </w:r>
    </w:p>
    <w:p w14:paraId="44BB30E8">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第二十一条 </w:t>
      </w:r>
      <w:r>
        <w:rPr>
          <w:rFonts w:hint="eastAsia" w:ascii="华文仿宋" w:hAnsi="华文仿宋" w:eastAsia="华文仿宋" w:cs="华文仿宋"/>
          <w:color w:val="auto"/>
          <w:sz w:val="28"/>
          <w:szCs w:val="28"/>
        </w:rPr>
        <w:t>若</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采购转基因食材或外国进口类食材，则按每个食材品种支付违约金10000元/次。</w:t>
      </w:r>
    </w:p>
    <w:p w14:paraId="48170265">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第二十二条 </w:t>
      </w:r>
      <w:r>
        <w:rPr>
          <w:rFonts w:hint="eastAsia" w:ascii="华文仿宋" w:hAnsi="华文仿宋" w:eastAsia="华文仿宋" w:cs="华文仿宋"/>
          <w:color w:val="auto"/>
          <w:sz w:val="28"/>
          <w:szCs w:val="28"/>
        </w:rPr>
        <w:t>若发生师生有效投诉，视其情况支付违约金500元及以上/次。</w:t>
      </w:r>
    </w:p>
    <w:p w14:paraId="56B457DD">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第二十三条 </w:t>
      </w:r>
      <w:r>
        <w:rPr>
          <w:rFonts w:hint="eastAsia" w:ascii="华文仿宋" w:hAnsi="华文仿宋" w:eastAsia="华文仿宋" w:cs="华文仿宋"/>
          <w:color w:val="auto"/>
          <w:sz w:val="28"/>
          <w:szCs w:val="28"/>
        </w:rPr>
        <w:t>若发现各类食材存在食品安全隐患的，视其情况支付违约金5000元-10000元/次。</w:t>
      </w:r>
    </w:p>
    <w:p w14:paraId="6D99DC36">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第二十四条 </w:t>
      </w:r>
      <w:r>
        <w:rPr>
          <w:rFonts w:hint="eastAsia" w:ascii="华文仿宋" w:hAnsi="华文仿宋" w:eastAsia="华文仿宋" w:cs="华文仿宋"/>
          <w:color w:val="auto"/>
          <w:sz w:val="28"/>
          <w:szCs w:val="28"/>
        </w:rPr>
        <w:t>若</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不服从</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管理，不及时按照</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的要求及时进行整改的，每次支付违约金10000元至50000元。</w:t>
      </w:r>
    </w:p>
    <w:p w14:paraId="6E3627FE">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第二十五条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在接受市场监督管理局等有关职能部门以及上级机关等各级各类检查时，给</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造成不良影响的，视其情节每发生一次支付违约金2000元及以上；</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提供霉烂变质食物（包括库存中有过期或霉变货物）等，每发生一次支付违约金10000元。</w:t>
      </w:r>
    </w:p>
    <w:p w14:paraId="45EC7A1C">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第二十六条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在经营过程中发生投毒或食物中毒等食品安全事故、消防安全事故时，由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承担一切经济责任（包括</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及</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相关管理人员受到的经济处罚）和法律责任，情节严重者，</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除不退还</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履约保证金外，还应承担50000元/次的合同违约金，且</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有权解除合同。</w:t>
      </w:r>
    </w:p>
    <w:p w14:paraId="306845CC">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第二十七条 </w:t>
      </w:r>
      <w:r>
        <w:rPr>
          <w:rFonts w:hint="eastAsia" w:ascii="华文仿宋" w:hAnsi="华文仿宋" w:eastAsia="华文仿宋" w:cs="华文仿宋"/>
          <w:color w:val="auto"/>
          <w:sz w:val="28"/>
          <w:szCs w:val="28"/>
        </w:rPr>
        <w:t>合同期满或经营期内解除合同时，</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逾期未撤离，由此造成的一切后果与损失由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承担。</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在合同期内可以对食堂进行再次装修，其装修费用均由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自行承担，同时，</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再次装修方案必须经</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书面书面同意后方可进行，否则每次支付违约金50000元。</w:t>
      </w:r>
    </w:p>
    <w:p w14:paraId="381E80D1">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第二十八条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因饭菜质量、价格和卫生等问题造成学生集体上</w:t>
      </w:r>
      <w:r>
        <w:rPr>
          <w:rFonts w:hint="eastAsia" w:ascii="华文仿宋" w:hAnsi="华文仿宋" w:eastAsia="华文仿宋" w:cs="华文仿宋"/>
          <w:bCs/>
          <w:color w:val="auto"/>
          <w:sz w:val="28"/>
          <w:szCs w:val="28"/>
        </w:rPr>
        <w:t>访或10人及其以上</w:t>
      </w:r>
      <w:r>
        <w:rPr>
          <w:rFonts w:hint="eastAsia" w:ascii="华文仿宋" w:hAnsi="华文仿宋" w:eastAsia="华文仿宋" w:cs="华文仿宋"/>
          <w:color w:val="auto"/>
          <w:sz w:val="28"/>
          <w:szCs w:val="28"/>
        </w:rPr>
        <w:t>集体签名反映问题的，经检查、检测情况属实，则每次向</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支付违约金50000元，情节严重者</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有权不退还全部履约保证金直至解除委托经营合同。</w:t>
      </w:r>
    </w:p>
    <w:p w14:paraId="35FFBE69">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第二十九条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在合同期内如果没有向</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进行书面申请并获得书面同意，而擅自关闭食堂的全部或部分经营窗口的，按每档口每关闭一餐支付违约金20000元。情节严重者</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有权解除合同，并且不承担任何违约责任。</w:t>
      </w:r>
    </w:p>
    <w:p w14:paraId="1583C570">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第三十条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采购、销售、库房中存放“三无”食品或商品、不合格品及过期食品或商品、销售腐烂、变质食品及水果，如经查实，每发现一次</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向</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支付违约金10000元。情节严重者，</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有权扣除</w:t>
      </w:r>
      <w:r>
        <w:rPr>
          <w:rFonts w:hint="eastAsia" w:ascii="华文仿宋" w:hAnsi="华文仿宋" w:eastAsia="华文仿宋" w:cs="华文仿宋"/>
          <w:color w:val="auto"/>
          <w:sz w:val="28"/>
          <w:szCs w:val="28"/>
          <w:lang w:val="en-US" w:eastAsia="zh-CN"/>
        </w:rPr>
        <w:t>乙方</w:t>
      </w:r>
      <w:r>
        <w:rPr>
          <w:rFonts w:hint="eastAsia" w:ascii="华文仿宋" w:hAnsi="华文仿宋" w:eastAsia="华文仿宋" w:cs="华文仿宋"/>
          <w:color w:val="auto"/>
          <w:sz w:val="28"/>
          <w:szCs w:val="28"/>
        </w:rPr>
        <w:t>全部履约保证金并终止合同。</w:t>
      </w:r>
    </w:p>
    <w:p w14:paraId="4F0232E3">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第三十一条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必须做好内部人员管理，包括安全和稳定的管理。若因</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资金链接断裂、内部员工工伤、工资报酬、供货商、合作商、贷款等纠纷情况出现上访或投诉事件，一经查实，</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每次向</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支付违约金</w:t>
      </w:r>
      <w:r>
        <w:rPr>
          <w:rFonts w:hint="eastAsia" w:ascii="华文仿宋" w:hAnsi="华文仿宋" w:eastAsia="华文仿宋" w:cs="华文仿宋"/>
          <w:color w:val="auto"/>
          <w:sz w:val="28"/>
          <w:szCs w:val="28"/>
          <w:u w:val="single"/>
        </w:rPr>
        <w:t>500000元，</w:t>
      </w:r>
      <w:r>
        <w:rPr>
          <w:rFonts w:hint="eastAsia" w:ascii="华文仿宋" w:hAnsi="华文仿宋" w:eastAsia="华文仿宋" w:cs="华文仿宋"/>
          <w:color w:val="auto"/>
          <w:sz w:val="28"/>
          <w:szCs w:val="28"/>
        </w:rPr>
        <w:t>造成重大不良影响的，</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有权单方面解除合同，并不退还全部履约保证金。</w:t>
      </w:r>
    </w:p>
    <w:p w14:paraId="5D77EB72">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第三十二条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在合同期内提出提前解除合同的，放弃经营资格的，必须在学期结束的前一个月告知</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，征得</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书面同意后方可解除本合同，所有装修及设备设施必须完好无损且无偿归</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处置，否则</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必须承担违约责任,</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不退还履约保证金。</w:t>
      </w:r>
    </w:p>
    <w:p w14:paraId="4B24BB1F">
      <w:pPr>
        <w:pageBreakBefore w:val="0"/>
        <w:widowControl w:val="0"/>
        <w:kinsoku/>
        <w:wordWrap/>
        <w:overflowPunct/>
        <w:topLinePunct w:val="0"/>
        <w:autoSpaceDE/>
        <w:autoSpaceDN/>
        <w:bidi w:val="0"/>
        <w:adjustRightInd/>
        <w:snapToGrid w:val="0"/>
        <w:spacing w:line="480" w:lineRule="exact"/>
        <w:ind w:firstLine="54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第三十三条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在合同期内，存在违法行为或者较为严重的违规等行为，不再适宜继续经营的，</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有权单方提前解除本合同，不用承担任何责任。</w:t>
      </w:r>
    </w:p>
    <w:p w14:paraId="6F72F59C">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u w:val="single"/>
        </w:rPr>
      </w:pPr>
      <w:r>
        <w:rPr>
          <w:rFonts w:hint="eastAsia" w:ascii="华文仿宋" w:hAnsi="华文仿宋" w:eastAsia="华文仿宋" w:cs="华文仿宋"/>
          <w:color w:val="auto"/>
          <w:sz w:val="28"/>
          <w:szCs w:val="28"/>
          <w:lang w:val="en-US" w:eastAsia="zh-CN"/>
        </w:rPr>
        <w:t xml:space="preserve">第三十四条 </w:t>
      </w:r>
      <w:r>
        <w:rPr>
          <w:rFonts w:hint="eastAsia" w:ascii="华文仿宋" w:hAnsi="华文仿宋" w:eastAsia="华文仿宋" w:cs="华文仿宋"/>
          <w:color w:val="auto"/>
          <w:sz w:val="28"/>
          <w:szCs w:val="28"/>
          <w:u w:val="single"/>
          <w:lang w:eastAsia="zh-CN"/>
        </w:rPr>
        <w:t>乙方</w:t>
      </w:r>
      <w:r>
        <w:rPr>
          <w:rFonts w:hint="eastAsia" w:ascii="华文仿宋" w:hAnsi="华文仿宋" w:eastAsia="华文仿宋" w:cs="华文仿宋"/>
          <w:color w:val="auto"/>
          <w:sz w:val="28"/>
          <w:szCs w:val="28"/>
          <w:u w:val="single"/>
        </w:rPr>
        <w:t>在投标时所有的承诺必须按照</w:t>
      </w:r>
      <w:r>
        <w:rPr>
          <w:rFonts w:hint="eastAsia" w:ascii="华文仿宋" w:hAnsi="华文仿宋" w:eastAsia="华文仿宋" w:cs="华文仿宋"/>
          <w:color w:val="auto"/>
          <w:sz w:val="28"/>
          <w:szCs w:val="28"/>
          <w:u w:val="single"/>
          <w:lang w:eastAsia="zh-CN"/>
        </w:rPr>
        <w:t>甲方</w:t>
      </w:r>
      <w:r>
        <w:rPr>
          <w:rFonts w:hint="eastAsia" w:ascii="华文仿宋" w:hAnsi="华文仿宋" w:eastAsia="华文仿宋" w:cs="华文仿宋"/>
          <w:color w:val="auto"/>
          <w:sz w:val="28"/>
          <w:szCs w:val="28"/>
          <w:u w:val="single"/>
        </w:rPr>
        <w:t>的要求及时兑现，未能及时兑现的视为违约，</w:t>
      </w:r>
      <w:r>
        <w:rPr>
          <w:rFonts w:hint="eastAsia" w:ascii="华文仿宋" w:hAnsi="华文仿宋" w:eastAsia="华文仿宋" w:cs="华文仿宋"/>
          <w:color w:val="auto"/>
          <w:sz w:val="28"/>
          <w:szCs w:val="28"/>
          <w:u w:val="single"/>
          <w:lang w:eastAsia="zh-CN"/>
        </w:rPr>
        <w:t>甲方</w:t>
      </w:r>
      <w:r>
        <w:rPr>
          <w:rFonts w:hint="eastAsia" w:ascii="华文仿宋" w:hAnsi="华文仿宋" w:eastAsia="华文仿宋" w:cs="华文仿宋"/>
          <w:color w:val="auto"/>
          <w:sz w:val="28"/>
          <w:szCs w:val="28"/>
          <w:u w:val="single"/>
        </w:rPr>
        <w:t>将对</w:t>
      </w:r>
      <w:r>
        <w:rPr>
          <w:rFonts w:hint="eastAsia" w:ascii="华文仿宋" w:hAnsi="华文仿宋" w:eastAsia="华文仿宋" w:cs="华文仿宋"/>
          <w:color w:val="auto"/>
          <w:sz w:val="28"/>
          <w:szCs w:val="28"/>
          <w:u w:val="single"/>
          <w:lang w:eastAsia="zh-CN"/>
        </w:rPr>
        <w:t>乙方</w:t>
      </w:r>
      <w:r>
        <w:rPr>
          <w:rFonts w:hint="eastAsia" w:ascii="华文仿宋" w:hAnsi="华文仿宋" w:eastAsia="华文仿宋" w:cs="华文仿宋"/>
          <w:color w:val="auto"/>
          <w:sz w:val="28"/>
          <w:szCs w:val="28"/>
          <w:u w:val="single"/>
        </w:rPr>
        <w:t>扣罚违约金10万-50万元每项。情节严重者，</w:t>
      </w:r>
      <w:r>
        <w:rPr>
          <w:rFonts w:hint="eastAsia" w:ascii="华文仿宋" w:hAnsi="华文仿宋" w:eastAsia="华文仿宋" w:cs="华文仿宋"/>
          <w:color w:val="auto"/>
          <w:sz w:val="28"/>
          <w:szCs w:val="28"/>
          <w:u w:val="single"/>
          <w:lang w:eastAsia="zh-CN"/>
        </w:rPr>
        <w:t>甲方</w:t>
      </w:r>
      <w:r>
        <w:rPr>
          <w:rFonts w:hint="eastAsia" w:ascii="华文仿宋" w:hAnsi="华文仿宋" w:eastAsia="华文仿宋" w:cs="华文仿宋"/>
          <w:color w:val="auto"/>
          <w:sz w:val="28"/>
          <w:szCs w:val="28"/>
          <w:u w:val="single"/>
        </w:rPr>
        <w:t>有权扣除全部履约保证金并终止合同。</w:t>
      </w:r>
    </w:p>
    <w:p w14:paraId="4D0A7047">
      <w:pPr>
        <w:pageBreakBefore w:val="0"/>
        <w:widowControl w:val="0"/>
        <w:kinsoku/>
        <w:wordWrap/>
        <w:overflowPunct/>
        <w:topLinePunct w:val="0"/>
        <w:autoSpaceDE/>
        <w:autoSpaceDN/>
        <w:bidi w:val="0"/>
        <w:adjustRightInd/>
        <w:snapToGrid w:val="0"/>
        <w:spacing w:line="480" w:lineRule="exact"/>
        <w:jc w:val="center"/>
        <w:textAlignment w:val="auto"/>
        <w:rPr>
          <w:rFonts w:hint="default" w:ascii="华文仿宋" w:hAnsi="华文仿宋" w:eastAsia="华文仿宋" w:cs="华文仿宋"/>
          <w:b/>
          <w:bCs/>
          <w:color w:val="auto"/>
          <w:sz w:val="28"/>
          <w:szCs w:val="28"/>
          <w:lang w:val="en-US" w:eastAsia="zh-CN"/>
        </w:rPr>
      </w:pPr>
      <w:r>
        <w:rPr>
          <w:rFonts w:hint="eastAsia" w:ascii="华文仿宋" w:hAnsi="华文仿宋" w:eastAsia="华文仿宋" w:cs="华文仿宋"/>
          <w:b/>
          <w:bCs/>
          <w:color w:val="auto"/>
          <w:sz w:val="28"/>
          <w:szCs w:val="28"/>
          <w:lang w:val="en-US" w:eastAsia="zh-CN"/>
        </w:rPr>
        <w:t>第七部分</w:t>
      </w:r>
      <w:r>
        <w:rPr>
          <w:rFonts w:hint="eastAsia" w:ascii="华文仿宋" w:hAnsi="华文仿宋" w:eastAsia="华文仿宋" w:cs="华文仿宋"/>
          <w:b/>
          <w:bCs/>
          <w:color w:val="auto"/>
          <w:sz w:val="28"/>
          <w:szCs w:val="28"/>
        </w:rPr>
        <w:t xml:space="preserve"> </w:t>
      </w:r>
      <w:r>
        <w:rPr>
          <w:rFonts w:hint="eastAsia" w:ascii="华文仿宋" w:hAnsi="华文仿宋" w:eastAsia="华文仿宋" w:cs="华文仿宋"/>
          <w:b/>
          <w:bCs/>
          <w:color w:val="auto"/>
          <w:sz w:val="28"/>
          <w:szCs w:val="28"/>
          <w:lang w:val="en-US" w:eastAsia="zh-CN"/>
        </w:rPr>
        <w:t>合同终止</w:t>
      </w:r>
    </w:p>
    <w:p w14:paraId="494A44E9">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第三十五条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必须严格履约，非法律规定或者自然灾害等不可抗力因素不得无故停止经营或退场，否则</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有权不退还履约保证金。</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确实有特殊原因需要提前解约，必须在学期结束的前一个月告知</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，经</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批准后方可终止协议书。</w:t>
      </w:r>
    </w:p>
    <w:p w14:paraId="797D36FD">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第三十六条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退出时，须在3天内无条件完成撤场并完成所有移交工作，形成书面移交手续，由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投资的装修及设备设施不得拆除和损坏，无偿交由</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处置且</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不作任何补偿。否则，</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有权不退还全部履约保证金，并列入学校黑名单，并上报相关部分纳入失信名单，所有责任由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自负。</w:t>
      </w:r>
    </w:p>
    <w:p w14:paraId="1C8CE876">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第三十七条 </w:t>
      </w:r>
      <w:r>
        <w:rPr>
          <w:rFonts w:hint="eastAsia" w:ascii="华文仿宋" w:hAnsi="华文仿宋" w:eastAsia="华文仿宋" w:cs="华文仿宋"/>
          <w:color w:val="auto"/>
          <w:sz w:val="28"/>
          <w:szCs w:val="28"/>
        </w:rPr>
        <w:t>若</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借故拖延移交时间，</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有权不退还全部履约保证金；同时，超过协议期满3天后</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认为</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已经进行了撤场处理，并视</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经营场地里的所有物品为退还或转交给</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的设施设备，或属于</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废弃物，</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有权以任何方式处置所有物品，责任由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自负，相关清理、处理费用由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负责，并从其最后一个月营业款中扣除。</w:t>
      </w:r>
    </w:p>
    <w:p w14:paraId="586169D3">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第三十八条 </w:t>
      </w:r>
      <w:r>
        <w:rPr>
          <w:rFonts w:hint="eastAsia" w:ascii="华文仿宋" w:hAnsi="华文仿宋" w:eastAsia="华文仿宋" w:cs="华文仿宋"/>
          <w:color w:val="auto"/>
          <w:sz w:val="28"/>
          <w:szCs w:val="28"/>
        </w:rPr>
        <w:t>对于</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无偿使用的属于</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的资产设备，</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在撤场时未归还</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或非正常</w:t>
      </w:r>
      <w:r>
        <w:rPr>
          <w:rFonts w:hint="eastAsia" w:ascii="华文仿宋" w:hAnsi="华文仿宋" w:eastAsia="华文仿宋" w:cs="华文仿宋"/>
          <w:color w:val="auto"/>
          <w:kern w:val="0"/>
          <w:sz w:val="28"/>
          <w:szCs w:val="28"/>
        </w:rPr>
        <w:t>损失的</w:t>
      </w:r>
      <w:r>
        <w:rPr>
          <w:rFonts w:hint="eastAsia" w:ascii="华文仿宋" w:hAnsi="华文仿宋" w:eastAsia="华文仿宋" w:cs="华文仿宋"/>
          <w:color w:val="auto"/>
          <w:sz w:val="28"/>
          <w:szCs w:val="28"/>
        </w:rPr>
        <w:t>，</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有权从履约保证金或营业款中扣抵，具体设备设施清单详见双方确定后的移交清单。</w:t>
      </w:r>
    </w:p>
    <w:p w14:paraId="4E0907A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第三十九条 </w:t>
      </w:r>
      <w:r>
        <w:rPr>
          <w:rFonts w:hint="eastAsia" w:ascii="华文仿宋" w:hAnsi="华文仿宋" w:eastAsia="华文仿宋" w:cs="华文仿宋"/>
          <w:color w:val="auto"/>
          <w:sz w:val="28"/>
          <w:szCs w:val="28"/>
        </w:rPr>
        <w:t>协议期内如</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发生严重生产安全事故，或发生食品安全事故，或发生</w:t>
      </w:r>
      <w:r>
        <w:rPr>
          <w:rFonts w:hint="eastAsia" w:ascii="华文仿宋" w:hAnsi="华文仿宋" w:eastAsia="华文仿宋" w:cs="华文仿宋"/>
          <w:color w:val="auto"/>
          <w:kern w:val="0"/>
          <w:sz w:val="28"/>
          <w:szCs w:val="28"/>
        </w:rPr>
        <w:t>较大</w:t>
      </w:r>
      <w:r>
        <w:rPr>
          <w:rFonts w:hint="eastAsia" w:ascii="华文仿宋" w:hAnsi="华文仿宋" w:eastAsia="华文仿宋" w:cs="华文仿宋"/>
          <w:color w:val="auto"/>
          <w:sz w:val="28"/>
          <w:szCs w:val="28"/>
        </w:rPr>
        <w:t>消防安全事故，或和就餐者发生冲突造成严重后果，或楼层间经营关系紧张不能主动改善，或因伙食工作引起师生或</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内部员工（或供应商以及其他合作方）群体不满意事件等（包括“违约责任”规定的终止协议书条款），学校有权立即终止本协议，由此产生的一切经济和法律责任一律由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承担，且</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有权不退还履约保证金。</w:t>
      </w:r>
    </w:p>
    <w:p w14:paraId="10AED2E9">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第四十条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员工擅自通过线上、线下等方式发布与</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有关的负面信息给</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带来重大经济或名誉损失的，</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有权立即终止本协议，由此产生的一切经济和法律责任一律由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承担，且</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有权不退还履约保证金。</w:t>
      </w:r>
    </w:p>
    <w:p w14:paraId="5601281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第四十一条 </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在经营期内，如被</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、行政主管部门、行业主管部门提出安全整改要求拒不整改或多次整改不达标的，</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有权终止本协议，由此产生的一切经济和法律责任一律由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承担，且</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有权不退还履约保证金。</w:t>
      </w:r>
    </w:p>
    <w:p w14:paraId="7E793D3D">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第四十二条 </w:t>
      </w:r>
      <w:r>
        <w:rPr>
          <w:rFonts w:hint="eastAsia" w:ascii="华文仿宋" w:hAnsi="华文仿宋" w:eastAsia="华文仿宋" w:cs="华文仿宋"/>
          <w:color w:val="auto"/>
          <w:sz w:val="28"/>
          <w:szCs w:val="28"/>
          <w:lang w:eastAsia="zh-CN"/>
        </w:rPr>
        <w:t>甲方</w:t>
      </w:r>
      <w:r>
        <w:rPr>
          <w:rFonts w:hint="eastAsia" w:ascii="华文仿宋" w:hAnsi="华文仿宋" w:eastAsia="华文仿宋" w:cs="华文仿宋"/>
          <w:color w:val="auto"/>
          <w:sz w:val="28"/>
          <w:szCs w:val="28"/>
        </w:rPr>
        <w:t>因机构调整，学校规划布局改变带来的校区人数发生变化等问题，由此带来的经营风险由</w:t>
      </w:r>
      <w:r>
        <w:rPr>
          <w:rFonts w:hint="eastAsia" w:ascii="华文仿宋" w:hAnsi="华文仿宋" w:eastAsia="华文仿宋" w:cs="华文仿宋"/>
          <w:color w:val="auto"/>
          <w:sz w:val="28"/>
          <w:szCs w:val="28"/>
          <w:lang w:eastAsia="zh-CN"/>
        </w:rPr>
        <w:t>乙方</w:t>
      </w:r>
      <w:r>
        <w:rPr>
          <w:rFonts w:hint="eastAsia" w:ascii="华文仿宋" w:hAnsi="华文仿宋" w:eastAsia="华文仿宋" w:cs="华文仿宋"/>
          <w:color w:val="auto"/>
          <w:sz w:val="28"/>
          <w:szCs w:val="28"/>
        </w:rPr>
        <w:t>自行承担。</w:t>
      </w:r>
    </w:p>
    <w:p w14:paraId="593B5C34">
      <w:pPr>
        <w:pStyle w:val="22"/>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kern w:val="2"/>
          <w:sz w:val="28"/>
          <w:szCs w:val="28"/>
          <w:lang w:val="en-US" w:eastAsia="zh-CN" w:bidi="ar-SA"/>
        </w:rPr>
        <w:t>第四十三条 法</w:t>
      </w:r>
      <w:r>
        <w:rPr>
          <w:rFonts w:hint="eastAsia" w:ascii="华文仿宋" w:hAnsi="华文仿宋" w:eastAsia="华文仿宋" w:cs="华文仿宋"/>
          <w:color w:val="auto"/>
          <w:sz w:val="28"/>
          <w:szCs w:val="28"/>
        </w:rPr>
        <w:t>律、法规规定的其它解除合同的情形。</w:t>
      </w:r>
    </w:p>
    <w:p w14:paraId="528E5443">
      <w:pPr>
        <w:pageBreakBefore w:val="0"/>
        <w:widowControl w:val="0"/>
        <w:numPr>
          <w:ilvl w:val="0"/>
          <w:numId w:val="0"/>
        </w:numPr>
        <w:kinsoku/>
        <w:wordWrap/>
        <w:overflowPunct/>
        <w:topLinePunct w:val="0"/>
        <w:autoSpaceDE/>
        <w:autoSpaceDN/>
        <w:bidi w:val="0"/>
        <w:adjustRightInd/>
        <w:snapToGrid w:val="0"/>
        <w:spacing w:line="480" w:lineRule="exact"/>
        <w:ind w:leftChars="0"/>
        <w:jc w:val="both"/>
        <w:textAlignment w:val="auto"/>
        <w:rPr>
          <w:rFonts w:hint="eastAsia" w:ascii="华文仿宋" w:hAnsi="华文仿宋" w:eastAsia="华文仿宋" w:cs="华文仿宋"/>
          <w:b/>
          <w:bCs/>
          <w:color w:val="auto"/>
          <w:sz w:val="28"/>
          <w:szCs w:val="28"/>
        </w:rPr>
      </w:pPr>
    </w:p>
    <w:p w14:paraId="14F378AB">
      <w:pPr>
        <w:pageBreakBefore w:val="0"/>
        <w:widowControl w:val="0"/>
        <w:kinsoku/>
        <w:wordWrap/>
        <w:overflowPunct/>
        <w:topLinePunct w:val="0"/>
        <w:autoSpaceDE/>
        <w:autoSpaceDN/>
        <w:bidi w:val="0"/>
        <w:adjustRightInd/>
        <w:snapToGrid w:val="0"/>
        <w:spacing w:line="480" w:lineRule="exact"/>
        <w:ind w:firstLine="561" w:firstLineChars="200"/>
        <w:jc w:val="center"/>
        <w:textAlignment w:val="auto"/>
        <w:rPr>
          <w:rFonts w:hint="eastAsia" w:ascii="华文仿宋" w:hAnsi="华文仿宋" w:eastAsia="华文仿宋" w:cs="华文仿宋"/>
          <w:b/>
          <w:bCs/>
          <w:color w:val="auto"/>
          <w:sz w:val="28"/>
          <w:szCs w:val="28"/>
        </w:rPr>
      </w:pPr>
      <w:r>
        <w:rPr>
          <w:rFonts w:hint="eastAsia" w:ascii="华文仿宋" w:hAnsi="华文仿宋" w:eastAsia="华文仿宋" w:cs="华文仿宋"/>
          <w:b/>
          <w:bCs/>
          <w:color w:val="auto"/>
          <w:sz w:val="28"/>
          <w:szCs w:val="28"/>
        </w:rPr>
        <w:t>第</w:t>
      </w:r>
      <w:r>
        <w:rPr>
          <w:rFonts w:hint="eastAsia" w:ascii="华文仿宋" w:hAnsi="华文仿宋" w:eastAsia="华文仿宋" w:cs="华文仿宋"/>
          <w:b/>
          <w:bCs/>
          <w:color w:val="auto"/>
          <w:sz w:val="28"/>
          <w:szCs w:val="28"/>
          <w:lang w:val="en-US" w:eastAsia="zh-CN"/>
        </w:rPr>
        <w:t>八</w:t>
      </w:r>
      <w:r>
        <w:rPr>
          <w:rFonts w:hint="eastAsia" w:ascii="华文仿宋" w:hAnsi="华文仿宋" w:eastAsia="华文仿宋" w:cs="华文仿宋"/>
          <w:b/>
          <w:bCs/>
          <w:color w:val="auto"/>
          <w:sz w:val="28"/>
          <w:szCs w:val="28"/>
        </w:rPr>
        <w:t>部分  双方约定的其他事宜</w:t>
      </w:r>
    </w:p>
    <w:p w14:paraId="1822EAE1">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第四十四条 </w:t>
      </w:r>
      <w:r>
        <w:rPr>
          <w:rFonts w:hint="eastAsia" w:ascii="华文仿宋" w:hAnsi="华文仿宋" w:eastAsia="华文仿宋" w:cs="华文仿宋"/>
          <w:color w:val="auto"/>
          <w:sz w:val="28"/>
          <w:szCs w:val="28"/>
        </w:rPr>
        <w:t>当本合同在履行过程中发生争议时，由双方协商解决；也可由有关部门调解解决；协商或调解不成，任何一方均可向重庆市永川区人民法院起诉。</w:t>
      </w:r>
    </w:p>
    <w:p w14:paraId="46E2C0A8">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第四十五条 </w:t>
      </w:r>
      <w:r>
        <w:rPr>
          <w:rFonts w:hint="eastAsia" w:ascii="华文仿宋" w:hAnsi="华文仿宋" w:eastAsia="华文仿宋" w:cs="华文仿宋"/>
          <w:color w:val="auto"/>
          <w:sz w:val="28"/>
          <w:szCs w:val="28"/>
        </w:rPr>
        <w:t>甲方招标文件及其补遗资料和乙方投标文件及招标现场答疑等相关资料属于本合同组成部分，具有同等法律效力。</w:t>
      </w:r>
    </w:p>
    <w:p w14:paraId="06D0EAB0">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第四十六条 </w:t>
      </w:r>
      <w:r>
        <w:rPr>
          <w:rFonts w:hint="eastAsia" w:ascii="华文仿宋" w:hAnsi="华文仿宋" w:eastAsia="华文仿宋" w:cs="华文仿宋"/>
          <w:color w:val="auto"/>
          <w:sz w:val="28"/>
          <w:szCs w:val="28"/>
        </w:rPr>
        <w:t>本合同一式陆份，甲方执肆份、乙方执贰份，从甲乙双方签字（盖章）之日起生效。</w:t>
      </w:r>
    </w:p>
    <w:p w14:paraId="54255F42">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 xml:space="preserve">第四十七条 </w:t>
      </w:r>
      <w:r>
        <w:rPr>
          <w:rFonts w:hint="eastAsia" w:ascii="华文仿宋" w:hAnsi="华文仿宋" w:eastAsia="华文仿宋" w:cs="华文仿宋"/>
          <w:color w:val="auto"/>
          <w:sz w:val="28"/>
          <w:szCs w:val="28"/>
        </w:rPr>
        <w:t>本合同未尽事宜，由双方协商确定后形成会议纪要或补充协议。会议纪要或补充协议作为本合同的组成部分。</w:t>
      </w:r>
    </w:p>
    <w:p w14:paraId="2A581187">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p>
    <w:p w14:paraId="6B00B8B7">
      <w:pPr>
        <w:pageBreakBefore w:val="0"/>
        <w:widowControl w:val="0"/>
        <w:kinsoku/>
        <w:wordWrap/>
        <w:overflowPunct/>
        <w:topLinePunct w:val="0"/>
        <w:autoSpaceDE/>
        <w:autoSpaceDN/>
        <w:bidi w:val="0"/>
        <w:adjustRightInd/>
        <w:snapToGrid w:val="0"/>
        <w:spacing w:line="480" w:lineRule="exac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rPr>
        <w:t>附件：</w:t>
      </w:r>
    </w:p>
    <w:p w14:paraId="2372AB5A">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一、</w:t>
      </w:r>
      <w:r>
        <w:rPr>
          <w:rFonts w:hint="eastAsia" w:ascii="华文仿宋" w:hAnsi="华文仿宋" w:eastAsia="华文仿宋" w:cs="华文仿宋"/>
          <w:color w:val="auto"/>
          <w:sz w:val="28"/>
          <w:szCs w:val="28"/>
        </w:rPr>
        <w:t>《重庆文理学院学生食堂委托经营管理日常考核实施细则》</w:t>
      </w:r>
    </w:p>
    <w:p w14:paraId="050C27C3">
      <w:pPr>
        <w:pageBreakBefore w:val="0"/>
        <w:widowControl w:val="0"/>
        <w:kinsoku/>
        <w:wordWrap/>
        <w:overflowPunct/>
        <w:topLinePunct w:val="0"/>
        <w:autoSpaceDE/>
        <w:autoSpaceDN/>
        <w:bidi w:val="0"/>
        <w:adjustRightInd/>
        <w:spacing w:line="480" w:lineRule="exact"/>
        <w:ind w:firstLine="560" w:firstLineChars="200"/>
        <w:jc w:val="left"/>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二、“</w:t>
      </w:r>
      <w:r>
        <w:rPr>
          <w:rFonts w:hint="eastAsia" w:ascii="华文仿宋" w:hAnsi="华文仿宋" w:eastAsia="华文仿宋" w:cs="华文仿宋"/>
          <w:color w:val="auto"/>
          <w:sz w:val="28"/>
          <w:szCs w:val="28"/>
        </w:rPr>
        <w:t>数智食堂”食堂数智化设备建设要求</w:t>
      </w:r>
    </w:p>
    <w:p w14:paraId="20DE6788">
      <w:pPr>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华文仿宋" w:hAnsi="华文仿宋" w:eastAsia="华文仿宋" w:cs="华文仿宋"/>
          <w:color w:val="auto"/>
          <w:sz w:val="28"/>
          <w:szCs w:val="28"/>
        </w:rPr>
      </w:pPr>
      <w:r>
        <w:rPr>
          <w:rFonts w:hint="eastAsia" w:ascii="华文仿宋" w:hAnsi="华文仿宋" w:eastAsia="华文仿宋" w:cs="华文仿宋"/>
          <w:color w:val="auto"/>
          <w:sz w:val="28"/>
          <w:szCs w:val="28"/>
          <w:lang w:val="en-US" w:eastAsia="zh-CN"/>
        </w:rPr>
        <w:t>三、</w:t>
      </w:r>
      <w:r>
        <w:rPr>
          <w:rFonts w:hint="eastAsia" w:ascii="华文仿宋" w:hAnsi="华文仿宋" w:eastAsia="华文仿宋" w:cs="华文仿宋"/>
          <w:color w:val="auto"/>
          <w:sz w:val="28"/>
          <w:szCs w:val="28"/>
        </w:rPr>
        <w:t>《</w:t>
      </w:r>
      <w:r>
        <w:rPr>
          <w:rFonts w:hint="eastAsia" w:ascii="华文仿宋" w:hAnsi="华文仿宋" w:eastAsia="华文仿宋" w:cs="华文仿宋"/>
          <w:color w:val="auto"/>
          <w:sz w:val="28"/>
          <w:szCs w:val="28"/>
          <w:lang w:val="en-US" w:eastAsia="zh-CN"/>
        </w:rPr>
        <w:t>甲方</w:t>
      </w:r>
      <w:r>
        <w:rPr>
          <w:rFonts w:hint="eastAsia" w:ascii="华文仿宋" w:hAnsi="华文仿宋" w:eastAsia="华文仿宋" w:cs="华文仿宋"/>
          <w:color w:val="auto"/>
          <w:sz w:val="28"/>
          <w:szCs w:val="28"/>
        </w:rPr>
        <w:t>食堂原有设备设施一览表》</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5"/>
        <w:gridCol w:w="4680"/>
      </w:tblGrid>
      <w:tr w14:paraId="427E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695" w:type="dxa"/>
            <w:noWrap w:val="0"/>
            <w:vAlign w:val="center"/>
          </w:tcPr>
          <w:p w14:paraId="1265CD57">
            <w:pPr>
              <w:snapToGrid w:val="0"/>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甲</w:t>
            </w:r>
            <w:r>
              <w:rPr>
                <w:rFonts w:ascii="宋体" w:hAnsi="宋体"/>
                <w:b/>
                <w:bCs/>
                <w:color w:val="auto"/>
                <w:sz w:val="24"/>
                <w:szCs w:val="24"/>
              </w:rPr>
              <w:t xml:space="preserve">       </w:t>
            </w:r>
            <w:r>
              <w:rPr>
                <w:rFonts w:hint="eastAsia" w:ascii="宋体" w:hAnsi="宋体"/>
                <w:b/>
                <w:bCs/>
                <w:color w:val="auto"/>
                <w:sz w:val="24"/>
                <w:szCs w:val="24"/>
              </w:rPr>
              <w:t>方</w:t>
            </w:r>
          </w:p>
        </w:tc>
        <w:tc>
          <w:tcPr>
            <w:tcW w:w="4680" w:type="dxa"/>
            <w:noWrap w:val="0"/>
            <w:vAlign w:val="center"/>
          </w:tcPr>
          <w:p w14:paraId="6769CFF8">
            <w:pPr>
              <w:snapToGrid w:val="0"/>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乙</w:t>
            </w:r>
            <w:r>
              <w:rPr>
                <w:rFonts w:ascii="宋体" w:hAnsi="宋体"/>
                <w:b/>
                <w:bCs/>
                <w:color w:val="auto"/>
                <w:sz w:val="24"/>
                <w:szCs w:val="24"/>
              </w:rPr>
              <w:t xml:space="preserve">      </w:t>
            </w:r>
            <w:r>
              <w:rPr>
                <w:rFonts w:hint="eastAsia" w:ascii="宋体" w:hAnsi="宋体"/>
                <w:b/>
                <w:bCs/>
                <w:color w:val="auto"/>
                <w:sz w:val="24"/>
                <w:szCs w:val="24"/>
              </w:rPr>
              <w:t>方</w:t>
            </w:r>
          </w:p>
        </w:tc>
      </w:tr>
      <w:tr w14:paraId="2898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4695" w:type="dxa"/>
            <w:noWrap w:val="0"/>
            <w:vAlign w:val="center"/>
          </w:tcPr>
          <w:p w14:paraId="3CA64591">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单位名称（章）：重庆文理学院</w:t>
            </w:r>
            <w:r>
              <w:rPr>
                <w:rFonts w:ascii="宋体" w:hAnsi="宋体"/>
                <w:color w:val="auto"/>
                <w:sz w:val="21"/>
                <w:szCs w:val="21"/>
              </w:rPr>
              <w:t xml:space="preserve"> </w:t>
            </w:r>
          </w:p>
          <w:p w14:paraId="5265583A">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单位地址：重庆市永川区红河大道319号</w:t>
            </w:r>
          </w:p>
          <w:p w14:paraId="53E6009D">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法定代表人：黄伟九</w:t>
            </w:r>
          </w:p>
          <w:p w14:paraId="7EAA594F">
            <w:pPr>
              <w:snapToGrid w:val="0"/>
              <w:spacing w:line="400" w:lineRule="exact"/>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经办人：</w:t>
            </w:r>
          </w:p>
          <w:p w14:paraId="5EEC77A2">
            <w:pPr>
              <w:snapToGrid w:val="0"/>
              <w:spacing w:line="400" w:lineRule="exact"/>
              <w:ind w:left="420" w:leftChars="150"/>
              <w:rPr>
                <w:rFonts w:hint="eastAsia" w:ascii="宋体" w:hAnsi="宋体"/>
                <w:color w:val="auto"/>
                <w:sz w:val="21"/>
                <w:szCs w:val="21"/>
              </w:rPr>
            </w:pPr>
            <w:r>
              <w:rPr>
                <w:rFonts w:hint="eastAsia" w:ascii="宋体" w:hAnsi="宋体"/>
                <w:color w:val="auto"/>
                <w:sz w:val="21"/>
                <w:szCs w:val="21"/>
              </w:rPr>
              <w:t>联系电话：0234989</w:t>
            </w:r>
            <w:r>
              <w:rPr>
                <w:rFonts w:hint="eastAsia" w:ascii="宋体" w:hAnsi="宋体"/>
                <w:color w:val="auto"/>
                <w:sz w:val="21"/>
                <w:szCs w:val="21"/>
                <w:lang w:val="en-US" w:eastAsia="zh-CN"/>
              </w:rPr>
              <w:t>1808</w:t>
            </w:r>
            <w:r>
              <w:rPr>
                <w:rFonts w:hint="eastAsia" w:ascii="宋体" w:hAnsi="宋体"/>
                <w:color w:val="auto"/>
                <w:sz w:val="21"/>
                <w:szCs w:val="21"/>
              </w:rPr>
              <w:t xml:space="preserve">                 </w:t>
            </w:r>
          </w:p>
          <w:p w14:paraId="1E4FEAE4">
            <w:pPr>
              <w:snapToGrid w:val="0"/>
              <w:spacing w:line="400" w:lineRule="exact"/>
              <w:ind w:left="420" w:leftChars="150"/>
              <w:rPr>
                <w:rFonts w:ascii="宋体" w:hAnsi="宋体"/>
                <w:color w:val="auto"/>
                <w:sz w:val="21"/>
                <w:szCs w:val="21"/>
              </w:rPr>
            </w:pPr>
            <w:r>
              <w:rPr>
                <w:rFonts w:hint="eastAsia" w:ascii="宋体" w:hAnsi="宋体"/>
                <w:color w:val="auto"/>
                <w:sz w:val="21"/>
                <w:szCs w:val="21"/>
              </w:rPr>
              <w:t>开户银行：：工商银行重庆永川支行</w:t>
            </w:r>
          </w:p>
          <w:p w14:paraId="685A59AB">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银行帐号</w:t>
            </w:r>
            <w:r>
              <w:rPr>
                <w:rFonts w:ascii="宋体" w:hAnsi="宋体"/>
                <w:color w:val="auto"/>
                <w:sz w:val="21"/>
                <w:szCs w:val="21"/>
              </w:rPr>
              <w:t>: 3100090009024912448</w:t>
            </w:r>
          </w:p>
        </w:tc>
        <w:tc>
          <w:tcPr>
            <w:tcW w:w="4680" w:type="dxa"/>
            <w:noWrap w:val="0"/>
            <w:vAlign w:val="center"/>
          </w:tcPr>
          <w:p w14:paraId="4E0C6B54">
            <w:pPr>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单位名称（章）：</w:t>
            </w:r>
          </w:p>
          <w:p w14:paraId="36EC462A">
            <w:pPr>
              <w:snapToGrid w:val="0"/>
              <w:spacing w:line="400" w:lineRule="exact"/>
              <w:ind w:firstLine="420" w:firstLineChars="200"/>
              <w:rPr>
                <w:rFonts w:hint="eastAsia" w:ascii="宋体" w:hAnsi="宋体" w:eastAsia="宋体" w:cs="Times New Roman"/>
                <w:color w:val="auto"/>
                <w:sz w:val="21"/>
                <w:szCs w:val="21"/>
              </w:rPr>
            </w:pPr>
            <w:r>
              <w:rPr>
                <w:rFonts w:hint="eastAsia" w:ascii="宋体" w:hAnsi="宋体"/>
                <w:color w:val="auto"/>
                <w:sz w:val="21"/>
                <w:szCs w:val="21"/>
              </w:rPr>
              <w:t>单位地址：</w:t>
            </w:r>
          </w:p>
          <w:p w14:paraId="2C0254EB">
            <w:pPr>
              <w:snapToGrid w:val="0"/>
              <w:spacing w:line="400" w:lineRule="exact"/>
              <w:ind w:firstLine="420" w:firstLineChars="200"/>
              <w:rPr>
                <w:rFonts w:hint="eastAsia" w:ascii="宋体" w:hAnsi="宋体" w:eastAsia="宋体"/>
                <w:color w:val="auto"/>
                <w:sz w:val="21"/>
                <w:szCs w:val="21"/>
                <w:lang w:val="en-US" w:eastAsia="zh-CN"/>
              </w:rPr>
            </w:pPr>
            <w:r>
              <w:rPr>
                <w:rFonts w:hint="eastAsia" w:ascii="宋体" w:hAnsi="宋体"/>
                <w:color w:val="auto"/>
                <w:sz w:val="21"/>
                <w:szCs w:val="21"/>
              </w:rPr>
              <w:t>法定代表人：</w:t>
            </w:r>
          </w:p>
          <w:p w14:paraId="7E5FEFA7">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经办人：</w:t>
            </w:r>
          </w:p>
          <w:p w14:paraId="3238FD8D">
            <w:pPr>
              <w:snapToGrid w:val="0"/>
              <w:spacing w:line="400" w:lineRule="exact"/>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联系电话：</w:t>
            </w:r>
          </w:p>
          <w:p w14:paraId="7414FB57">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开户银行：</w:t>
            </w:r>
          </w:p>
          <w:p w14:paraId="731D1590">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银行帐号</w:t>
            </w:r>
            <w:r>
              <w:rPr>
                <w:rFonts w:ascii="宋体" w:hAnsi="宋体"/>
                <w:color w:val="auto"/>
                <w:sz w:val="21"/>
                <w:szCs w:val="21"/>
              </w:rPr>
              <w:t xml:space="preserve">: </w:t>
            </w:r>
          </w:p>
        </w:tc>
      </w:tr>
    </w:tbl>
    <w:p w14:paraId="0A3B7839">
      <w:pPr>
        <w:snapToGrid w:val="0"/>
        <w:spacing w:line="400" w:lineRule="exact"/>
        <w:ind w:firstLine="480" w:firstLineChars="200"/>
        <w:rPr>
          <w:rFonts w:ascii="宋体" w:hAnsi="宋体"/>
          <w:color w:val="auto"/>
          <w:sz w:val="24"/>
          <w:szCs w:val="24"/>
        </w:rPr>
      </w:pPr>
    </w:p>
    <w:p w14:paraId="3657ED7B">
      <w:pPr>
        <w:snapToGrid w:val="0"/>
        <w:spacing w:line="400" w:lineRule="exact"/>
        <w:rPr>
          <w:rFonts w:hint="eastAsia" w:ascii="宋体" w:hAnsi="宋体"/>
          <w:b/>
          <w:color w:val="auto"/>
          <w:sz w:val="24"/>
          <w:szCs w:val="24"/>
        </w:rPr>
      </w:pPr>
    </w:p>
    <w:p w14:paraId="40E6E825">
      <w:pPr>
        <w:snapToGrid w:val="0"/>
        <w:spacing w:line="400" w:lineRule="exact"/>
        <w:rPr>
          <w:rFonts w:hint="eastAsia" w:ascii="宋体" w:hAnsi="宋体"/>
          <w:b/>
          <w:color w:val="auto"/>
          <w:sz w:val="24"/>
          <w:szCs w:val="24"/>
        </w:rPr>
      </w:pPr>
      <w:r>
        <w:rPr>
          <w:rFonts w:hint="eastAsia" w:ascii="宋体" w:hAnsi="宋体"/>
          <w:b/>
          <w:color w:val="auto"/>
          <w:sz w:val="24"/>
          <w:szCs w:val="24"/>
          <w:lang w:val="en-US" w:eastAsia="zh-CN"/>
        </w:rPr>
        <w:t>附件一：</w:t>
      </w:r>
    </w:p>
    <w:p w14:paraId="277B261E">
      <w:pPr>
        <w:jc w:val="center"/>
        <w:rPr>
          <w:color w:val="auto"/>
        </w:rPr>
      </w:pPr>
      <w:r>
        <w:rPr>
          <w:rFonts w:hint="eastAsia"/>
          <w:color w:val="auto"/>
        </w:rPr>
        <w:t>重庆文理学院学生食堂委托经营管理日常考核实施细则</w:t>
      </w:r>
    </w:p>
    <w:tbl>
      <w:tblPr>
        <w:tblStyle w:val="59"/>
        <w:tblW w:w="9923" w:type="dxa"/>
        <w:jc w:val="center"/>
        <w:tblLayout w:type="fixed"/>
        <w:tblCellMar>
          <w:top w:w="0" w:type="dxa"/>
          <w:left w:w="108" w:type="dxa"/>
          <w:bottom w:w="0" w:type="dxa"/>
          <w:right w:w="108" w:type="dxa"/>
        </w:tblCellMar>
      </w:tblPr>
      <w:tblGrid>
        <w:gridCol w:w="499"/>
        <w:gridCol w:w="636"/>
        <w:gridCol w:w="477"/>
        <w:gridCol w:w="3350"/>
        <w:gridCol w:w="709"/>
        <w:gridCol w:w="2693"/>
        <w:gridCol w:w="1559"/>
      </w:tblGrid>
      <w:tr w14:paraId="5B3BEDF0">
        <w:tblPrEx>
          <w:tblCellMar>
            <w:top w:w="0" w:type="dxa"/>
            <w:left w:w="108" w:type="dxa"/>
            <w:bottom w:w="0" w:type="dxa"/>
            <w:right w:w="108" w:type="dxa"/>
          </w:tblCellMar>
        </w:tblPrEx>
        <w:trPr>
          <w:trHeight w:val="480" w:hRule="atLeast"/>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14:paraId="25033F09">
            <w:pPr>
              <w:rPr>
                <w:rFonts w:ascii="宋体" w:hAnsi="宋体" w:cs="宋体"/>
                <w:color w:val="auto"/>
                <w:sz w:val="18"/>
                <w:szCs w:val="18"/>
              </w:rPr>
            </w:pPr>
            <w:r>
              <w:rPr>
                <w:rFonts w:hint="eastAsia" w:ascii="宋体" w:hAnsi="宋体" w:cs="宋体"/>
                <w:color w:val="auto"/>
                <w:sz w:val="18"/>
                <w:szCs w:val="18"/>
              </w:rPr>
              <w:t>序号</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7F7F1121">
            <w:pPr>
              <w:rPr>
                <w:rFonts w:ascii="宋体" w:hAnsi="宋体" w:cs="宋体"/>
                <w:color w:val="auto"/>
                <w:sz w:val="18"/>
                <w:szCs w:val="18"/>
              </w:rPr>
            </w:pPr>
            <w:r>
              <w:rPr>
                <w:rFonts w:hint="eastAsia" w:ascii="宋体" w:hAnsi="宋体" w:cs="宋体"/>
                <w:color w:val="auto"/>
                <w:sz w:val="18"/>
                <w:szCs w:val="18"/>
              </w:rPr>
              <w:t>考核项目</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3835CDD">
            <w:pPr>
              <w:rPr>
                <w:rFonts w:ascii="宋体" w:hAnsi="宋体" w:cs="宋体"/>
                <w:color w:val="auto"/>
                <w:sz w:val="18"/>
                <w:szCs w:val="18"/>
              </w:rPr>
            </w:pPr>
            <w:r>
              <w:rPr>
                <w:rFonts w:hint="eastAsia" w:ascii="宋体" w:hAnsi="宋体" w:cs="宋体"/>
                <w:color w:val="auto"/>
                <w:sz w:val="18"/>
                <w:szCs w:val="18"/>
              </w:rPr>
              <w:t>规范要求</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AF1FCD">
            <w:pPr>
              <w:rPr>
                <w:rFonts w:ascii="宋体" w:hAnsi="宋体" w:cs="宋体"/>
                <w:color w:val="auto"/>
                <w:sz w:val="18"/>
                <w:szCs w:val="18"/>
              </w:rPr>
            </w:pPr>
            <w:r>
              <w:rPr>
                <w:rFonts w:hint="eastAsia" w:ascii="宋体" w:hAnsi="宋体" w:cs="宋体"/>
                <w:color w:val="auto"/>
                <w:sz w:val="18"/>
                <w:szCs w:val="18"/>
              </w:rPr>
              <w:t>考核方式</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3905E6B">
            <w:pPr>
              <w:rPr>
                <w:rFonts w:ascii="宋体" w:hAnsi="宋体" w:cs="宋体"/>
                <w:color w:val="auto"/>
                <w:sz w:val="18"/>
                <w:szCs w:val="18"/>
              </w:rPr>
            </w:pPr>
            <w:r>
              <w:rPr>
                <w:rFonts w:hint="eastAsia" w:ascii="宋体" w:hAnsi="宋体" w:cs="宋体"/>
                <w:color w:val="auto"/>
                <w:sz w:val="18"/>
                <w:szCs w:val="18"/>
              </w:rPr>
              <w:t>支付违约金标准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F4E9CEF">
            <w:pPr>
              <w:rPr>
                <w:rFonts w:ascii="宋体" w:hAnsi="宋体" w:cs="宋体"/>
                <w:color w:val="auto"/>
                <w:sz w:val="18"/>
                <w:szCs w:val="18"/>
              </w:rPr>
            </w:pPr>
            <w:r>
              <w:rPr>
                <w:rFonts w:hint="eastAsia" w:ascii="宋体" w:hAnsi="宋体" w:cs="宋体"/>
                <w:color w:val="auto"/>
                <w:sz w:val="18"/>
                <w:szCs w:val="18"/>
              </w:rPr>
              <w:t>扣分标准</w:t>
            </w:r>
          </w:p>
        </w:tc>
      </w:tr>
      <w:tr w14:paraId="0E36731D">
        <w:tblPrEx>
          <w:tblCellMar>
            <w:top w:w="0" w:type="dxa"/>
            <w:left w:w="108" w:type="dxa"/>
            <w:bottom w:w="0" w:type="dxa"/>
            <w:right w:w="108" w:type="dxa"/>
          </w:tblCellMar>
        </w:tblPrEx>
        <w:trPr>
          <w:trHeight w:val="480"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260A96DD">
            <w:pPr>
              <w:rPr>
                <w:rFonts w:ascii="宋体" w:hAnsi="宋体" w:cs="宋体"/>
                <w:color w:val="auto"/>
                <w:sz w:val="18"/>
                <w:szCs w:val="18"/>
              </w:rPr>
            </w:pPr>
            <w:r>
              <w:rPr>
                <w:rFonts w:hint="eastAsia" w:ascii="宋体" w:hAnsi="宋体" w:cs="宋体"/>
                <w:color w:val="auto"/>
                <w:sz w:val="18"/>
                <w:szCs w:val="18"/>
              </w:rPr>
              <w:t>一</w:t>
            </w:r>
          </w:p>
        </w:tc>
        <w:tc>
          <w:tcPr>
            <w:tcW w:w="63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D69CBA3">
            <w:pPr>
              <w:jc w:val="center"/>
              <w:rPr>
                <w:rFonts w:ascii="宋体" w:hAnsi="宋体" w:cs="宋体"/>
                <w:color w:val="auto"/>
                <w:sz w:val="18"/>
                <w:szCs w:val="18"/>
              </w:rPr>
            </w:pPr>
            <w:r>
              <w:rPr>
                <w:rFonts w:hint="eastAsia" w:ascii="宋体" w:hAnsi="宋体" w:cs="宋体"/>
                <w:color w:val="auto"/>
                <w:sz w:val="18"/>
                <w:szCs w:val="18"/>
              </w:rPr>
              <w:t>安全管理</w:t>
            </w: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35CBCC9">
            <w:pPr>
              <w:jc w:val="center"/>
              <w:rPr>
                <w:rFonts w:ascii="宋体" w:hAnsi="宋体" w:cs="宋体"/>
                <w:color w:val="auto"/>
                <w:sz w:val="18"/>
                <w:szCs w:val="18"/>
              </w:rPr>
            </w:pPr>
            <w:r>
              <w:rPr>
                <w:rFonts w:hint="eastAsia" w:ascii="宋体" w:hAnsi="宋体" w:cs="宋体"/>
                <w:color w:val="auto"/>
                <w:sz w:val="18"/>
                <w:szCs w:val="18"/>
              </w:rPr>
              <w:t>食品卫生安全</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2C45372">
            <w:pPr>
              <w:rPr>
                <w:rFonts w:ascii="宋体" w:hAnsi="宋体" w:cs="宋体"/>
                <w:color w:val="auto"/>
                <w:sz w:val="18"/>
                <w:szCs w:val="18"/>
              </w:rPr>
            </w:pPr>
            <w:r>
              <w:rPr>
                <w:rFonts w:ascii="宋体" w:hAnsi="宋体" w:cs="宋体"/>
                <w:color w:val="auto"/>
                <w:sz w:val="18"/>
                <w:szCs w:val="18"/>
              </w:rPr>
              <w:t>1.应建有针对性的各岗位职责及工作流程制度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3F6804">
            <w:pPr>
              <w:rPr>
                <w:rFonts w:ascii="宋体" w:hAnsi="宋体" w:cs="宋体"/>
                <w:color w:val="auto"/>
                <w:sz w:val="18"/>
                <w:szCs w:val="18"/>
              </w:rPr>
            </w:pPr>
            <w:r>
              <w:rPr>
                <w:rFonts w:hint="eastAsia" w:ascii="宋体" w:hAnsi="宋体" w:cs="宋体"/>
                <w:color w:val="auto"/>
                <w:sz w:val="18"/>
                <w:szCs w:val="18"/>
              </w:rPr>
              <w:t>查看制度</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F57F794">
            <w:pPr>
              <w:rPr>
                <w:rFonts w:ascii="宋体" w:hAnsi="宋体" w:cs="宋体"/>
                <w:color w:val="auto"/>
                <w:sz w:val="18"/>
                <w:szCs w:val="18"/>
              </w:rPr>
            </w:pPr>
            <w:r>
              <w:rPr>
                <w:rFonts w:hint="eastAsia" w:ascii="宋体" w:hAnsi="宋体" w:cs="宋体"/>
                <w:color w:val="auto"/>
                <w:sz w:val="18"/>
                <w:szCs w:val="18"/>
              </w:rPr>
              <w:t>缺一项制度每次支付违约金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D7A73D2">
            <w:pPr>
              <w:rPr>
                <w:rFonts w:ascii="宋体" w:hAnsi="宋体" w:cs="宋体"/>
                <w:color w:val="auto"/>
                <w:sz w:val="18"/>
                <w:szCs w:val="18"/>
              </w:rPr>
            </w:pPr>
            <w:r>
              <w:rPr>
                <w:rFonts w:hint="eastAsia" w:ascii="宋体" w:hAnsi="宋体" w:cs="宋体"/>
                <w:color w:val="auto"/>
                <w:sz w:val="18"/>
                <w:szCs w:val="18"/>
              </w:rPr>
              <w:t>缺一项每次扣</w:t>
            </w:r>
            <w:r>
              <w:rPr>
                <w:rFonts w:ascii="宋体" w:hAnsi="宋体" w:cs="宋体"/>
                <w:color w:val="auto"/>
                <w:sz w:val="18"/>
                <w:szCs w:val="18"/>
              </w:rPr>
              <w:t>1分</w:t>
            </w:r>
          </w:p>
        </w:tc>
      </w:tr>
      <w:tr w14:paraId="400314D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54E7759">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5F7C732">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ACE5742">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C1D58F0">
            <w:pPr>
              <w:rPr>
                <w:rFonts w:ascii="宋体" w:hAnsi="宋体" w:cs="宋体"/>
                <w:color w:val="auto"/>
                <w:sz w:val="18"/>
                <w:szCs w:val="18"/>
              </w:rPr>
            </w:pPr>
            <w:r>
              <w:rPr>
                <w:rFonts w:ascii="宋体" w:hAnsi="宋体" w:cs="宋体"/>
                <w:color w:val="auto"/>
                <w:sz w:val="18"/>
                <w:szCs w:val="18"/>
              </w:rPr>
              <w:t>2.应建有卫生与安全责任制度和责任追究制度</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EA96ED2">
            <w:pPr>
              <w:rPr>
                <w:rFonts w:ascii="宋体" w:hAnsi="宋体" w:cs="宋体"/>
                <w:color w:val="auto"/>
                <w:sz w:val="18"/>
                <w:szCs w:val="18"/>
              </w:rPr>
            </w:pPr>
            <w:r>
              <w:rPr>
                <w:rFonts w:hint="eastAsia" w:ascii="宋体" w:hAnsi="宋体" w:cs="宋体"/>
                <w:color w:val="auto"/>
                <w:sz w:val="18"/>
                <w:szCs w:val="18"/>
              </w:rPr>
              <w:t>查看制度</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23CA841">
            <w:pPr>
              <w:rPr>
                <w:rFonts w:ascii="宋体" w:hAnsi="宋体" w:cs="宋体"/>
                <w:color w:val="auto"/>
                <w:sz w:val="18"/>
                <w:szCs w:val="18"/>
              </w:rPr>
            </w:pPr>
            <w:r>
              <w:rPr>
                <w:rFonts w:hint="eastAsia" w:ascii="宋体" w:hAnsi="宋体" w:cs="宋体"/>
                <w:color w:val="auto"/>
                <w:sz w:val="18"/>
                <w:szCs w:val="18"/>
              </w:rPr>
              <w:t>缺一项制度每次支付违约金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E62331F">
            <w:pPr>
              <w:rPr>
                <w:rFonts w:ascii="宋体" w:hAnsi="宋体" w:cs="宋体"/>
                <w:color w:val="auto"/>
                <w:sz w:val="18"/>
                <w:szCs w:val="18"/>
              </w:rPr>
            </w:pPr>
            <w:r>
              <w:rPr>
                <w:rFonts w:hint="eastAsia" w:ascii="宋体" w:hAnsi="宋体" w:cs="宋体"/>
                <w:color w:val="auto"/>
                <w:sz w:val="18"/>
                <w:szCs w:val="18"/>
              </w:rPr>
              <w:t>缺一项每次扣</w:t>
            </w:r>
            <w:r>
              <w:rPr>
                <w:rFonts w:ascii="宋体" w:hAnsi="宋体" w:cs="宋体"/>
                <w:color w:val="auto"/>
                <w:sz w:val="18"/>
                <w:szCs w:val="18"/>
              </w:rPr>
              <w:t>1分</w:t>
            </w:r>
          </w:p>
        </w:tc>
      </w:tr>
      <w:tr w14:paraId="3943FBC8">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E9D8AC8">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B3B07DB">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0FA6BA40">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9CE223F">
            <w:pPr>
              <w:rPr>
                <w:rFonts w:ascii="宋体" w:hAnsi="宋体" w:cs="宋体"/>
                <w:color w:val="auto"/>
                <w:sz w:val="18"/>
                <w:szCs w:val="18"/>
              </w:rPr>
            </w:pPr>
            <w:r>
              <w:rPr>
                <w:rFonts w:ascii="宋体" w:hAnsi="宋体" w:cs="宋体"/>
                <w:color w:val="auto"/>
                <w:sz w:val="18"/>
                <w:szCs w:val="18"/>
              </w:rPr>
              <w:t>3.应持有效证件经营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C9ABF3">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DA2CC69">
            <w:pPr>
              <w:rPr>
                <w:rFonts w:ascii="宋体" w:hAnsi="宋体" w:cs="宋体"/>
                <w:color w:val="auto"/>
                <w:sz w:val="18"/>
                <w:szCs w:val="18"/>
              </w:rPr>
            </w:pPr>
            <w:r>
              <w:rPr>
                <w:rFonts w:hint="eastAsia" w:ascii="宋体" w:hAnsi="宋体" w:cs="宋体"/>
                <w:color w:val="auto"/>
                <w:sz w:val="18"/>
                <w:szCs w:val="18"/>
              </w:rPr>
              <w:t>无证经营或证件无效除由经营者支付相关主管部门的罚款外，学校将按</w:t>
            </w:r>
            <w:r>
              <w:rPr>
                <w:rFonts w:ascii="宋体" w:hAnsi="宋体" w:cs="宋体"/>
                <w:color w:val="auto"/>
                <w:sz w:val="18"/>
                <w:szCs w:val="18"/>
              </w:rPr>
              <w:t>5000—50000元进行处罚并有权解除经营管理合同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E674375">
            <w:pPr>
              <w:rPr>
                <w:rFonts w:ascii="宋体" w:hAnsi="宋体" w:cs="宋体"/>
                <w:color w:val="auto"/>
                <w:sz w:val="18"/>
                <w:szCs w:val="18"/>
              </w:rPr>
            </w:pPr>
            <w:r>
              <w:rPr>
                <w:rFonts w:hint="eastAsia" w:ascii="宋体" w:hAnsi="宋体" w:cs="宋体"/>
                <w:color w:val="auto"/>
                <w:sz w:val="18"/>
                <w:szCs w:val="18"/>
              </w:rPr>
              <w:t>无证经营或证件无效扣</w:t>
            </w:r>
            <w:r>
              <w:rPr>
                <w:rFonts w:ascii="宋体" w:hAnsi="宋体" w:cs="宋体"/>
                <w:color w:val="auto"/>
                <w:sz w:val="18"/>
                <w:szCs w:val="18"/>
              </w:rPr>
              <w:t>5分</w:t>
            </w:r>
          </w:p>
        </w:tc>
      </w:tr>
      <w:tr w14:paraId="4E81770D">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C2A4C89">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40D53CC">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2FCE2839">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4030924">
            <w:pPr>
              <w:rPr>
                <w:rFonts w:ascii="宋体" w:hAnsi="宋体" w:cs="宋体"/>
                <w:color w:val="auto"/>
                <w:sz w:val="18"/>
                <w:szCs w:val="18"/>
              </w:rPr>
            </w:pPr>
            <w:r>
              <w:rPr>
                <w:rFonts w:ascii="宋体" w:hAnsi="宋体" w:cs="宋体"/>
                <w:color w:val="auto"/>
                <w:sz w:val="18"/>
                <w:szCs w:val="18"/>
              </w:rPr>
              <w:t>4．建立并执行从业人员资格审查和健康管理制度。从业人员入职时应提供真实有效的无犯罪记录证明、心理健康测试报告和健康证。入职后，按要求开展资格审查和健康管理。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603DF9">
            <w:pPr>
              <w:rPr>
                <w:rFonts w:ascii="宋体" w:hAnsi="宋体" w:cs="宋体"/>
                <w:color w:val="auto"/>
                <w:sz w:val="18"/>
                <w:szCs w:val="18"/>
              </w:rPr>
            </w:pPr>
            <w:r>
              <w:rPr>
                <w:rFonts w:hint="eastAsia" w:ascii="宋体" w:hAnsi="宋体" w:cs="宋体"/>
                <w:color w:val="auto"/>
                <w:sz w:val="18"/>
                <w:szCs w:val="18"/>
              </w:rPr>
              <w:t>现场</w:t>
            </w:r>
          </w:p>
          <w:p w14:paraId="5BB583D3">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E842D91">
            <w:pPr>
              <w:rPr>
                <w:rFonts w:ascii="宋体" w:hAnsi="宋体" w:cs="宋体"/>
                <w:color w:val="auto"/>
                <w:sz w:val="18"/>
                <w:szCs w:val="18"/>
              </w:rPr>
            </w:pPr>
            <w:r>
              <w:rPr>
                <w:rFonts w:hint="eastAsia" w:ascii="宋体" w:hAnsi="宋体" w:cs="宋体"/>
                <w:color w:val="auto"/>
                <w:sz w:val="18"/>
                <w:szCs w:val="18"/>
              </w:rPr>
              <w:t>缺制度的支付违约金</w:t>
            </w:r>
            <w:r>
              <w:rPr>
                <w:rFonts w:ascii="宋体" w:hAnsi="宋体" w:cs="宋体"/>
                <w:color w:val="auto"/>
                <w:sz w:val="18"/>
                <w:szCs w:val="18"/>
              </w:rPr>
              <w:t>1000元/项/次，制度未落实到位支付违约金2000元/人次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46E468D">
            <w:pPr>
              <w:rPr>
                <w:rFonts w:ascii="宋体" w:hAnsi="宋体" w:cs="宋体"/>
                <w:color w:val="auto"/>
                <w:sz w:val="18"/>
                <w:szCs w:val="18"/>
              </w:rPr>
            </w:pPr>
            <w:r>
              <w:rPr>
                <w:rFonts w:hint="eastAsia" w:ascii="宋体" w:hAnsi="宋体" w:cs="宋体"/>
                <w:color w:val="auto"/>
                <w:sz w:val="18"/>
                <w:szCs w:val="18"/>
              </w:rPr>
              <w:t>未建有相应制度扣</w:t>
            </w:r>
            <w:r>
              <w:rPr>
                <w:rFonts w:ascii="宋体" w:hAnsi="宋体" w:cs="宋体"/>
                <w:color w:val="auto"/>
                <w:sz w:val="18"/>
                <w:szCs w:val="18"/>
              </w:rPr>
              <w:t>0.5分/次；制度未落实到位的扣1分/次</w:t>
            </w:r>
          </w:p>
        </w:tc>
      </w:tr>
      <w:tr w14:paraId="12149DC0">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8361B5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BE5BB0B">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7CBA9BF5">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9474EBE">
            <w:pPr>
              <w:rPr>
                <w:rFonts w:ascii="宋体" w:hAnsi="宋体" w:cs="宋体"/>
                <w:color w:val="auto"/>
                <w:sz w:val="18"/>
                <w:szCs w:val="18"/>
              </w:rPr>
            </w:pPr>
            <w:r>
              <w:rPr>
                <w:rFonts w:ascii="宋体" w:hAnsi="宋体" w:cs="宋体"/>
                <w:color w:val="auto"/>
                <w:sz w:val="18"/>
                <w:szCs w:val="18"/>
              </w:rPr>
              <w:t>5.应严格执行食品卫生法律、法规，无投毒或食物中毒事故或肠道传染病发生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3A93782">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BB3DE8D">
            <w:pPr>
              <w:rPr>
                <w:rFonts w:ascii="宋体" w:hAnsi="宋体" w:cs="宋体"/>
                <w:color w:val="auto"/>
                <w:sz w:val="18"/>
                <w:szCs w:val="18"/>
              </w:rPr>
            </w:pPr>
            <w:r>
              <w:rPr>
                <w:rFonts w:hint="eastAsia" w:ascii="宋体" w:hAnsi="宋体" w:cs="宋体"/>
                <w:color w:val="auto"/>
                <w:sz w:val="18"/>
                <w:szCs w:val="18"/>
              </w:rPr>
              <w:t>发生投毒或食物中毒或肠道传染病事件，情节严重者，</w:t>
            </w:r>
            <w:r>
              <w:rPr>
                <w:rFonts w:hint="eastAsia" w:ascii="宋体" w:hAnsi="宋体" w:cs="宋体"/>
                <w:color w:val="auto"/>
                <w:sz w:val="18"/>
                <w:szCs w:val="18"/>
                <w:lang w:eastAsia="zh-CN"/>
              </w:rPr>
              <w:t>甲方</w:t>
            </w:r>
            <w:r>
              <w:rPr>
                <w:rFonts w:hint="eastAsia" w:ascii="宋体" w:hAnsi="宋体" w:cs="宋体"/>
                <w:color w:val="auto"/>
                <w:sz w:val="18"/>
                <w:szCs w:val="18"/>
              </w:rPr>
              <w:t>除不退还履约保证金外，还应承担</w:t>
            </w:r>
            <w:r>
              <w:rPr>
                <w:rFonts w:ascii="宋体" w:hAnsi="宋体" w:cs="宋体"/>
                <w:color w:val="auto"/>
                <w:sz w:val="18"/>
                <w:szCs w:val="18"/>
              </w:rPr>
              <w:t>50000元/次的合同违约金，由此造成的所有责任</w:t>
            </w:r>
            <w:r>
              <w:rPr>
                <w:rFonts w:hint="eastAsia" w:ascii="宋体" w:hAnsi="宋体" w:cs="宋体"/>
                <w:color w:val="auto"/>
                <w:sz w:val="18"/>
                <w:szCs w:val="18"/>
              </w:rPr>
              <w:t>由</w:t>
            </w:r>
            <w:r>
              <w:rPr>
                <w:rFonts w:hint="eastAsia" w:ascii="宋体" w:hAnsi="宋体" w:cs="宋体"/>
                <w:color w:val="auto"/>
                <w:sz w:val="18"/>
                <w:szCs w:val="18"/>
                <w:lang w:eastAsia="zh-CN"/>
              </w:rPr>
              <w:t>乙方</w:t>
            </w:r>
            <w:r>
              <w:rPr>
                <w:rFonts w:hint="eastAsia" w:ascii="宋体" w:hAnsi="宋体" w:cs="宋体"/>
                <w:color w:val="auto"/>
                <w:sz w:val="18"/>
                <w:szCs w:val="18"/>
              </w:rPr>
              <w:t>承担（包括对</w:t>
            </w:r>
            <w:r>
              <w:rPr>
                <w:rFonts w:hint="eastAsia" w:ascii="宋体" w:hAnsi="宋体" w:cs="宋体"/>
                <w:color w:val="auto"/>
                <w:sz w:val="18"/>
                <w:szCs w:val="18"/>
                <w:lang w:eastAsia="zh-CN"/>
              </w:rPr>
              <w:t>甲方</w:t>
            </w:r>
            <w:r>
              <w:rPr>
                <w:rFonts w:hint="eastAsia" w:ascii="宋体" w:hAnsi="宋体" w:cs="宋体"/>
                <w:color w:val="auto"/>
                <w:sz w:val="18"/>
                <w:szCs w:val="18"/>
              </w:rPr>
              <w:t>相关管理人员的经济处罚），且</w:t>
            </w:r>
            <w:r>
              <w:rPr>
                <w:rFonts w:hint="eastAsia" w:ascii="宋体" w:hAnsi="宋体" w:cs="宋体"/>
                <w:color w:val="auto"/>
                <w:sz w:val="18"/>
                <w:szCs w:val="18"/>
                <w:lang w:eastAsia="zh-CN"/>
              </w:rPr>
              <w:t>甲方</w:t>
            </w:r>
            <w:r>
              <w:rPr>
                <w:rFonts w:hint="eastAsia" w:ascii="宋体" w:hAnsi="宋体" w:cs="宋体"/>
                <w:color w:val="auto"/>
                <w:sz w:val="18"/>
                <w:szCs w:val="18"/>
              </w:rPr>
              <w:t>有权解除合同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8BB6091">
            <w:pPr>
              <w:rPr>
                <w:rFonts w:ascii="宋体" w:hAnsi="宋体" w:cs="宋体"/>
                <w:color w:val="auto"/>
                <w:sz w:val="18"/>
                <w:szCs w:val="18"/>
              </w:rPr>
            </w:pPr>
            <w:r>
              <w:rPr>
                <w:rFonts w:hint="eastAsia" w:ascii="宋体" w:hAnsi="宋体" w:cs="宋体"/>
                <w:color w:val="auto"/>
                <w:sz w:val="18"/>
                <w:szCs w:val="18"/>
              </w:rPr>
              <w:t>发生投毒或食物中毒或肠道传染病事件，涉事当学期考核直接为不合格</w:t>
            </w:r>
          </w:p>
        </w:tc>
      </w:tr>
      <w:tr w14:paraId="6EEFA360">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1F6C0C2">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FF9626B">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58EC7F93">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525C989">
            <w:pPr>
              <w:rPr>
                <w:rFonts w:ascii="宋体" w:hAnsi="宋体" w:cs="宋体"/>
                <w:color w:val="auto"/>
                <w:sz w:val="18"/>
                <w:szCs w:val="18"/>
              </w:rPr>
            </w:pPr>
            <w:r>
              <w:rPr>
                <w:rFonts w:ascii="宋体" w:hAnsi="宋体" w:cs="宋体"/>
                <w:color w:val="auto"/>
                <w:sz w:val="18"/>
                <w:szCs w:val="18"/>
              </w:rPr>
              <w:t>6.应坚持《食品及食品原辅材料进货检查验收制度》，建立出入库电子与纸质双台账，如实准确记录名称、规格、数量、生产日期或者生产批号、保质期、进货日期以及供货者名称、地址、联系方式等内容，并保留载有上述信息的相关凭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2EB7AC">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BA9D003">
            <w:pPr>
              <w:rPr>
                <w:rFonts w:ascii="宋体" w:hAnsi="宋体" w:cs="宋体"/>
                <w:color w:val="auto"/>
                <w:sz w:val="18"/>
                <w:szCs w:val="18"/>
              </w:rPr>
            </w:pPr>
            <w:r>
              <w:rPr>
                <w:rFonts w:hint="eastAsia" w:ascii="宋体" w:hAnsi="宋体" w:cs="宋体"/>
                <w:color w:val="auto"/>
                <w:sz w:val="18"/>
                <w:szCs w:val="18"/>
              </w:rPr>
              <w:t>进货未查验每次支付违约金</w:t>
            </w:r>
            <w:r>
              <w:rPr>
                <w:rFonts w:ascii="宋体" w:hAnsi="宋体" w:cs="宋体"/>
                <w:color w:val="auto"/>
                <w:sz w:val="18"/>
                <w:szCs w:val="18"/>
              </w:rPr>
              <w:t>1000元，无台账或台账不全每次支付违约金10000元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B33C926">
            <w:pPr>
              <w:rPr>
                <w:rFonts w:ascii="宋体" w:hAnsi="宋体" w:cs="宋体"/>
                <w:color w:val="auto"/>
                <w:sz w:val="18"/>
                <w:szCs w:val="18"/>
              </w:rPr>
            </w:pPr>
            <w:r>
              <w:rPr>
                <w:rFonts w:hint="eastAsia" w:ascii="宋体" w:hAnsi="宋体" w:cs="宋体"/>
                <w:color w:val="auto"/>
                <w:sz w:val="18"/>
                <w:szCs w:val="18"/>
              </w:rPr>
              <w:t>未查验每次扣</w:t>
            </w:r>
            <w:r>
              <w:rPr>
                <w:rFonts w:ascii="宋体" w:hAnsi="宋体" w:cs="宋体"/>
                <w:color w:val="auto"/>
                <w:sz w:val="18"/>
                <w:szCs w:val="18"/>
              </w:rPr>
              <w:t>1分，无台账或台帐不全每次扣1分</w:t>
            </w:r>
          </w:p>
        </w:tc>
      </w:tr>
      <w:tr w14:paraId="13C27BF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1EFCF9E">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2877A6E">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00FD8C80">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27063E6">
            <w:pPr>
              <w:rPr>
                <w:rFonts w:ascii="宋体" w:hAnsi="宋体" w:cs="宋体"/>
                <w:color w:val="auto"/>
                <w:sz w:val="18"/>
                <w:szCs w:val="18"/>
              </w:rPr>
            </w:pPr>
            <w:r>
              <w:rPr>
                <w:rFonts w:ascii="宋体" w:hAnsi="宋体" w:cs="宋体"/>
                <w:color w:val="auto"/>
                <w:sz w:val="18"/>
                <w:szCs w:val="18"/>
              </w:rPr>
              <w:t>7.建立食品安全自查制度，定期对食品安全状况进行检查评价。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B8AE58">
            <w:pPr>
              <w:rPr>
                <w:rFonts w:ascii="宋体" w:hAnsi="宋体" w:cs="宋体"/>
                <w:color w:val="auto"/>
                <w:sz w:val="18"/>
                <w:szCs w:val="18"/>
              </w:rPr>
            </w:pPr>
            <w:r>
              <w:rPr>
                <w:rFonts w:hint="eastAsia" w:ascii="宋体" w:hAnsi="宋体" w:cs="宋体"/>
                <w:color w:val="auto"/>
                <w:sz w:val="18"/>
                <w:szCs w:val="18"/>
              </w:rPr>
              <w:t>现场</w:t>
            </w:r>
          </w:p>
          <w:p w14:paraId="290369EA">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220BE73">
            <w:pPr>
              <w:rPr>
                <w:rFonts w:ascii="宋体" w:hAnsi="宋体" w:cs="宋体"/>
                <w:color w:val="auto"/>
                <w:sz w:val="18"/>
                <w:szCs w:val="18"/>
              </w:rPr>
            </w:pPr>
            <w:r>
              <w:rPr>
                <w:rFonts w:hint="eastAsia" w:ascii="宋体" w:hAnsi="宋体" w:cs="宋体"/>
                <w:color w:val="auto"/>
                <w:sz w:val="18"/>
                <w:szCs w:val="18"/>
              </w:rPr>
              <w:t>缺制度的支付违约金</w:t>
            </w:r>
            <w:r>
              <w:rPr>
                <w:rFonts w:ascii="宋体" w:hAnsi="宋体" w:cs="宋体"/>
                <w:color w:val="auto"/>
                <w:sz w:val="18"/>
                <w:szCs w:val="18"/>
              </w:rPr>
              <w:t>1000元/次，制度未落实到位支付违约金2000元/次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67330CC">
            <w:pPr>
              <w:rPr>
                <w:rFonts w:ascii="宋体" w:hAnsi="宋体" w:cs="宋体"/>
                <w:color w:val="auto"/>
                <w:sz w:val="18"/>
                <w:szCs w:val="18"/>
              </w:rPr>
            </w:pPr>
            <w:r>
              <w:rPr>
                <w:rFonts w:hint="eastAsia" w:ascii="宋体" w:hAnsi="宋体" w:cs="宋体"/>
                <w:color w:val="auto"/>
                <w:sz w:val="18"/>
                <w:szCs w:val="18"/>
              </w:rPr>
              <w:t>未建有相应制度扣</w:t>
            </w:r>
            <w:r>
              <w:rPr>
                <w:rFonts w:ascii="宋体" w:hAnsi="宋体" w:cs="宋体"/>
                <w:color w:val="auto"/>
                <w:sz w:val="18"/>
                <w:szCs w:val="18"/>
              </w:rPr>
              <w:t>1分/次；制度未落实到位的扣1分/次</w:t>
            </w:r>
          </w:p>
        </w:tc>
      </w:tr>
      <w:tr w14:paraId="2D3949B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E756D22">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BB839C5">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30A27FC7">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C9BC6AB">
            <w:pPr>
              <w:rPr>
                <w:rFonts w:ascii="宋体" w:hAnsi="宋体" w:cs="宋体"/>
                <w:color w:val="auto"/>
                <w:sz w:val="18"/>
                <w:szCs w:val="18"/>
              </w:rPr>
            </w:pPr>
            <w:r>
              <w:rPr>
                <w:rFonts w:ascii="宋体" w:hAnsi="宋体" w:cs="宋体"/>
                <w:color w:val="auto"/>
                <w:sz w:val="18"/>
                <w:szCs w:val="18"/>
              </w:rPr>
              <w:t>8.建立健全食品安全管理制度，依法从事生产经营活动。应配备食品安全总监和食品安全员，经考核不具备食品安全管理能力的，不得上岗。实施危害分析与关键控制点体系，提高食品安全管理水平。</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46C7B90">
            <w:pPr>
              <w:rPr>
                <w:rFonts w:ascii="宋体" w:hAnsi="宋体" w:cs="宋体"/>
                <w:color w:val="auto"/>
                <w:sz w:val="18"/>
                <w:szCs w:val="18"/>
              </w:rPr>
            </w:pPr>
            <w:r>
              <w:rPr>
                <w:rFonts w:ascii="宋体" w:hAnsi="宋体" w:cs="宋体"/>
                <w:color w:val="auto"/>
                <w:sz w:val="18"/>
                <w:szCs w:val="18"/>
              </w:rPr>
              <w:t>现场</w:t>
            </w:r>
          </w:p>
          <w:p w14:paraId="11BD4476">
            <w:pPr>
              <w:rPr>
                <w:rFonts w:ascii="宋体" w:hAnsi="宋体" w:cs="宋体"/>
                <w:color w:val="auto"/>
                <w:sz w:val="18"/>
                <w:szCs w:val="18"/>
              </w:rPr>
            </w:pPr>
            <w:r>
              <w:rPr>
                <w:rFonts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253890B">
            <w:pPr>
              <w:rPr>
                <w:rFonts w:ascii="宋体" w:hAnsi="宋体" w:cs="宋体"/>
                <w:color w:val="auto"/>
                <w:sz w:val="18"/>
                <w:szCs w:val="18"/>
              </w:rPr>
            </w:pPr>
            <w:r>
              <w:rPr>
                <w:rFonts w:ascii="宋体" w:hAnsi="宋体" w:cs="宋体"/>
                <w:color w:val="auto"/>
                <w:sz w:val="18"/>
                <w:szCs w:val="18"/>
              </w:rPr>
              <w:t>未建有相应制度</w:t>
            </w:r>
            <w:r>
              <w:rPr>
                <w:rFonts w:hint="eastAsia" w:ascii="宋体" w:hAnsi="宋体" w:cs="宋体"/>
                <w:color w:val="auto"/>
                <w:sz w:val="18"/>
                <w:szCs w:val="18"/>
              </w:rPr>
              <w:t>或制度建立不全</w:t>
            </w:r>
            <w:r>
              <w:rPr>
                <w:rFonts w:ascii="宋体" w:hAnsi="宋体" w:cs="宋体"/>
                <w:color w:val="auto"/>
                <w:sz w:val="18"/>
                <w:szCs w:val="18"/>
              </w:rPr>
              <w:t>的</w:t>
            </w:r>
            <w:r>
              <w:rPr>
                <w:rFonts w:hint="eastAsia" w:ascii="宋体" w:hAnsi="宋体" w:cs="宋体"/>
                <w:color w:val="auto"/>
                <w:sz w:val="18"/>
                <w:szCs w:val="18"/>
              </w:rPr>
              <w:t>支付违约金</w:t>
            </w:r>
            <w:r>
              <w:rPr>
                <w:rFonts w:ascii="宋体" w:hAnsi="宋体" w:cs="宋体"/>
                <w:color w:val="auto"/>
                <w:sz w:val="18"/>
                <w:szCs w:val="18"/>
              </w:rPr>
              <w:t>2000元/次，制度未落实到位</w:t>
            </w:r>
            <w:r>
              <w:rPr>
                <w:rFonts w:hint="eastAsia" w:ascii="宋体" w:hAnsi="宋体" w:cs="宋体"/>
                <w:color w:val="auto"/>
                <w:sz w:val="18"/>
                <w:szCs w:val="18"/>
              </w:rPr>
              <w:t>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6BD1A7C">
            <w:pPr>
              <w:rPr>
                <w:rFonts w:ascii="宋体" w:hAnsi="宋体" w:cs="宋体"/>
                <w:color w:val="auto"/>
                <w:sz w:val="18"/>
                <w:szCs w:val="18"/>
              </w:rPr>
            </w:pPr>
            <w:r>
              <w:rPr>
                <w:rFonts w:ascii="宋体" w:hAnsi="宋体" w:cs="宋体"/>
                <w:color w:val="auto"/>
                <w:sz w:val="18"/>
                <w:szCs w:val="18"/>
              </w:rPr>
              <w:t>未建有相应制度</w:t>
            </w:r>
            <w:r>
              <w:rPr>
                <w:rFonts w:hint="eastAsia" w:ascii="宋体" w:hAnsi="宋体" w:cs="宋体"/>
                <w:color w:val="auto"/>
                <w:sz w:val="18"/>
                <w:szCs w:val="18"/>
              </w:rPr>
              <w:t>或制度建立不全</w:t>
            </w:r>
            <w:r>
              <w:rPr>
                <w:rFonts w:ascii="宋体" w:hAnsi="宋体" w:cs="宋体"/>
                <w:color w:val="auto"/>
                <w:sz w:val="18"/>
                <w:szCs w:val="18"/>
              </w:rPr>
              <w:t>扣2分/次；制度未落实到位的扣1分/次</w:t>
            </w:r>
          </w:p>
        </w:tc>
      </w:tr>
      <w:tr w14:paraId="172BC132">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C3916C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7A0895F">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216F3051">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5916CD1">
            <w:pPr>
              <w:rPr>
                <w:rFonts w:ascii="宋体" w:hAnsi="宋体" w:cs="宋体"/>
                <w:color w:val="auto"/>
                <w:sz w:val="18"/>
                <w:szCs w:val="18"/>
              </w:rPr>
            </w:pPr>
            <w:r>
              <w:rPr>
                <w:rFonts w:ascii="宋体" w:hAnsi="宋体" w:cs="宋体"/>
                <w:color w:val="auto"/>
                <w:sz w:val="18"/>
                <w:szCs w:val="18"/>
              </w:rPr>
              <w:t>9.项目管理班子成员配置齐全，并明确职责。</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B9A1FBE">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5109D08">
            <w:pPr>
              <w:rPr>
                <w:rFonts w:ascii="宋体" w:hAnsi="宋体" w:cs="宋体"/>
                <w:color w:val="auto"/>
                <w:sz w:val="18"/>
                <w:szCs w:val="18"/>
              </w:rPr>
            </w:pPr>
            <w:r>
              <w:rPr>
                <w:rFonts w:hint="eastAsia" w:ascii="宋体" w:hAnsi="宋体" w:cs="宋体"/>
                <w:color w:val="auto"/>
                <w:sz w:val="18"/>
                <w:szCs w:val="18"/>
              </w:rPr>
              <w:t>未配置齐全或擅自更换项目管理班子成员每次支付违约金</w:t>
            </w:r>
            <w:r>
              <w:rPr>
                <w:rFonts w:ascii="宋体" w:hAnsi="宋体" w:cs="宋体"/>
                <w:color w:val="auto"/>
                <w:sz w:val="18"/>
                <w:szCs w:val="18"/>
              </w:rPr>
              <w:t>50000元/人</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62E969">
            <w:pPr>
              <w:rPr>
                <w:rFonts w:ascii="宋体" w:hAnsi="宋体" w:cs="宋体"/>
                <w:color w:val="auto"/>
                <w:sz w:val="18"/>
                <w:szCs w:val="18"/>
              </w:rPr>
            </w:pPr>
            <w:r>
              <w:rPr>
                <w:rFonts w:hint="eastAsia" w:ascii="宋体" w:hAnsi="宋体" w:cs="宋体"/>
                <w:color w:val="auto"/>
                <w:sz w:val="18"/>
                <w:szCs w:val="18"/>
              </w:rPr>
              <w:t>未配置齐全或擅自更换项目管理班子成员每次扣</w:t>
            </w:r>
            <w:r>
              <w:rPr>
                <w:rFonts w:ascii="宋体" w:hAnsi="宋体" w:cs="宋体"/>
                <w:color w:val="auto"/>
                <w:sz w:val="18"/>
                <w:szCs w:val="18"/>
              </w:rPr>
              <w:t>5分/人</w:t>
            </w:r>
          </w:p>
        </w:tc>
      </w:tr>
      <w:tr w14:paraId="6DB53D7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4F3D5E2">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59B041E">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noWrap w:val="0"/>
            <w:vAlign w:val="center"/>
          </w:tcPr>
          <w:p w14:paraId="0DADFD65">
            <w:pPr>
              <w:rPr>
                <w:rFonts w:ascii="宋体" w:hAnsi="宋体" w:cs="宋体"/>
                <w:color w:val="auto"/>
                <w:sz w:val="18"/>
                <w:szCs w:val="18"/>
              </w:rPr>
            </w:pPr>
            <w:r>
              <w:rPr>
                <w:rFonts w:hint="eastAsia" w:ascii="宋体" w:hAnsi="宋体" w:cs="宋体"/>
                <w:color w:val="auto"/>
                <w:sz w:val="18"/>
                <w:szCs w:val="18"/>
              </w:rPr>
              <w:t>消防安全</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4265356">
            <w:pPr>
              <w:rPr>
                <w:rFonts w:ascii="宋体" w:hAnsi="宋体" w:cs="宋体"/>
                <w:color w:val="auto"/>
                <w:sz w:val="18"/>
                <w:szCs w:val="18"/>
              </w:rPr>
            </w:pPr>
            <w:r>
              <w:rPr>
                <w:rFonts w:ascii="宋体" w:hAnsi="宋体" w:cs="宋体"/>
                <w:color w:val="auto"/>
                <w:sz w:val="18"/>
                <w:szCs w:val="18"/>
              </w:rPr>
              <w:t>10.应保障食堂各项消防设施齐全、完好，每天进行检查并作好检查记录。</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487E531">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1393330">
            <w:pPr>
              <w:rPr>
                <w:rFonts w:ascii="宋体" w:hAnsi="宋体" w:cs="宋体"/>
                <w:color w:val="auto"/>
                <w:sz w:val="18"/>
                <w:szCs w:val="18"/>
              </w:rPr>
            </w:pPr>
            <w:r>
              <w:rPr>
                <w:rFonts w:hint="eastAsia" w:ascii="宋体" w:hAnsi="宋体" w:cs="宋体"/>
                <w:color w:val="auto"/>
                <w:sz w:val="18"/>
                <w:szCs w:val="18"/>
              </w:rPr>
              <w:t>设施损坏或无检查记录或记录不全支付违约金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27738B">
            <w:pPr>
              <w:rPr>
                <w:rFonts w:ascii="宋体" w:hAnsi="宋体" w:cs="宋体"/>
                <w:color w:val="auto"/>
                <w:sz w:val="18"/>
                <w:szCs w:val="18"/>
              </w:rPr>
            </w:pPr>
            <w:r>
              <w:rPr>
                <w:rFonts w:hint="eastAsia" w:ascii="宋体" w:hAnsi="宋体" w:cs="宋体"/>
                <w:color w:val="auto"/>
                <w:sz w:val="18"/>
                <w:szCs w:val="18"/>
              </w:rPr>
              <w:t>设施损坏或无检查记录或记录不全扣</w:t>
            </w:r>
            <w:r>
              <w:rPr>
                <w:rFonts w:ascii="宋体" w:hAnsi="宋体" w:cs="宋体"/>
                <w:color w:val="auto"/>
                <w:sz w:val="18"/>
                <w:szCs w:val="18"/>
              </w:rPr>
              <w:t>1分/次</w:t>
            </w:r>
          </w:p>
        </w:tc>
      </w:tr>
      <w:tr w14:paraId="61B2A5D2">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50498B39">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E7B4F17">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BA22C22">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24969E7">
            <w:pPr>
              <w:rPr>
                <w:rFonts w:ascii="宋体" w:hAnsi="宋体" w:cs="宋体"/>
                <w:color w:val="auto"/>
                <w:sz w:val="18"/>
                <w:szCs w:val="18"/>
              </w:rPr>
            </w:pPr>
            <w:r>
              <w:rPr>
                <w:rFonts w:ascii="宋体" w:hAnsi="宋体" w:cs="宋体"/>
                <w:color w:val="auto"/>
                <w:sz w:val="18"/>
                <w:szCs w:val="18"/>
              </w:rPr>
              <w:t>11.应规范、安全用电，严禁私拉电线</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A55C5E">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F87A042">
            <w:pPr>
              <w:rPr>
                <w:rFonts w:ascii="宋体" w:hAnsi="宋体" w:cs="宋体"/>
                <w:color w:val="auto"/>
                <w:sz w:val="18"/>
                <w:szCs w:val="18"/>
              </w:rPr>
            </w:pPr>
            <w:r>
              <w:rPr>
                <w:rFonts w:hint="eastAsia" w:ascii="宋体" w:hAnsi="宋体" w:cs="宋体"/>
                <w:color w:val="auto"/>
                <w:sz w:val="18"/>
                <w:szCs w:val="18"/>
              </w:rPr>
              <w:t>私拉电线每次支付违约金</w:t>
            </w:r>
            <w:r>
              <w:rPr>
                <w:rFonts w:ascii="宋体" w:hAnsi="宋体" w:cs="宋体"/>
                <w:color w:val="auto"/>
                <w:sz w:val="18"/>
                <w:szCs w:val="18"/>
              </w:rPr>
              <w:t>1000元/处</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5FA7FFC">
            <w:pPr>
              <w:rPr>
                <w:rFonts w:ascii="宋体" w:hAnsi="宋体" w:cs="宋体"/>
                <w:color w:val="auto"/>
                <w:sz w:val="18"/>
                <w:szCs w:val="18"/>
              </w:rPr>
            </w:pPr>
            <w:r>
              <w:rPr>
                <w:rFonts w:hint="eastAsia" w:ascii="宋体" w:hAnsi="宋体" w:cs="宋体"/>
                <w:color w:val="auto"/>
                <w:sz w:val="18"/>
                <w:szCs w:val="18"/>
              </w:rPr>
              <w:t>私拉电线每次扣</w:t>
            </w:r>
            <w:r>
              <w:rPr>
                <w:rFonts w:ascii="宋体" w:hAnsi="宋体" w:cs="宋体"/>
                <w:color w:val="auto"/>
                <w:sz w:val="18"/>
                <w:szCs w:val="18"/>
              </w:rPr>
              <w:t>1分/处</w:t>
            </w:r>
          </w:p>
        </w:tc>
      </w:tr>
      <w:tr w14:paraId="0607FB4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56FF50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6964D4F9">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10BBB5E9">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1E41F35D">
            <w:pPr>
              <w:rPr>
                <w:rFonts w:ascii="宋体" w:hAnsi="宋体" w:cs="宋体"/>
                <w:color w:val="auto"/>
                <w:sz w:val="18"/>
                <w:szCs w:val="18"/>
              </w:rPr>
            </w:pPr>
            <w:r>
              <w:rPr>
                <w:rFonts w:ascii="宋体" w:hAnsi="宋体" w:cs="宋体"/>
                <w:color w:val="auto"/>
                <w:sz w:val="18"/>
                <w:szCs w:val="18"/>
              </w:rPr>
              <w:t>12.应培训员工掌握正确使用天然气的方法，注意防漏、防爆、防火，使用后关好气阀，确保安全</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27DA9D">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805B696">
            <w:pPr>
              <w:rPr>
                <w:rFonts w:ascii="宋体" w:hAnsi="宋体" w:cs="宋体"/>
                <w:color w:val="auto"/>
                <w:sz w:val="18"/>
                <w:szCs w:val="18"/>
              </w:rPr>
            </w:pPr>
            <w:r>
              <w:rPr>
                <w:rFonts w:hint="eastAsia" w:ascii="宋体" w:hAnsi="宋体" w:cs="宋体"/>
                <w:color w:val="auto"/>
                <w:sz w:val="18"/>
                <w:szCs w:val="18"/>
              </w:rPr>
              <w:t>食堂出现用气安全事故一次支付违约金不低于</w:t>
            </w:r>
            <w:r>
              <w:rPr>
                <w:rFonts w:ascii="宋体" w:hAnsi="宋体" w:cs="宋体"/>
                <w:color w:val="auto"/>
                <w:sz w:val="18"/>
                <w:szCs w:val="18"/>
              </w:rPr>
              <w:t>10000元，食堂出现一般起火一次支付违约金10000元。出现较大消防安全事故的，</w:t>
            </w:r>
            <w:r>
              <w:rPr>
                <w:rFonts w:hint="eastAsia" w:ascii="宋体" w:hAnsi="宋体" w:cs="宋体"/>
                <w:color w:val="auto"/>
                <w:sz w:val="18"/>
                <w:szCs w:val="18"/>
                <w:lang w:eastAsia="zh-CN"/>
              </w:rPr>
              <w:t>乙方</w:t>
            </w:r>
            <w:r>
              <w:rPr>
                <w:rFonts w:hint="eastAsia" w:ascii="宋体" w:hAnsi="宋体" w:cs="宋体"/>
                <w:color w:val="auto"/>
                <w:sz w:val="18"/>
                <w:szCs w:val="18"/>
              </w:rPr>
              <w:t>受到政府职能部门行政处罚的，应向</w:t>
            </w:r>
            <w:r>
              <w:rPr>
                <w:rFonts w:hint="eastAsia" w:ascii="宋体" w:hAnsi="宋体" w:cs="宋体"/>
                <w:color w:val="auto"/>
                <w:sz w:val="18"/>
                <w:szCs w:val="18"/>
                <w:lang w:eastAsia="zh-CN"/>
              </w:rPr>
              <w:t>甲方</w:t>
            </w:r>
            <w:r>
              <w:rPr>
                <w:rFonts w:hint="eastAsia" w:ascii="宋体" w:hAnsi="宋体" w:cs="宋体"/>
                <w:color w:val="auto"/>
                <w:sz w:val="18"/>
                <w:szCs w:val="18"/>
              </w:rPr>
              <w:t>支付</w:t>
            </w:r>
            <w:r>
              <w:rPr>
                <w:rFonts w:ascii="宋体" w:hAnsi="宋体" w:cs="宋体"/>
                <w:color w:val="auto"/>
                <w:sz w:val="18"/>
                <w:szCs w:val="18"/>
              </w:rPr>
              <w:t>10000元/次的合同违约金；若同时受到经济处罚的，应向</w:t>
            </w:r>
            <w:r>
              <w:rPr>
                <w:rFonts w:hint="eastAsia" w:ascii="宋体" w:hAnsi="宋体" w:cs="宋体"/>
                <w:color w:val="auto"/>
                <w:sz w:val="18"/>
                <w:szCs w:val="18"/>
                <w:lang w:eastAsia="zh-CN"/>
              </w:rPr>
              <w:t>甲方</w:t>
            </w:r>
            <w:r>
              <w:rPr>
                <w:rFonts w:ascii="宋体" w:hAnsi="宋体" w:cs="宋体"/>
                <w:color w:val="auto"/>
                <w:sz w:val="18"/>
                <w:szCs w:val="18"/>
              </w:rPr>
              <w:t>支付同等金额的合同违约金。还应再承担违约金20000元/次，</w:t>
            </w:r>
            <w:r>
              <w:rPr>
                <w:rFonts w:hint="eastAsia" w:ascii="宋体" w:hAnsi="宋体" w:cs="宋体"/>
                <w:color w:val="auto"/>
                <w:sz w:val="18"/>
                <w:szCs w:val="18"/>
                <w:lang w:eastAsia="zh-CN"/>
              </w:rPr>
              <w:t>甲方</w:t>
            </w:r>
            <w:r>
              <w:rPr>
                <w:rFonts w:ascii="宋体" w:hAnsi="宋体" w:cs="宋体"/>
                <w:color w:val="auto"/>
                <w:sz w:val="18"/>
                <w:szCs w:val="18"/>
              </w:rPr>
              <w:t>有权追究相关责任人经济和法律责任。</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9ACBF62">
            <w:pPr>
              <w:rPr>
                <w:rFonts w:ascii="宋体" w:hAnsi="宋体" w:cs="宋体"/>
                <w:color w:val="auto"/>
                <w:sz w:val="18"/>
                <w:szCs w:val="18"/>
              </w:rPr>
            </w:pPr>
            <w:r>
              <w:rPr>
                <w:rFonts w:hint="eastAsia" w:ascii="宋体" w:hAnsi="宋体" w:cs="宋体"/>
                <w:color w:val="auto"/>
                <w:sz w:val="18"/>
                <w:szCs w:val="18"/>
              </w:rPr>
              <w:t>一般起火：未造成损失且未出动消防部门每次扣</w:t>
            </w:r>
            <w:r>
              <w:rPr>
                <w:rFonts w:ascii="宋体" w:hAnsi="宋体" w:cs="宋体"/>
                <w:color w:val="auto"/>
                <w:sz w:val="18"/>
                <w:szCs w:val="18"/>
              </w:rPr>
              <w:t>5分。</w:t>
            </w:r>
          </w:p>
          <w:p w14:paraId="67CAE0A9">
            <w:pPr>
              <w:rPr>
                <w:rFonts w:ascii="宋体" w:hAnsi="宋体" w:cs="宋体"/>
                <w:color w:val="auto"/>
                <w:sz w:val="18"/>
                <w:szCs w:val="18"/>
              </w:rPr>
            </w:pPr>
            <w:r>
              <w:rPr>
                <w:rFonts w:hint="eastAsia" w:ascii="宋体" w:hAnsi="宋体" w:cs="宋体"/>
                <w:color w:val="auto"/>
                <w:sz w:val="18"/>
                <w:szCs w:val="18"/>
              </w:rPr>
              <w:t>较大消防安全事故：造成损失或出动消防部门，涉事当学期考核直接为不合格。</w:t>
            </w:r>
          </w:p>
        </w:tc>
      </w:tr>
      <w:tr w14:paraId="34F9361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59BFE7AA">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9160136">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E79AB28">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CDE8C12">
            <w:pPr>
              <w:rPr>
                <w:rFonts w:ascii="宋体" w:hAnsi="宋体" w:cs="宋体"/>
                <w:color w:val="auto"/>
                <w:sz w:val="18"/>
                <w:szCs w:val="18"/>
              </w:rPr>
            </w:pPr>
            <w:r>
              <w:rPr>
                <w:rFonts w:ascii="宋体" w:hAnsi="宋体" w:cs="宋体"/>
                <w:color w:val="auto"/>
                <w:sz w:val="18"/>
                <w:szCs w:val="18"/>
              </w:rPr>
              <w:t>13、应组织员工培训消防自防自救常识和安全逃生技能，不断提升员工消防应</w:t>
            </w:r>
            <w:r>
              <w:rPr>
                <w:rFonts w:hint="eastAsia" w:ascii="宋体" w:hAnsi="宋体" w:cs="宋体"/>
                <w:color w:val="auto"/>
                <w:sz w:val="18"/>
                <w:szCs w:val="18"/>
              </w:rPr>
              <w:t>急处置能力，每学期应至少组织一次消防实战演练和考核。</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B5AECA">
            <w:pPr>
              <w:rPr>
                <w:rFonts w:ascii="宋体" w:hAnsi="宋体" w:cs="宋体"/>
                <w:color w:val="auto"/>
                <w:sz w:val="18"/>
                <w:szCs w:val="18"/>
              </w:rPr>
            </w:pPr>
            <w:r>
              <w:rPr>
                <w:rFonts w:hint="eastAsia" w:ascii="宋体" w:hAnsi="宋体" w:cs="宋体"/>
                <w:color w:val="auto"/>
                <w:sz w:val="18"/>
                <w:szCs w:val="18"/>
              </w:rPr>
              <w:t>查看记录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036E098">
            <w:pPr>
              <w:rPr>
                <w:rFonts w:ascii="宋体" w:hAnsi="宋体" w:cs="宋体"/>
                <w:color w:val="auto"/>
                <w:sz w:val="18"/>
                <w:szCs w:val="18"/>
              </w:rPr>
            </w:pPr>
            <w:r>
              <w:rPr>
                <w:rFonts w:hint="eastAsia" w:ascii="宋体" w:hAnsi="宋体" w:cs="宋体"/>
                <w:color w:val="auto"/>
                <w:sz w:val="18"/>
                <w:szCs w:val="18"/>
              </w:rPr>
              <w:t>无培训记录的支付违约金</w:t>
            </w:r>
            <w:r>
              <w:rPr>
                <w:rFonts w:ascii="宋体" w:hAnsi="宋体" w:cs="宋体"/>
                <w:color w:val="auto"/>
                <w:sz w:val="18"/>
                <w:szCs w:val="18"/>
              </w:rPr>
              <w:t>1000元，无消防演练材料支付违约金5000元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8111E2D">
            <w:pPr>
              <w:rPr>
                <w:rFonts w:ascii="宋体" w:hAnsi="宋体" w:cs="宋体"/>
                <w:color w:val="auto"/>
                <w:sz w:val="18"/>
                <w:szCs w:val="18"/>
              </w:rPr>
            </w:pPr>
            <w:r>
              <w:rPr>
                <w:rFonts w:hint="eastAsia" w:ascii="宋体" w:hAnsi="宋体" w:cs="宋体"/>
                <w:color w:val="auto"/>
                <w:sz w:val="18"/>
                <w:szCs w:val="18"/>
              </w:rPr>
              <w:t>无培训记录或记录不全每次扣</w:t>
            </w:r>
            <w:r>
              <w:rPr>
                <w:rFonts w:ascii="宋体" w:hAnsi="宋体" w:cs="宋体"/>
                <w:color w:val="auto"/>
                <w:sz w:val="18"/>
                <w:szCs w:val="18"/>
              </w:rPr>
              <w:t>1</w:t>
            </w:r>
            <w:r>
              <w:rPr>
                <w:rFonts w:hint="eastAsia" w:ascii="宋体" w:hAnsi="宋体" w:cs="宋体"/>
                <w:color w:val="auto"/>
                <w:sz w:val="18"/>
                <w:szCs w:val="18"/>
              </w:rPr>
              <w:t>分，无消防演练材料或消防演练材料不全每次扣</w:t>
            </w:r>
            <w:r>
              <w:rPr>
                <w:rFonts w:ascii="宋体" w:hAnsi="宋体" w:cs="宋体"/>
                <w:color w:val="auto"/>
                <w:sz w:val="18"/>
                <w:szCs w:val="18"/>
              </w:rPr>
              <w:t>5分</w:t>
            </w:r>
          </w:p>
        </w:tc>
      </w:tr>
      <w:tr w14:paraId="4137AC01">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A6E062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3A76174">
            <w:pPr>
              <w:rPr>
                <w:rFonts w:ascii="宋体" w:hAnsi="宋体" w:cs="宋体"/>
                <w:color w:val="auto"/>
                <w:sz w:val="18"/>
                <w:szCs w:val="18"/>
              </w:rPr>
            </w:pPr>
          </w:p>
        </w:tc>
        <w:tc>
          <w:tcPr>
            <w:tcW w:w="477" w:type="dxa"/>
            <w:tcBorders>
              <w:top w:val="single" w:color="auto" w:sz="4" w:space="0"/>
              <w:left w:val="single" w:color="auto" w:sz="4" w:space="0"/>
              <w:bottom w:val="single" w:color="auto" w:sz="4" w:space="0"/>
              <w:right w:val="single" w:color="auto" w:sz="4" w:space="0"/>
            </w:tcBorders>
            <w:noWrap w:val="0"/>
            <w:vAlign w:val="center"/>
          </w:tcPr>
          <w:p w14:paraId="339F10CE">
            <w:pPr>
              <w:rPr>
                <w:rFonts w:ascii="宋体" w:hAnsi="宋体" w:cs="宋体"/>
                <w:color w:val="auto"/>
                <w:sz w:val="18"/>
                <w:szCs w:val="18"/>
              </w:rPr>
            </w:pPr>
            <w:r>
              <w:rPr>
                <w:rFonts w:hint="eastAsia" w:ascii="宋体" w:hAnsi="宋体" w:cs="宋体"/>
                <w:color w:val="auto"/>
                <w:sz w:val="18"/>
                <w:szCs w:val="18"/>
              </w:rPr>
              <w:t>其他安全</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07628D77">
            <w:pPr>
              <w:rPr>
                <w:rFonts w:ascii="宋体" w:hAnsi="宋体" w:cs="宋体"/>
                <w:color w:val="auto"/>
                <w:sz w:val="18"/>
                <w:szCs w:val="18"/>
              </w:rPr>
            </w:pPr>
            <w:r>
              <w:rPr>
                <w:rFonts w:ascii="宋体" w:hAnsi="宋体" w:cs="宋体"/>
                <w:color w:val="auto"/>
                <w:sz w:val="18"/>
                <w:szCs w:val="18"/>
              </w:rPr>
              <w:t>14.应安排专人管理和保护好学校固定资产的安全</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6B6DA6">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460A35B">
            <w:pPr>
              <w:rPr>
                <w:rFonts w:ascii="宋体" w:hAnsi="宋体" w:cs="宋体"/>
                <w:color w:val="auto"/>
                <w:sz w:val="18"/>
                <w:szCs w:val="18"/>
              </w:rPr>
            </w:pPr>
            <w:r>
              <w:rPr>
                <w:rFonts w:hint="eastAsia" w:ascii="宋体" w:hAnsi="宋体" w:cs="宋体"/>
                <w:color w:val="auto"/>
                <w:sz w:val="18"/>
                <w:szCs w:val="18"/>
              </w:rPr>
              <w:t>资产损坏未及时修复的支付违约金</w:t>
            </w:r>
            <w:r>
              <w:rPr>
                <w:rFonts w:ascii="宋体" w:hAnsi="宋体" w:cs="宋体"/>
                <w:color w:val="auto"/>
                <w:sz w:val="18"/>
                <w:szCs w:val="18"/>
              </w:rPr>
              <w:t>1000元/件</w:t>
            </w:r>
          </w:p>
          <w:p w14:paraId="5ADDAB0C">
            <w:pPr>
              <w:rPr>
                <w:rFonts w:ascii="宋体" w:hAnsi="宋体" w:cs="宋体"/>
                <w:color w:val="auto"/>
                <w:sz w:val="18"/>
                <w:szCs w:val="18"/>
              </w:rPr>
            </w:pPr>
            <w:r>
              <w:rPr>
                <w:rFonts w:hint="eastAsia" w:ascii="宋体" w:hAnsi="宋体" w:cs="宋体"/>
                <w:color w:val="auto"/>
                <w:sz w:val="18"/>
                <w:szCs w:val="18"/>
              </w:rPr>
              <w:t>按照学校有关固定资产的相关规定除赔偿损失外，另支付违约金</w:t>
            </w:r>
            <w:r>
              <w:rPr>
                <w:rFonts w:ascii="宋体" w:hAnsi="宋体" w:cs="宋体"/>
                <w:color w:val="auto"/>
                <w:sz w:val="18"/>
                <w:szCs w:val="18"/>
              </w:rPr>
              <w:t>2000元/件</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F27209E">
            <w:pPr>
              <w:rPr>
                <w:rFonts w:ascii="宋体" w:hAnsi="宋体" w:cs="宋体"/>
                <w:color w:val="auto"/>
                <w:sz w:val="18"/>
                <w:szCs w:val="18"/>
              </w:rPr>
            </w:pPr>
            <w:r>
              <w:rPr>
                <w:rFonts w:hint="eastAsia" w:ascii="宋体" w:hAnsi="宋体" w:cs="宋体"/>
                <w:color w:val="auto"/>
                <w:sz w:val="18"/>
                <w:szCs w:val="18"/>
              </w:rPr>
              <w:t>资产损坏未及时修复的扣</w:t>
            </w:r>
            <w:r>
              <w:rPr>
                <w:rFonts w:ascii="宋体" w:hAnsi="宋体" w:cs="宋体"/>
                <w:color w:val="auto"/>
                <w:sz w:val="18"/>
                <w:szCs w:val="18"/>
              </w:rPr>
              <w:t xml:space="preserve">1分/件，资产遗失的扣2分/件 </w:t>
            </w:r>
          </w:p>
        </w:tc>
      </w:tr>
      <w:tr w14:paraId="53C9091F">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6B0DFE2">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A16D84C">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noWrap w:val="0"/>
            <w:vAlign w:val="center"/>
          </w:tcPr>
          <w:p w14:paraId="31746CD7">
            <w:pPr>
              <w:rPr>
                <w:rFonts w:ascii="宋体" w:hAnsi="宋体" w:cs="宋体"/>
                <w:color w:val="auto"/>
                <w:sz w:val="18"/>
                <w:szCs w:val="18"/>
              </w:rPr>
            </w:pPr>
            <w:r>
              <w:rPr>
                <w:rFonts w:hint="eastAsia" w:ascii="宋体" w:hAnsi="宋体" w:cs="宋体"/>
                <w:color w:val="auto"/>
                <w:sz w:val="18"/>
                <w:szCs w:val="18"/>
              </w:rPr>
              <w:t>事故预防制度</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EE55AF2">
            <w:pPr>
              <w:rPr>
                <w:rFonts w:ascii="宋体" w:hAnsi="宋体" w:cs="宋体"/>
                <w:color w:val="auto"/>
                <w:sz w:val="18"/>
                <w:szCs w:val="18"/>
              </w:rPr>
            </w:pPr>
            <w:r>
              <w:rPr>
                <w:rFonts w:ascii="宋体" w:hAnsi="宋体" w:cs="宋体"/>
                <w:color w:val="auto"/>
                <w:sz w:val="18"/>
                <w:szCs w:val="18"/>
              </w:rPr>
              <w:t>15.应对从业人员进行卫生安全知识培训，建有预防食物中毒事故预案及突发安全事件预案</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210805">
            <w:pPr>
              <w:rPr>
                <w:rFonts w:ascii="宋体" w:hAnsi="宋体" w:cs="宋体"/>
                <w:color w:val="auto"/>
                <w:sz w:val="18"/>
                <w:szCs w:val="18"/>
              </w:rPr>
            </w:pPr>
            <w:r>
              <w:rPr>
                <w:rFonts w:hint="eastAsia" w:ascii="宋体" w:hAnsi="宋体" w:cs="宋体"/>
                <w:color w:val="auto"/>
                <w:sz w:val="18"/>
                <w:szCs w:val="18"/>
              </w:rPr>
              <w:t>查看制度</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7FDBBCE">
            <w:pPr>
              <w:rPr>
                <w:rFonts w:ascii="宋体" w:hAnsi="宋体" w:cs="宋体"/>
                <w:color w:val="auto"/>
                <w:sz w:val="18"/>
                <w:szCs w:val="18"/>
              </w:rPr>
            </w:pPr>
            <w:r>
              <w:rPr>
                <w:rFonts w:hint="eastAsia" w:ascii="宋体" w:hAnsi="宋体" w:cs="宋体"/>
                <w:color w:val="auto"/>
                <w:sz w:val="18"/>
                <w:szCs w:val="18"/>
              </w:rPr>
              <w:t>缺预案、未按要求开展培训和培训不到位的支付违约金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89C934">
            <w:pPr>
              <w:rPr>
                <w:rFonts w:ascii="宋体" w:hAnsi="宋体" w:cs="宋体"/>
                <w:color w:val="auto"/>
                <w:sz w:val="18"/>
                <w:szCs w:val="18"/>
              </w:rPr>
            </w:pPr>
            <w:r>
              <w:rPr>
                <w:rFonts w:hint="eastAsia" w:ascii="宋体" w:hAnsi="宋体" w:cs="宋体"/>
                <w:color w:val="auto"/>
                <w:sz w:val="18"/>
                <w:szCs w:val="18"/>
              </w:rPr>
              <w:t>缺预案、未按要求开展培训和培训不到位扣</w:t>
            </w:r>
            <w:r>
              <w:rPr>
                <w:rFonts w:ascii="宋体" w:hAnsi="宋体" w:cs="宋体"/>
                <w:color w:val="auto"/>
                <w:sz w:val="18"/>
                <w:szCs w:val="18"/>
              </w:rPr>
              <w:t>1分/次</w:t>
            </w:r>
          </w:p>
        </w:tc>
      </w:tr>
      <w:tr w14:paraId="04D5C313">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EA0479E">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7B66751">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5802901">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66D4725">
            <w:pPr>
              <w:rPr>
                <w:rFonts w:ascii="宋体" w:hAnsi="宋体" w:cs="宋体"/>
                <w:color w:val="auto"/>
                <w:sz w:val="18"/>
                <w:szCs w:val="18"/>
              </w:rPr>
            </w:pPr>
            <w:r>
              <w:rPr>
                <w:rFonts w:ascii="宋体" w:hAnsi="宋体" w:cs="宋体"/>
                <w:color w:val="auto"/>
                <w:sz w:val="18"/>
                <w:szCs w:val="18"/>
              </w:rPr>
              <w:t>16.应对从业人员进行消防安全知识培训，建有因电气、燃气、油锅着火应急处理机制及预案</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979B54">
            <w:pPr>
              <w:rPr>
                <w:rFonts w:ascii="宋体" w:hAnsi="宋体" w:cs="宋体"/>
                <w:color w:val="auto"/>
                <w:sz w:val="18"/>
                <w:szCs w:val="18"/>
              </w:rPr>
            </w:pPr>
            <w:r>
              <w:rPr>
                <w:rFonts w:hint="eastAsia" w:ascii="宋体" w:hAnsi="宋体" w:cs="宋体"/>
                <w:color w:val="auto"/>
                <w:sz w:val="18"/>
                <w:szCs w:val="18"/>
              </w:rPr>
              <w:t>查看制度</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EE05A8C">
            <w:pPr>
              <w:rPr>
                <w:rFonts w:ascii="宋体" w:hAnsi="宋体" w:cs="宋体"/>
                <w:color w:val="auto"/>
                <w:sz w:val="18"/>
                <w:szCs w:val="18"/>
              </w:rPr>
            </w:pPr>
            <w:r>
              <w:rPr>
                <w:rFonts w:hint="eastAsia" w:ascii="宋体" w:hAnsi="宋体" w:cs="宋体"/>
                <w:color w:val="auto"/>
                <w:sz w:val="18"/>
                <w:szCs w:val="18"/>
              </w:rPr>
              <w:t>缺一项预案支付违约金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ECF0120">
            <w:pPr>
              <w:rPr>
                <w:rFonts w:ascii="宋体" w:hAnsi="宋体" w:cs="宋体"/>
                <w:color w:val="auto"/>
                <w:sz w:val="18"/>
                <w:szCs w:val="18"/>
              </w:rPr>
            </w:pPr>
            <w:r>
              <w:rPr>
                <w:rFonts w:hint="eastAsia" w:ascii="宋体" w:hAnsi="宋体" w:cs="宋体"/>
                <w:color w:val="auto"/>
                <w:sz w:val="18"/>
                <w:szCs w:val="18"/>
              </w:rPr>
              <w:t>缺一项预案扣</w:t>
            </w:r>
            <w:r>
              <w:rPr>
                <w:rFonts w:ascii="宋体" w:hAnsi="宋体" w:cs="宋体"/>
                <w:color w:val="auto"/>
                <w:sz w:val="18"/>
                <w:szCs w:val="18"/>
              </w:rPr>
              <w:t>1分/次</w:t>
            </w:r>
          </w:p>
        </w:tc>
      </w:tr>
      <w:tr w14:paraId="0298D916">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C3307E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3F105503">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65A0EC34">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ED68B6E">
            <w:pPr>
              <w:rPr>
                <w:rFonts w:ascii="宋体" w:hAnsi="宋体" w:cs="宋体"/>
                <w:color w:val="auto"/>
                <w:sz w:val="18"/>
                <w:szCs w:val="18"/>
              </w:rPr>
            </w:pPr>
            <w:r>
              <w:rPr>
                <w:rFonts w:ascii="宋体" w:hAnsi="宋体" w:cs="宋体"/>
                <w:color w:val="auto"/>
                <w:sz w:val="18"/>
                <w:szCs w:val="18"/>
              </w:rPr>
              <w:t>17.应对从业人员进行设备使用培训，建有机械设备、用电、用气(汽)安全操作规程</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22D7DFA">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F31D8EA">
            <w:pPr>
              <w:rPr>
                <w:rFonts w:ascii="宋体" w:hAnsi="宋体" w:cs="宋体"/>
                <w:color w:val="auto"/>
                <w:sz w:val="18"/>
                <w:szCs w:val="18"/>
              </w:rPr>
            </w:pPr>
            <w:r>
              <w:rPr>
                <w:rFonts w:hint="eastAsia" w:ascii="宋体" w:hAnsi="宋体" w:cs="宋体"/>
                <w:color w:val="auto"/>
                <w:sz w:val="18"/>
                <w:szCs w:val="18"/>
              </w:rPr>
              <w:t>缺一项操作规程支付违约金</w:t>
            </w:r>
            <w:r>
              <w:rPr>
                <w:rFonts w:ascii="宋体" w:hAnsi="宋体" w:cs="宋体"/>
                <w:color w:val="auto"/>
                <w:sz w:val="18"/>
                <w:szCs w:val="18"/>
              </w:rPr>
              <w:t>1000元/次</w:t>
            </w:r>
          </w:p>
          <w:p w14:paraId="1DA4DE17">
            <w:pPr>
              <w:rPr>
                <w:rFonts w:ascii="宋体" w:hAnsi="宋体" w:cs="宋体"/>
                <w:color w:val="auto"/>
                <w:sz w:val="18"/>
                <w:szCs w:val="18"/>
              </w:rPr>
            </w:pPr>
            <w:r>
              <w:rPr>
                <w:rFonts w:hint="eastAsia" w:ascii="宋体" w:hAnsi="宋体" w:cs="宋体"/>
                <w:color w:val="auto"/>
                <w:sz w:val="18"/>
                <w:szCs w:val="18"/>
              </w:rPr>
              <w:t>违规操作支付违约金</w:t>
            </w:r>
            <w:r>
              <w:rPr>
                <w:rFonts w:ascii="宋体" w:hAnsi="宋体" w:cs="宋体"/>
                <w:color w:val="auto"/>
                <w:sz w:val="18"/>
                <w:szCs w:val="18"/>
              </w:rPr>
              <w:t>5000元/次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D92E1B">
            <w:pPr>
              <w:rPr>
                <w:rFonts w:ascii="宋体" w:hAnsi="宋体" w:cs="宋体"/>
                <w:color w:val="auto"/>
                <w:sz w:val="18"/>
                <w:szCs w:val="18"/>
              </w:rPr>
            </w:pPr>
            <w:r>
              <w:rPr>
                <w:rFonts w:hint="eastAsia" w:ascii="宋体" w:hAnsi="宋体" w:cs="宋体"/>
                <w:color w:val="auto"/>
                <w:sz w:val="18"/>
                <w:szCs w:val="18"/>
              </w:rPr>
              <w:t>缺一项操作规程扣</w:t>
            </w:r>
            <w:r>
              <w:rPr>
                <w:rFonts w:ascii="宋体" w:hAnsi="宋体" w:cs="宋体"/>
                <w:color w:val="auto"/>
                <w:sz w:val="18"/>
                <w:szCs w:val="18"/>
              </w:rPr>
              <w:t>1分/次</w:t>
            </w:r>
          </w:p>
          <w:p w14:paraId="5EFA3BF7">
            <w:pPr>
              <w:rPr>
                <w:rFonts w:ascii="宋体" w:hAnsi="宋体" w:cs="宋体"/>
                <w:color w:val="auto"/>
                <w:sz w:val="18"/>
                <w:szCs w:val="18"/>
              </w:rPr>
            </w:pPr>
            <w:r>
              <w:rPr>
                <w:rFonts w:hint="eastAsia" w:ascii="宋体" w:hAnsi="宋体" w:cs="宋体"/>
                <w:color w:val="auto"/>
                <w:sz w:val="18"/>
                <w:szCs w:val="18"/>
              </w:rPr>
              <w:t>违规操作扣</w:t>
            </w:r>
            <w:r>
              <w:rPr>
                <w:rFonts w:ascii="宋体" w:hAnsi="宋体" w:cs="宋体"/>
                <w:color w:val="auto"/>
                <w:sz w:val="18"/>
                <w:szCs w:val="18"/>
              </w:rPr>
              <w:t>2分/次</w:t>
            </w:r>
          </w:p>
        </w:tc>
      </w:tr>
      <w:tr w14:paraId="4AC1604F">
        <w:tblPrEx>
          <w:tblCellMar>
            <w:top w:w="0" w:type="dxa"/>
            <w:left w:w="108" w:type="dxa"/>
            <w:bottom w:w="0" w:type="dxa"/>
            <w:right w:w="108" w:type="dxa"/>
          </w:tblCellMar>
        </w:tblPrEx>
        <w:trPr>
          <w:trHeight w:val="960"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73785027">
            <w:pPr>
              <w:rPr>
                <w:rFonts w:ascii="宋体" w:hAnsi="宋体" w:cs="宋体"/>
                <w:color w:val="auto"/>
                <w:sz w:val="18"/>
                <w:szCs w:val="18"/>
              </w:rPr>
            </w:pPr>
            <w:r>
              <w:rPr>
                <w:rFonts w:hint="eastAsia" w:ascii="宋体" w:hAnsi="宋体" w:cs="宋体"/>
                <w:color w:val="auto"/>
                <w:sz w:val="18"/>
                <w:szCs w:val="18"/>
              </w:rPr>
              <w:t>二</w:t>
            </w:r>
          </w:p>
        </w:tc>
        <w:tc>
          <w:tcPr>
            <w:tcW w:w="63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0426D76">
            <w:pPr>
              <w:rPr>
                <w:rFonts w:ascii="宋体" w:hAnsi="宋体" w:cs="宋体"/>
                <w:color w:val="auto"/>
                <w:sz w:val="18"/>
                <w:szCs w:val="18"/>
              </w:rPr>
            </w:pPr>
            <w:r>
              <w:rPr>
                <w:rFonts w:hint="eastAsia" w:ascii="宋体" w:hAnsi="宋体" w:cs="宋体"/>
                <w:color w:val="auto"/>
                <w:sz w:val="18"/>
                <w:szCs w:val="18"/>
              </w:rPr>
              <w:t>食品管理</w:t>
            </w: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A74C5C2">
            <w:pPr>
              <w:jc w:val="center"/>
              <w:rPr>
                <w:rFonts w:ascii="宋体" w:hAnsi="宋体" w:cs="宋体"/>
                <w:color w:val="auto"/>
                <w:sz w:val="18"/>
                <w:szCs w:val="18"/>
              </w:rPr>
            </w:pPr>
            <w:r>
              <w:rPr>
                <w:rFonts w:hint="eastAsia" w:ascii="宋体" w:hAnsi="宋体" w:cs="宋体"/>
                <w:color w:val="auto"/>
                <w:sz w:val="18"/>
                <w:szCs w:val="18"/>
              </w:rPr>
              <w:t>采购</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5B02F49">
            <w:pPr>
              <w:rPr>
                <w:rFonts w:ascii="宋体" w:hAnsi="宋体" w:cs="宋体"/>
                <w:color w:val="auto"/>
                <w:sz w:val="18"/>
                <w:szCs w:val="18"/>
              </w:rPr>
            </w:pPr>
            <w:r>
              <w:rPr>
                <w:rFonts w:ascii="宋体" w:hAnsi="宋体" w:cs="宋体"/>
                <w:color w:val="auto"/>
                <w:sz w:val="18"/>
                <w:szCs w:val="18"/>
              </w:rPr>
              <w:t>18.建立食品安全追溯体系，保证食品可追溯。必须落实原材料公司统一、集中定点采购制度，食品原材料采购应符合国家有关规定以及学校要求，不得采购临期和过期食品。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2AA196">
            <w:pPr>
              <w:rPr>
                <w:rFonts w:ascii="宋体" w:hAnsi="宋体" w:cs="宋体"/>
                <w:color w:val="auto"/>
                <w:sz w:val="18"/>
                <w:szCs w:val="18"/>
              </w:rPr>
            </w:pPr>
            <w:r>
              <w:rPr>
                <w:rFonts w:hint="eastAsia" w:ascii="宋体" w:hAnsi="宋体" w:cs="宋体"/>
                <w:color w:val="auto"/>
                <w:sz w:val="18"/>
                <w:szCs w:val="18"/>
              </w:rPr>
              <w:t>现场</w:t>
            </w:r>
          </w:p>
          <w:p w14:paraId="70819AEA">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06ECC40">
            <w:pPr>
              <w:rPr>
                <w:rFonts w:ascii="宋体" w:hAnsi="宋体" w:cs="宋体"/>
                <w:color w:val="auto"/>
                <w:sz w:val="18"/>
                <w:szCs w:val="18"/>
              </w:rPr>
            </w:pPr>
            <w:r>
              <w:rPr>
                <w:rFonts w:hint="eastAsia" w:ascii="宋体" w:hAnsi="宋体" w:cs="宋体"/>
                <w:color w:val="auto"/>
                <w:sz w:val="18"/>
                <w:szCs w:val="18"/>
              </w:rPr>
              <w:t>违规采购的支付违约金</w:t>
            </w:r>
            <w:r>
              <w:rPr>
                <w:rFonts w:ascii="宋体" w:hAnsi="宋体" w:cs="宋体"/>
                <w:color w:val="auto"/>
                <w:sz w:val="18"/>
                <w:szCs w:val="18"/>
              </w:rPr>
              <w:t>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CF62F6">
            <w:pPr>
              <w:rPr>
                <w:rFonts w:ascii="宋体" w:hAnsi="宋体" w:cs="宋体"/>
                <w:color w:val="auto"/>
                <w:sz w:val="18"/>
                <w:szCs w:val="18"/>
              </w:rPr>
            </w:pPr>
            <w:r>
              <w:rPr>
                <w:rFonts w:hint="eastAsia" w:ascii="宋体" w:hAnsi="宋体" w:cs="宋体"/>
                <w:color w:val="auto"/>
                <w:sz w:val="18"/>
                <w:szCs w:val="18"/>
              </w:rPr>
              <w:t>违规采购的扣</w:t>
            </w:r>
            <w:r>
              <w:rPr>
                <w:rFonts w:ascii="宋体" w:hAnsi="宋体" w:cs="宋体"/>
                <w:color w:val="auto"/>
                <w:sz w:val="18"/>
                <w:szCs w:val="18"/>
              </w:rPr>
              <w:t>5分/次</w:t>
            </w:r>
          </w:p>
        </w:tc>
      </w:tr>
      <w:tr w14:paraId="077D7538">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75DF8750">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F865EDB">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37EE72AD">
            <w:pPr>
              <w:jc w:val="cente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0762C70">
            <w:pPr>
              <w:rPr>
                <w:rFonts w:ascii="宋体" w:hAnsi="宋体" w:cs="宋体"/>
                <w:color w:val="auto"/>
                <w:sz w:val="18"/>
                <w:szCs w:val="18"/>
              </w:rPr>
            </w:pPr>
            <w:r>
              <w:rPr>
                <w:rFonts w:ascii="宋体" w:hAnsi="宋体" w:cs="宋体"/>
                <w:color w:val="auto"/>
                <w:sz w:val="18"/>
                <w:szCs w:val="18"/>
              </w:rPr>
              <w:t>19.主要原材料应建立定点供货单位及采购品种备案制度，供货单位必须持有营业执照、卫生许可证、动植物检疫合格证等相关证件并建立台帐。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D7E609">
            <w:pPr>
              <w:rPr>
                <w:rFonts w:ascii="宋体" w:hAnsi="宋体" w:cs="宋体"/>
                <w:color w:val="auto"/>
                <w:sz w:val="18"/>
                <w:szCs w:val="18"/>
              </w:rPr>
            </w:pPr>
            <w:r>
              <w:rPr>
                <w:rFonts w:hint="eastAsia" w:ascii="宋体" w:hAnsi="宋体" w:cs="宋体"/>
                <w:color w:val="auto"/>
                <w:sz w:val="18"/>
                <w:szCs w:val="18"/>
              </w:rPr>
              <w:t>查看证件</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EBBB9B5">
            <w:pPr>
              <w:rPr>
                <w:rFonts w:ascii="宋体" w:hAnsi="宋体" w:cs="宋体"/>
                <w:color w:val="auto"/>
                <w:sz w:val="18"/>
                <w:szCs w:val="18"/>
              </w:rPr>
            </w:pPr>
            <w:r>
              <w:rPr>
                <w:rFonts w:hint="eastAsia" w:ascii="宋体" w:hAnsi="宋体" w:cs="宋体"/>
                <w:color w:val="auto"/>
                <w:sz w:val="18"/>
                <w:szCs w:val="18"/>
              </w:rPr>
              <w:t>无采购合同备案及相关证件的每缺一项支付违约金</w:t>
            </w:r>
            <w:r>
              <w:rPr>
                <w:rFonts w:ascii="宋体" w:hAnsi="宋体" w:cs="宋体"/>
                <w:color w:val="auto"/>
                <w:sz w:val="18"/>
                <w:szCs w:val="18"/>
              </w:rPr>
              <w:t>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89F21FF">
            <w:pPr>
              <w:rPr>
                <w:rFonts w:ascii="宋体" w:hAnsi="宋体" w:cs="宋体"/>
                <w:color w:val="auto"/>
                <w:sz w:val="18"/>
                <w:szCs w:val="18"/>
              </w:rPr>
            </w:pPr>
            <w:r>
              <w:rPr>
                <w:rFonts w:hint="eastAsia" w:ascii="宋体" w:hAnsi="宋体" w:cs="宋体"/>
                <w:color w:val="auto"/>
                <w:sz w:val="18"/>
                <w:szCs w:val="18"/>
              </w:rPr>
              <w:t>无采购合同备案及相关证件的每缺一项扣</w:t>
            </w:r>
            <w:r>
              <w:rPr>
                <w:rFonts w:ascii="宋体" w:hAnsi="宋体" w:cs="宋体"/>
                <w:color w:val="auto"/>
                <w:sz w:val="18"/>
                <w:szCs w:val="18"/>
              </w:rPr>
              <w:t>5分</w:t>
            </w:r>
          </w:p>
        </w:tc>
      </w:tr>
      <w:tr w14:paraId="7EBAB5E5">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5E64362">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16C3D70">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01D46604">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0FE6396">
            <w:pPr>
              <w:rPr>
                <w:rFonts w:ascii="宋体" w:hAnsi="宋体" w:cs="宋体"/>
                <w:color w:val="auto"/>
                <w:sz w:val="18"/>
                <w:szCs w:val="18"/>
              </w:rPr>
            </w:pPr>
            <w:r>
              <w:rPr>
                <w:rFonts w:ascii="宋体" w:hAnsi="宋体" w:cs="宋体"/>
                <w:color w:val="auto"/>
                <w:sz w:val="18"/>
                <w:szCs w:val="18"/>
              </w:rPr>
              <w:t>20.建立落实采购登记台账制度（电子与纸质）和食品原材料索证（肉类品质检验合格证、动植物检疫合格证等）、索票制度，每批次物品应有生产厂家、产地、生产日期、保质期及QS认证等标识。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B791C14">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8CC92F9">
            <w:pPr>
              <w:rPr>
                <w:rFonts w:ascii="宋体" w:hAnsi="宋体" w:cs="宋体"/>
                <w:color w:val="auto"/>
                <w:sz w:val="18"/>
                <w:szCs w:val="18"/>
              </w:rPr>
            </w:pPr>
            <w:r>
              <w:rPr>
                <w:rFonts w:hint="eastAsia" w:ascii="宋体" w:hAnsi="宋体" w:cs="宋体"/>
                <w:color w:val="auto"/>
                <w:sz w:val="18"/>
                <w:szCs w:val="18"/>
              </w:rPr>
              <w:t>每缺一项支付违约金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A3B91A9">
            <w:pPr>
              <w:rPr>
                <w:rFonts w:ascii="宋体" w:hAnsi="宋体" w:cs="宋体"/>
                <w:color w:val="auto"/>
                <w:sz w:val="18"/>
                <w:szCs w:val="18"/>
              </w:rPr>
            </w:pPr>
            <w:r>
              <w:rPr>
                <w:rFonts w:hint="eastAsia" w:ascii="宋体" w:hAnsi="宋体" w:cs="宋体"/>
                <w:color w:val="auto"/>
                <w:sz w:val="18"/>
                <w:szCs w:val="18"/>
              </w:rPr>
              <w:t>缺项的扣</w:t>
            </w:r>
            <w:r>
              <w:rPr>
                <w:rFonts w:ascii="宋体" w:hAnsi="宋体" w:cs="宋体"/>
                <w:color w:val="auto"/>
                <w:sz w:val="18"/>
                <w:szCs w:val="18"/>
              </w:rPr>
              <w:t>1分/项/次</w:t>
            </w:r>
          </w:p>
        </w:tc>
      </w:tr>
      <w:tr w14:paraId="4360F6A5">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346666F">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50C048B">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3B18E90A">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0D300E78">
            <w:pPr>
              <w:rPr>
                <w:rFonts w:ascii="宋体" w:hAnsi="宋体" w:cs="宋体"/>
                <w:color w:val="auto"/>
                <w:sz w:val="18"/>
                <w:szCs w:val="18"/>
              </w:rPr>
            </w:pPr>
            <w:r>
              <w:rPr>
                <w:rFonts w:ascii="宋体" w:hAnsi="宋体" w:cs="宋体"/>
                <w:color w:val="auto"/>
                <w:sz w:val="18"/>
                <w:szCs w:val="18"/>
              </w:rPr>
              <w:t>21.采购的原材料应符合国家有关标准和本合同规定</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8AB01C">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77D3A9E">
            <w:pPr>
              <w:rPr>
                <w:rFonts w:ascii="宋体" w:hAnsi="宋体" w:cs="宋体"/>
                <w:color w:val="auto"/>
                <w:sz w:val="18"/>
                <w:szCs w:val="18"/>
              </w:rPr>
            </w:pPr>
            <w:r>
              <w:rPr>
                <w:rFonts w:hint="eastAsia" w:ascii="宋体" w:hAnsi="宋体" w:cs="宋体"/>
                <w:color w:val="auto"/>
                <w:sz w:val="18"/>
                <w:szCs w:val="18"/>
              </w:rPr>
              <w:t>每违规采购一次支付违约金</w:t>
            </w:r>
            <w:r>
              <w:rPr>
                <w:rFonts w:ascii="宋体" w:hAnsi="宋体" w:cs="宋体"/>
                <w:color w:val="auto"/>
                <w:sz w:val="18"/>
                <w:szCs w:val="18"/>
              </w:rPr>
              <w:t>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6CAD67F">
            <w:pPr>
              <w:rPr>
                <w:rFonts w:ascii="宋体" w:hAnsi="宋体" w:cs="宋体"/>
                <w:color w:val="auto"/>
                <w:sz w:val="18"/>
                <w:szCs w:val="18"/>
              </w:rPr>
            </w:pPr>
            <w:r>
              <w:rPr>
                <w:rFonts w:hint="eastAsia" w:ascii="宋体" w:hAnsi="宋体" w:cs="宋体"/>
                <w:color w:val="auto"/>
                <w:sz w:val="18"/>
                <w:szCs w:val="18"/>
              </w:rPr>
              <w:t>违规采购扣</w:t>
            </w:r>
            <w:r>
              <w:rPr>
                <w:rFonts w:ascii="宋体" w:hAnsi="宋体" w:cs="宋体"/>
                <w:color w:val="auto"/>
                <w:sz w:val="18"/>
                <w:szCs w:val="18"/>
              </w:rPr>
              <w:t>5分/次</w:t>
            </w:r>
          </w:p>
        </w:tc>
      </w:tr>
      <w:tr w14:paraId="737CB309">
        <w:tblPrEx>
          <w:tblCellMar>
            <w:top w:w="0" w:type="dxa"/>
            <w:left w:w="108" w:type="dxa"/>
            <w:bottom w:w="0" w:type="dxa"/>
            <w:right w:w="108" w:type="dxa"/>
          </w:tblCellMar>
        </w:tblPrEx>
        <w:trPr>
          <w:trHeight w:val="96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F5F5D74">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605D9A1">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09DB29F">
            <w:pPr>
              <w:jc w:val="center"/>
              <w:rPr>
                <w:rFonts w:ascii="宋体" w:hAnsi="宋体" w:cs="宋体"/>
                <w:color w:val="auto"/>
                <w:sz w:val="18"/>
                <w:szCs w:val="18"/>
              </w:rPr>
            </w:pPr>
            <w:r>
              <w:rPr>
                <w:rFonts w:hint="eastAsia" w:ascii="宋体" w:hAnsi="宋体" w:cs="宋体"/>
                <w:color w:val="auto"/>
                <w:sz w:val="18"/>
                <w:szCs w:val="18"/>
              </w:rPr>
              <w:t>存储</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B6CDBB6">
            <w:pPr>
              <w:rPr>
                <w:rFonts w:ascii="宋体" w:hAnsi="宋体" w:cs="宋体"/>
                <w:color w:val="auto"/>
                <w:sz w:val="18"/>
                <w:szCs w:val="18"/>
              </w:rPr>
            </w:pPr>
            <w:r>
              <w:rPr>
                <w:rFonts w:ascii="宋体" w:hAnsi="宋体" w:cs="宋体"/>
                <w:color w:val="auto"/>
                <w:sz w:val="18"/>
                <w:szCs w:val="18"/>
              </w:rPr>
              <w:t>22.仓库管理规范，物资分类存放，食品贮藏应做到原料、半成品、成品严格分开，做到生、熟分开，植物性食品、动物性食品和水产品分类摆放，冷藏柜(库)存放食品有标志。散装食品应标</w:t>
            </w:r>
            <w:r>
              <w:rPr>
                <w:rFonts w:hint="eastAsia" w:ascii="宋体" w:hAnsi="宋体" w:cs="宋体"/>
                <w:color w:val="auto"/>
                <w:sz w:val="18"/>
                <w:szCs w:val="18"/>
              </w:rPr>
              <w:t>明食品的名称、生产日期或生产批号、使用期限等内容，装入密闭容器或使用保鲜膜等无污染覆盖贮存。</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143FCC6">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D304870">
            <w:pPr>
              <w:rPr>
                <w:rFonts w:ascii="宋体" w:hAnsi="宋体" w:cs="宋体"/>
                <w:color w:val="auto"/>
                <w:sz w:val="18"/>
                <w:szCs w:val="18"/>
              </w:rPr>
            </w:pPr>
            <w:r>
              <w:rPr>
                <w:rFonts w:hint="eastAsia" w:ascii="宋体" w:hAnsi="宋体" w:cs="宋体"/>
                <w:color w:val="auto"/>
                <w:sz w:val="18"/>
                <w:szCs w:val="18"/>
              </w:rPr>
              <w:t>不符合要求每次支付违约金</w:t>
            </w:r>
            <w:r>
              <w:rPr>
                <w:rFonts w:ascii="宋体" w:hAnsi="宋体" w:cs="宋体"/>
                <w:color w:val="auto"/>
                <w:sz w:val="18"/>
                <w:szCs w:val="18"/>
              </w:rPr>
              <w:t>2000元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80B066F">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2分/次；</w:t>
            </w:r>
          </w:p>
        </w:tc>
      </w:tr>
      <w:tr w14:paraId="3AC2F8E9">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99153CE">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029B588">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7CC98F13">
            <w:pPr>
              <w:jc w:val="cente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C8048D1">
            <w:pPr>
              <w:rPr>
                <w:rFonts w:ascii="宋体" w:hAnsi="宋体" w:cs="宋体"/>
                <w:color w:val="auto"/>
                <w:sz w:val="18"/>
                <w:szCs w:val="18"/>
              </w:rPr>
            </w:pPr>
            <w:r>
              <w:rPr>
                <w:rFonts w:ascii="宋体" w:hAnsi="宋体" w:cs="宋体"/>
                <w:color w:val="auto"/>
                <w:sz w:val="18"/>
                <w:szCs w:val="18"/>
              </w:rPr>
              <w:t>23.建立严格记录制度，定期清理腐败变质等感官性状异常食品、超过保质期等的相关产品。食品库无过期、变质及非食品物资</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F0FFCF">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ED78588">
            <w:pPr>
              <w:rPr>
                <w:rFonts w:ascii="宋体" w:hAnsi="宋体" w:cs="宋体"/>
                <w:color w:val="auto"/>
                <w:sz w:val="18"/>
                <w:szCs w:val="18"/>
              </w:rPr>
            </w:pPr>
            <w:r>
              <w:rPr>
                <w:rFonts w:hint="eastAsia" w:ascii="宋体" w:hAnsi="宋体" w:cs="宋体"/>
                <w:color w:val="auto"/>
                <w:sz w:val="18"/>
                <w:szCs w:val="18"/>
              </w:rPr>
              <w:t>发现感官性状异常食品的支付违约金</w:t>
            </w:r>
            <w:r>
              <w:rPr>
                <w:rFonts w:ascii="宋体" w:hAnsi="宋体" w:cs="宋体"/>
                <w:color w:val="auto"/>
                <w:sz w:val="18"/>
                <w:szCs w:val="18"/>
              </w:rPr>
              <w:t>5000元/次，发现腐败变质或超过保质期的相关产品的支付违约金10000元/次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547A34">
            <w:pPr>
              <w:rPr>
                <w:rFonts w:ascii="宋体" w:hAnsi="宋体" w:cs="宋体"/>
                <w:color w:val="auto"/>
                <w:sz w:val="18"/>
                <w:szCs w:val="18"/>
              </w:rPr>
            </w:pPr>
            <w:r>
              <w:rPr>
                <w:rFonts w:hint="eastAsia" w:ascii="宋体" w:hAnsi="宋体" w:cs="宋体"/>
                <w:color w:val="auto"/>
                <w:sz w:val="18"/>
                <w:szCs w:val="18"/>
              </w:rPr>
              <w:t>发现感官性状异常或腐败变质或超过保质期的相关产品的，涉事当学期考核直接为不合格</w:t>
            </w:r>
          </w:p>
        </w:tc>
      </w:tr>
      <w:tr w14:paraId="6D9EFF9A">
        <w:tblPrEx>
          <w:tblCellMar>
            <w:top w:w="0" w:type="dxa"/>
            <w:left w:w="108" w:type="dxa"/>
            <w:bottom w:w="0" w:type="dxa"/>
            <w:right w:w="108" w:type="dxa"/>
          </w:tblCellMar>
        </w:tblPrEx>
        <w:trPr>
          <w:trHeight w:val="469"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76B6825">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CC6D018">
            <w:pPr>
              <w:rPr>
                <w:rFonts w:ascii="宋体" w:hAnsi="宋体" w:cs="宋体"/>
                <w:color w:val="auto"/>
                <w:sz w:val="18"/>
                <w:szCs w:val="18"/>
              </w:rPr>
            </w:pPr>
          </w:p>
        </w:tc>
        <w:tc>
          <w:tcPr>
            <w:tcW w:w="477" w:type="dxa"/>
            <w:tcBorders>
              <w:top w:val="single" w:color="auto" w:sz="4" w:space="0"/>
              <w:left w:val="single" w:color="auto" w:sz="4" w:space="0"/>
              <w:bottom w:val="single" w:color="auto" w:sz="4" w:space="0"/>
              <w:right w:val="single" w:color="auto" w:sz="4" w:space="0"/>
            </w:tcBorders>
            <w:noWrap w:val="0"/>
            <w:vAlign w:val="center"/>
          </w:tcPr>
          <w:p w14:paraId="02DD3AB9">
            <w:pPr>
              <w:rPr>
                <w:rFonts w:ascii="宋体" w:hAnsi="宋体" w:cs="宋体"/>
                <w:color w:val="auto"/>
                <w:sz w:val="18"/>
                <w:szCs w:val="18"/>
              </w:rPr>
            </w:pPr>
            <w:r>
              <w:rPr>
                <w:rFonts w:hint="eastAsia" w:ascii="宋体" w:hAnsi="宋体" w:cs="宋体"/>
                <w:color w:val="auto"/>
                <w:sz w:val="18"/>
                <w:szCs w:val="18"/>
              </w:rPr>
              <w:t>包装</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CF0B79A">
            <w:pPr>
              <w:rPr>
                <w:rFonts w:ascii="宋体" w:hAnsi="宋体" w:cs="宋体"/>
                <w:color w:val="auto"/>
                <w:sz w:val="18"/>
                <w:szCs w:val="18"/>
              </w:rPr>
            </w:pPr>
            <w:r>
              <w:rPr>
                <w:rFonts w:ascii="宋体" w:hAnsi="宋体" w:cs="宋体"/>
                <w:color w:val="auto"/>
                <w:sz w:val="18"/>
                <w:szCs w:val="18"/>
              </w:rPr>
              <w:t>24.盛放食品（含半成品和成品）的容器、包装材料应符合食品安全相关规定。</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716D533">
            <w:pPr>
              <w:rPr>
                <w:rFonts w:ascii="宋体" w:hAnsi="宋体" w:cs="宋体"/>
                <w:color w:val="auto"/>
                <w:sz w:val="18"/>
                <w:szCs w:val="18"/>
              </w:rPr>
            </w:pPr>
            <w:r>
              <w:rPr>
                <w:rFonts w:hint="eastAsia" w:ascii="宋体" w:hAnsi="宋体" w:cs="宋体"/>
                <w:color w:val="auto"/>
                <w:sz w:val="18"/>
                <w:szCs w:val="18"/>
              </w:rPr>
              <w:t>现场</w:t>
            </w:r>
          </w:p>
          <w:p w14:paraId="5E51BED2">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272C2BD">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E21840A">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11171CE8">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AA6BC52">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E800C79">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B4A0113">
            <w:pPr>
              <w:jc w:val="center"/>
              <w:rPr>
                <w:rFonts w:ascii="宋体" w:hAnsi="宋体" w:cs="宋体"/>
                <w:color w:val="auto"/>
                <w:sz w:val="18"/>
                <w:szCs w:val="18"/>
              </w:rPr>
            </w:pPr>
            <w:r>
              <w:rPr>
                <w:rFonts w:hint="eastAsia" w:ascii="宋体" w:hAnsi="宋体" w:cs="宋体"/>
                <w:color w:val="auto"/>
                <w:sz w:val="18"/>
                <w:szCs w:val="18"/>
              </w:rPr>
              <w:t>加工</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286CE02">
            <w:pPr>
              <w:rPr>
                <w:rFonts w:ascii="宋体" w:hAnsi="宋体" w:cs="宋体"/>
                <w:color w:val="auto"/>
                <w:sz w:val="18"/>
                <w:szCs w:val="18"/>
              </w:rPr>
            </w:pPr>
            <w:r>
              <w:rPr>
                <w:rFonts w:ascii="宋体" w:hAnsi="宋体" w:cs="宋体"/>
                <w:color w:val="auto"/>
                <w:sz w:val="18"/>
                <w:szCs w:val="18"/>
              </w:rPr>
              <w:t>25.食品加工应做到流程合理，操作规范。食品加工、存放、陈列、转运等设施设备应当定期维护、清洗、消毒；保温、冷藏和冷冻设施应当定期清洗、校验。食堂应当设置专用操作区，制定并在显著位置公示加工制作操作规范；备餐操作时应当避免食品受到污染。</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22DB8D4">
            <w:pPr>
              <w:rPr>
                <w:rFonts w:ascii="宋体" w:hAnsi="宋体" w:cs="宋体"/>
                <w:color w:val="auto"/>
                <w:sz w:val="18"/>
                <w:szCs w:val="18"/>
              </w:rPr>
            </w:pPr>
            <w:r>
              <w:rPr>
                <w:rFonts w:hint="eastAsia" w:ascii="宋体" w:hAnsi="宋体" w:cs="宋体"/>
                <w:color w:val="auto"/>
                <w:sz w:val="18"/>
                <w:szCs w:val="18"/>
              </w:rPr>
              <w:t>现场查看</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64304EB">
            <w:pPr>
              <w:rPr>
                <w:rFonts w:ascii="宋体" w:hAnsi="宋体" w:cs="宋体"/>
                <w:color w:val="auto"/>
                <w:sz w:val="18"/>
                <w:szCs w:val="18"/>
              </w:rPr>
            </w:pPr>
            <w:r>
              <w:rPr>
                <w:rFonts w:hint="eastAsia" w:ascii="宋体" w:hAnsi="宋体" w:cs="宋体"/>
                <w:color w:val="auto"/>
                <w:sz w:val="18"/>
                <w:szCs w:val="18"/>
              </w:rPr>
              <w:t>不符合要求的每次支付违约金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0E8CCB7">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2B034FBA">
        <w:tblPrEx>
          <w:tblCellMar>
            <w:top w:w="0" w:type="dxa"/>
            <w:left w:w="108" w:type="dxa"/>
            <w:bottom w:w="0" w:type="dxa"/>
            <w:right w:w="108" w:type="dxa"/>
          </w:tblCellMar>
        </w:tblPrEx>
        <w:trPr>
          <w:trHeight w:val="72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77E639D">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4AB6BAF">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102DC938">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1BB8339">
            <w:pPr>
              <w:rPr>
                <w:rFonts w:ascii="宋体" w:hAnsi="宋体" w:cs="宋体"/>
                <w:color w:val="auto"/>
                <w:sz w:val="18"/>
                <w:szCs w:val="18"/>
              </w:rPr>
            </w:pPr>
            <w:r>
              <w:rPr>
                <w:rFonts w:ascii="宋体" w:hAnsi="宋体" w:cs="宋体"/>
                <w:color w:val="auto"/>
                <w:sz w:val="18"/>
                <w:szCs w:val="18"/>
              </w:rPr>
              <w:t>26.</w:t>
            </w:r>
            <w:r>
              <w:rPr>
                <w:rFonts w:hint="eastAsia" w:ascii="宋体" w:hAnsi="宋体" w:cs="宋体"/>
                <w:color w:val="auto"/>
                <w:sz w:val="18"/>
                <w:szCs w:val="18"/>
              </w:rPr>
              <w:t>各类主副食应按照规范的配比标准加工（具体配比标准按照学校相关要求执行），菜品主辅料用量应符合学校相关要求或食堂报备标准。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65283D0">
            <w:pPr>
              <w:rPr>
                <w:rFonts w:ascii="宋体" w:hAnsi="宋体" w:cs="宋体"/>
                <w:color w:val="auto"/>
                <w:sz w:val="18"/>
                <w:szCs w:val="18"/>
              </w:rPr>
            </w:pPr>
            <w:r>
              <w:rPr>
                <w:rFonts w:hint="eastAsia" w:ascii="宋体" w:hAnsi="宋体" w:cs="宋体"/>
                <w:color w:val="auto"/>
                <w:sz w:val="18"/>
                <w:szCs w:val="18"/>
              </w:rPr>
              <w:t>现场抽检</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447A10F">
            <w:pPr>
              <w:rPr>
                <w:rFonts w:ascii="宋体" w:hAnsi="宋体" w:cs="宋体"/>
                <w:color w:val="auto"/>
                <w:sz w:val="18"/>
                <w:szCs w:val="18"/>
              </w:rPr>
            </w:pPr>
            <w:r>
              <w:rPr>
                <w:rFonts w:hint="eastAsia" w:ascii="宋体" w:hAnsi="宋体" w:cs="宋体"/>
                <w:color w:val="auto"/>
                <w:sz w:val="18"/>
                <w:szCs w:val="18"/>
              </w:rPr>
              <w:t>不符合要求的每一品种支付违约金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4C1077">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43CA4576">
        <w:tblPrEx>
          <w:tblCellMar>
            <w:top w:w="0" w:type="dxa"/>
            <w:left w:w="108" w:type="dxa"/>
            <w:bottom w:w="0" w:type="dxa"/>
            <w:right w:w="108" w:type="dxa"/>
          </w:tblCellMar>
        </w:tblPrEx>
        <w:trPr>
          <w:trHeight w:val="7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C5EB44B">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21DAFD0">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6204E242">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06DFB21">
            <w:pPr>
              <w:rPr>
                <w:rFonts w:ascii="宋体" w:hAnsi="宋体" w:cs="宋体"/>
                <w:color w:val="auto"/>
                <w:sz w:val="18"/>
                <w:szCs w:val="18"/>
              </w:rPr>
            </w:pPr>
            <w:r>
              <w:rPr>
                <w:rFonts w:ascii="宋体" w:hAnsi="宋体" w:cs="宋体"/>
                <w:color w:val="auto"/>
                <w:sz w:val="18"/>
                <w:szCs w:val="18"/>
              </w:rPr>
              <w:t>27.制售冷食类食品、生食类食品、裱花蛋糕、现</w:t>
            </w:r>
            <w:r>
              <w:rPr>
                <w:rFonts w:hint="eastAsia" w:ascii="宋体" w:hAnsi="宋体" w:cs="宋体"/>
                <w:color w:val="auto"/>
                <w:sz w:val="18"/>
                <w:szCs w:val="18"/>
              </w:rPr>
              <w:t>榨果蔬汁等，应当按照有关要求设置专间或者专用操作区，专间应当在加工制作前进行消毒，并由专人加工操作；凉菜应由专间、专人和专用设施设备加工，凉菜间应安装空调。</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B8EC59">
            <w:pPr>
              <w:rPr>
                <w:rFonts w:ascii="宋体" w:hAnsi="宋体" w:cs="宋体"/>
                <w:color w:val="auto"/>
                <w:sz w:val="18"/>
                <w:szCs w:val="18"/>
              </w:rPr>
            </w:pPr>
            <w:r>
              <w:rPr>
                <w:rFonts w:hint="eastAsia" w:ascii="宋体" w:hAnsi="宋体" w:cs="宋体"/>
                <w:color w:val="auto"/>
                <w:sz w:val="18"/>
                <w:szCs w:val="18"/>
              </w:rPr>
              <w:t>现场</w:t>
            </w:r>
          </w:p>
          <w:p w14:paraId="668ACE0E">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6BA5855">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2000元/项/次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404B213">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2分/项/次</w:t>
            </w:r>
          </w:p>
        </w:tc>
      </w:tr>
      <w:tr w14:paraId="160CC431">
        <w:tblPrEx>
          <w:tblCellMar>
            <w:top w:w="0" w:type="dxa"/>
            <w:left w:w="108" w:type="dxa"/>
            <w:bottom w:w="0" w:type="dxa"/>
            <w:right w:w="108" w:type="dxa"/>
          </w:tblCellMar>
        </w:tblPrEx>
        <w:trPr>
          <w:trHeight w:val="915"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5BF09F9">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311702C4">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5A40EFAE">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961C45C">
            <w:pPr>
              <w:rPr>
                <w:rFonts w:ascii="宋体" w:hAnsi="宋体" w:cs="宋体"/>
                <w:color w:val="auto"/>
                <w:sz w:val="18"/>
                <w:szCs w:val="18"/>
              </w:rPr>
            </w:pPr>
            <w:r>
              <w:rPr>
                <w:rFonts w:ascii="宋体" w:hAnsi="宋体" w:cs="宋体"/>
                <w:color w:val="auto"/>
                <w:sz w:val="18"/>
                <w:szCs w:val="18"/>
              </w:rPr>
              <w:t>28.加工生、熟、荤、素食品应做到用具分开、整洁、消毒、摆放整齐；用于加工动物性食品原料、植物性食品原料、水产品原料、半成品或者成品等的容器、工具应当从形状、材质、颜色、标识上明显区分，做到分开使用，固定存放，用后洗净并保持清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8673B49">
            <w:pPr>
              <w:rPr>
                <w:rFonts w:ascii="宋体" w:hAnsi="宋体" w:cs="宋体"/>
                <w:color w:val="auto"/>
                <w:sz w:val="18"/>
                <w:szCs w:val="18"/>
              </w:rPr>
            </w:pPr>
            <w:r>
              <w:rPr>
                <w:rFonts w:hint="eastAsia" w:ascii="宋体" w:hAnsi="宋体" w:cs="宋体"/>
                <w:color w:val="auto"/>
                <w:sz w:val="18"/>
                <w:szCs w:val="18"/>
              </w:rPr>
              <w:t>现场</w:t>
            </w:r>
          </w:p>
          <w:p w14:paraId="7082A706">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EA5103C">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DA60CCE">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2分/次</w:t>
            </w:r>
          </w:p>
        </w:tc>
      </w:tr>
      <w:tr w14:paraId="56B3D636">
        <w:tblPrEx>
          <w:tblCellMar>
            <w:top w:w="0" w:type="dxa"/>
            <w:left w:w="108" w:type="dxa"/>
            <w:bottom w:w="0" w:type="dxa"/>
            <w:right w:w="108" w:type="dxa"/>
          </w:tblCellMar>
        </w:tblPrEx>
        <w:trPr>
          <w:trHeight w:val="9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02B131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96D84D7">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2A54416C">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127660A0">
            <w:pPr>
              <w:rPr>
                <w:rFonts w:ascii="宋体" w:hAnsi="宋体" w:cs="宋体"/>
                <w:color w:val="auto"/>
                <w:sz w:val="18"/>
                <w:szCs w:val="18"/>
              </w:rPr>
            </w:pPr>
            <w:r>
              <w:rPr>
                <w:rFonts w:ascii="宋体" w:hAnsi="宋体" w:cs="宋体"/>
                <w:color w:val="auto"/>
                <w:sz w:val="18"/>
                <w:szCs w:val="18"/>
              </w:rPr>
              <w:t>29.严格按照添加剂使用规范执行。不得采购、贮存、使用亚硝酸盐（包括亚硝酸钠、亚硝酸钾）和脱氢乙酸钠，食品添加剂应当专人专柜（位）保管，按照有关规定做到标识清晰、计量使用、专册记录。</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B473A9B">
            <w:pPr>
              <w:rPr>
                <w:rFonts w:ascii="宋体" w:hAnsi="宋体" w:cs="宋体"/>
                <w:color w:val="auto"/>
                <w:sz w:val="18"/>
                <w:szCs w:val="18"/>
              </w:rPr>
            </w:pPr>
            <w:r>
              <w:rPr>
                <w:rFonts w:hint="eastAsia" w:ascii="宋体" w:hAnsi="宋体" w:cs="宋体"/>
                <w:color w:val="auto"/>
                <w:sz w:val="18"/>
                <w:szCs w:val="18"/>
              </w:rPr>
              <w:t>现场</w:t>
            </w:r>
          </w:p>
          <w:p w14:paraId="138010A9">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130454C">
            <w:pPr>
              <w:rPr>
                <w:rFonts w:ascii="宋体" w:hAnsi="宋体" w:cs="宋体"/>
                <w:color w:val="auto"/>
                <w:sz w:val="18"/>
                <w:szCs w:val="18"/>
              </w:rPr>
            </w:pPr>
            <w:r>
              <w:rPr>
                <w:rFonts w:hint="eastAsia" w:ascii="宋体" w:hAnsi="宋体" w:cs="宋体"/>
                <w:color w:val="auto"/>
                <w:sz w:val="18"/>
                <w:szCs w:val="18"/>
              </w:rPr>
              <w:t>不符合要求的首次支付违约金</w:t>
            </w:r>
            <w:r>
              <w:rPr>
                <w:rFonts w:ascii="宋体" w:hAnsi="宋体" w:cs="宋体"/>
                <w:color w:val="auto"/>
                <w:sz w:val="18"/>
                <w:szCs w:val="18"/>
              </w:rPr>
              <w:t>10000元，第二次及以后支付违约金50000元/次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5BE08E">
            <w:pPr>
              <w:rPr>
                <w:rFonts w:ascii="宋体" w:hAnsi="宋体" w:cs="宋体"/>
                <w:color w:val="auto"/>
                <w:sz w:val="18"/>
                <w:szCs w:val="18"/>
              </w:rPr>
            </w:pPr>
            <w:r>
              <w:rPr>
                <w:rFonts w:hint="eastAsia" w:ascii="宋体" w:hAnsi="宋体" w:cs="宋体"/>
                <w:color w:val="auto"/>
                <w:sz w:val="18"/>
                <w:szCs w:val="18"/>
              </w:rPr>
              <w:t>首次扣</w:t>
            </w:r>
            <w:r>
              <w:rPr>
                <w:rFonts w:ascii="宋体" w:hAnsi="宋体" w:cs="宋体"/>
                <w:color w:val="auto"/>
                <w:sz w:val="18"/>
                <w:szCs w:val="18"/>
              </w:rPr>
              <w:t>5分元，第二次及以后，涉事当学期考核不合格。</w:t>
            </w:r>
          </w:p>
        </w:tc>
      </w:tr>
      <w:tr w14:paraId="4F2724A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D189293">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B3741AD">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7B47F5F7">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15B450E">
            <w:pPr>
              <w:rPr>
                <w:rFonts w:ascii="宋体" w:hAnsi="宋体" w:cs="宋体"/>
                <w:color w:val="auto"/>
                <w:sz w:val="18"/>
                <w:szCs w:val="18"/>
              </w:rPr>
            </w:pPr>
            <w:r>
              <w:rPr>
                <w:rFonts w:ascii="宋体" w:hAnsi="宋体" w:cs="宋体"/>
                <w:color w:val="auto"/>
                <w:sz w:val="18"/>
                <w:szCs w:val="18"/>
              </w:rPr>
              <w:t xml:space="preserve">30.餐饮具、盛放或接触直接入口食品的容器和工具使用前应消毒，使用后应及时洗净。 </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C789E6">
            <w:pPr>
              <w:rPr>
                <w:rFonts w:ascii="宋体" w:hAnsi="宋体" w:cs="宋体"/>
                <w:color w:val="auto"/>
                <w:sz w:val="18"/>
                <w:szCs w:val="18"/>
              </w:rPr>
            </w:pPr>
            <w:r>
              <w:rPr>
                <w:rFonts w:hint="eastAsia" w:ascii="宋体" w:hAnsi="宋体" w:cs="宋体"/>
                <w:color w:val="auto"/>
                <w:sz w:val="18"/>
                <w:szCs w:val="18"/>
              </w:rPr>
              <w:t>现场</w:t>
            </w:r>
          </w:p>
          <w:p w14:paraId="4F690973">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3C5E14D">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6D2EC3C">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2分/次</w:t>
            </w:r>
          </w:p>
        </w:tc>
      </w:tr>
      <w:tr w14:paraId="3D7D20FC">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09726A8">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3CCAFCC">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59B8645">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9A2C521">
            <w:pPr>
              <w:rPr>
                <w:rFonts w:ascii="宋体" w:hAnsi="宋体" w:cs="宋体"/>
                <w:color w:val="auto"/>
                <w:sz w:val="18"/>
                <w:szCs w:val="18"/>
              </w:rPr>
            </w:pPr>
            <w:r>
              <w:rPr>
                <w:rFonts w:ascii="宋体" w:hAnsi="宋体" w:cs="宋体"/>
                <w:color w:val="auto"/>
                <w:sz w:val="18"/>
                <w:szCs w:val="18"/>
              </w:rPr>
              <w:t>31.清洗用水和使用的洗涤剂、消毒剂应当符合相关食品安全国家标准和有关规定。严格按照洗涤剂、消毒剂的使用说明进行操作。</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B8E07F">
            <w:pPr>
              <w:rPr>
                <w:rFonts w:ascii="宋体" w:hAnsi="宋体" w:cs="宋体"/>
                <w:color w:val="auto"/>
                <w:sz w:val="18"/>
                <w:szCs w:val="18"/>
              </w:rPr>
            </w:pPr>
            <w:r>
              <w:rPr>
                <w:rFonts w:hint="eastAsia" w:ascii="宋体" w:hAnsi="宋体" w:cs="宋体"/>
                <w:color w:val="auto"/>
                <w:sz w:val="18"/>
                <w:szCs w:val="18"/>
              </w:rPr>
              <w:t>现场</w:t>
            </w:r>
          </w:p>
          <w:p w14:paraId="6E5D3711">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F66FE2A">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C4D051">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5分/次</w:t>
            </w:r>
          </w:p>
        </w:tc>
      </w:tr>
      <w:tr w14:paraId="30EDB0DB">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14B80EF">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F876CD3">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0D21D18C">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CC76EB2">
            <w:pPr>
              <w:rPr>
                <w:rFonts w:ascii="宋体" w:hAnsi="宋体" w:cs="宋体"/>
                <w:color w:val="auto"/>
                <w:sz w:val="18"/>
                <w:szCs w:val="18"/>
              </w:rPr>
            </w:pPr>
            <w:r>
              <w:rPr>
                <w:rFonts w:ascii="宋体" w:hAnsi="宋体" w:cs="宋体"/>
                <w:color w:val="auto"/>
                <w:sz w:val="18"/>
                <w:szCs w:val="18"/>
              </w:rPr>
              <w:t>32.按规定进行菜品留样，由专人管理，做好留样及销毁记录，记录内容包括留样食品名称、留样时间（月、日、时、分）、留样人员、留样重量(不少于125克)、销毁时间、销毁人，在专用冷藏设备中冷藏存放48小时以上。食堂批量加工制售的热食、非即</w:t>
            </w:r>
            <w:r>
              <w:rPr>
                <w:rFonts w:hint="eastAsia" w:ascii="宋体" w:hAnsi="宋体" w:cs="宋体"/>
                <w:color w:val="auto"/>
                <w:sz w:val="18"/>
                <w:szCs w:val="18"/>
              </w:rPr>
              <w:t>做即售的热食、冷食类食品、生食类食品、裱花蛋糕应当按照前款规定留样，其他加工食品根据相关规定留样。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060CCD">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6E55567">
            <w:pPr>
              <w:rPr>
                <w:rFonts w:ascii="宋体" w:hAnsi="宋体" w:cs="宋体"/>
                <w:color w:val="auto"/>
                <w:sz w:val="18"/>
                <w:szCs w:val="18"/>
              </w:rPr>
            </w:pPr>
            <w:r>
              <w:rPr>
                <w:rFonts w:hint="eastAsia" w:ascii="宋体" w:hAnsi="宋体" w:cs="宋体"/>
                <w:color w:val="auto"/>
                <w:sz w:val="18"/>
                <w:szCs w:val="18"/>
              </w:rPr>
              <w:t>不符合要求的首次支付违约金</w:t>
            </w:r>
            <w:r>
              <w:rPr>
                <w:rFonts w:ascii="宋体" w:hAnsi="宋体" w:cs="宋体"/>
                <w:color w:val="auto"/>
                <w:sz w:val="18"/>
                <w:szCs w:val="18"/>
              </w:rPr>
              <w:t>10000元，第二次及以后支付违约金50000元/次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35BCD3E">
            <w:pPr>
              <w:rPr>
                <w:rFonts w:ascii="宋体" w:hAnsi="宋体" w:cs="宋体"/>
                <w:color w:val="auto"/>
                <w:sz w:val="18"/>
                <w:szCs w:val="18"/>
              </w:rPr>
            </w:pPr>
            <w:r>
              <w:rPr>
                <w:rFonts w:hint="eastAsia" w:ascii="宋体" w:hAnsi="宋体" w:cs="宋体"/>
                <w:color w:val="auto"/>
                <w:sz w:val="18"/>
                <w:szCs w:val="18"/>
              </w:rPr>
              <w:t>首次扣</w:t>
            </w:r>
            <w:r>
              <w:rPr>
                <w:rFonts w:ascii="宋体" w:hAnsi="宋体" w:cs="宋体"/>
                <w:color w:val="auto"/>
                <w:sz w:val="18"/>
                <w:szCs w:val="18"/>
              </w:rPr>
              <w:t>1分元，第二次及以后扣5分/次</w:t>
            </w:r>
          </w:p>
        </w:tc>
      </w:tr>
      <w:tr w14:paraId="118E6A35">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2DF1CF4">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158E659C">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39CAF5E0">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F6D48E4">
            <w:pPr>
              <w:rPr>
                <w:rFonts w:ascii="宋体" w:hAnsi="宋体" w:cs="宋体"/>
                <w:color w:val="auto"/>
                <w:sz w:val="18"/>
                <w:szCs w:val="18"/>
              </w:rPr>
            </w:pPr>
            <w:r>
              <w:rPr>
                <w:rFonts w:ascii="宋体" w:hAnsi="宋体" w:cs="宋体"/>
                <w:color w:val="auto"/>
                <w:sz w:val="18"/>
                <w:szCs w:val="18"/>
              </w:rPr>
              <w:t>33.食堂定期做好消毒工作，三防等设施设备能正常使用，并有设施设备维护记录。</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CF1FF93">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A684D58">
            <w:pPr>
              <w:rPr>
                <w:rFonts w:ascii="宋体" w:hAnsi="宋体" w:cs="宋体"/>
                <w:color w:val="auto"/>
                <w:sz w:val="18"/>
                <w:szCs w:val="18"/>
              </w:rPr>
            </w:pPr>
            <w:r>
              <w:rPr>
                <w:rFonts w:hint="eastAsia" w:ascii="宋体" w:hAnsi="宋体" w:cs="宋体"/>
                <w:color w:val="auto"/>
                <w:sz w:val="18"/>
                <w:szCs w:val="18"/>
              </w:rPr>
              <w:t>不符合要求的每次支付违约金</w:t>
            </w:r>
            <w:r>
              <w:rPr>
                <w:rFonts w:ascii="宋体" w:hAnsi="宋体" w:cs="宋体"/>
                <w:color w:val="auto"/>
                <w:sz w:val="18"/>
                <w:szCs w:val="18"/>
              </w:rPr>
              <w:t>2000元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BFC824E">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0AAEEF86">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FE92FE3">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75CB8E4">
            <w:pPr>
              <w:rPr>
                <w:rFonts w:ascii="宋体" w:hAnsi="宋体" w:cs="宋体"/>
                <w:color w:val="auto"/>
                <w:sz w:val="18"/>
                <w:szCs w:val="18"/>
              </w:rPr>
            </w:pPr>
          </w:p>
        </w:tc>
        <w:tc>
          <w:tcPr>
            <w:tcW w:w="47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9B6A09C">
            <w:pPr>
              <w:jc w:val="center"/>
              <w:rPr>
                <w:rFonts w:ascii="宋体" w:hAnsi="宋体" w:cs="宋体"/>
                <w:color w:val="auto"/>
                <w:sz w:val="18"/>
                <w:szCs w:val="18"/>
              </w:rPr>
            </w:pPr>
            <w:r>
              <w:rPr>
                <w:rFonts w:hint="eastAsia" w:ascii="宋体" w:hAnsi="宋体" w:cs="宋体"/>
                <w:color w:val="auto"/>
                <w:sz w:val="18"/>
                <w:szCs w:val="18"/>
              </w:rPr>
              <w:t>出售</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3C954992">
            <w:pPr>
              <w:rPr>
                <w:rFonts w:ascii="宋体" w:hAnsi="宋体" w:cs="宋体"/>
                <w:color w:val="auto"/>
                <w:sz w:val="18"/>
                <w:szCs w:val="18"/>
              </w:rPr>
            </w:pPr>
            <w:r>
              <w:rPr>
                <w:rFonts w:ascii="宋体" w:hAnsi="宋体" w:cs="宋体"/>
                <w:color w:val="auto"/>
                <w:sz w:val="18"/>
                <w:szCs w:val="18"/>
              </w:rPr>
              <w:t>34.在售饭菜应明码实价，价实相符，菜牌齐全</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5EBE218">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7AA5EE4">
            <w:pPr>
              <w:rPr>
                <w:rFonts w:ascii="宋体" w:hAnsi="宋体" w:eastAsia="方正仿宋_GBK" w:cs="宋体"/>
                <w:color w:val="auto"/>
                <w:sz w:val="18"/>
                <w:szCs w:val="18"/>
              </w:rPr>
            </w:pPr>
            <w:r>
              <w:rPr>
                <w:rFonts w:hint="eastAsia" w:ascii="宋体" w:hAnsi="宋体" w:cs="宋体"/>
                <w:color w:val="auto"/>
                <w:sz w:val="18"/>
                <w:szCs w:val="18"/>
              </w:rPr>
              <w:t>不符合要求的首次每项支付违约金</w:t>
            </w:r>
            <w:r>
              <w:rPr>
                <w:rFonts w:ascii="宋体" w:hAnsi="宋体" w:cs="宋体"/>
                <w:color w:val="auto"/>
                <w:sz w:val="18"/>
                <w:szCs w:val="18"/>
              </w:rPr>
              <w:t>1000元/项/次，第二次及以后每项支付违约金2000元/项/次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DB1E9CD">
            <w:pPr>
              <w:rPr>
                <w:rFonts w:ascii="宋体" w:hAnsi="宋体" w:cs="宋体"/>
                <w:color w:val="auto"/>
                <w:sz w:val="18"/>
                <w:szCs w:val="18"/>
              </w:rPr>
            </w:pPr>
            <w:r>
              <w:rPr>
                <w:rFonts w:hint="eastAsia" w:ascii="宋体" w:hAnsi="宋体" w:cs="宋体"/>
                <w:color w:val="auto"/>
                <w:sz w:val="18"/>
                <w:szCs w:val="18"/>
              </w:rPr>
              <w:t>首次每项扣</w:t>
            </w:r>
            <w:r>
              <w:rPr>
                <w:rFonts w:ascii="宋体" w:hAnsi="宋体" w:cs="宋体"/>
                <w:color w:val="auto"/>
                <w:sz w:val="18"/>
                <w:szCs w:val="18"/>
              </w:rPr>
              <w:t>1分，第二次及以后扣1分/项/次</w:t>
            </w:r>
          </w:p>
        </w:tc>
      </w:tr>
      <w:tr w14:paraId="7C3C9F0D">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77ADA4B">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969C4E8">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401A1E7C">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E02EE28">
            <w:pPr>
              <w:rPr>
                <w:rFonts w:ascii="宋体" w:hAnsi="宋体" w:cs="宋体"/>
                <w:color w:val="auto"/>
                <w:sz w:val="18"/>
                <w:szCs w:val="18"/>
              </w:rPr>
            </w:pPr>
            <w:r>
              <w:rPr>
                <w:rFonts w:ascii="宋体" w:hAnsi="宋体" w:cs="宋体"/>
                <w:color w:val="auto"/>
                <w:sz w:val="18"/>
                <w:szCs w:val="18"/>
              </w:rPr>
              <w:t>35.饭菜售卖计量计价准确</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9E4764C">
            <w:pPr>
              <w:rPr>
                <w:rFonts w:ascii="宋体" w:hAnsi="宋体" w:cs="宋体"/>
                <w:color w:val="auto"/>
                <w:sz w:val="18"/>
                <w:szCs w:val="18"/>
              </w:rPr>
            </w:pPr>
            <w:r>
              <w:rPr>
                <w:rFonts w:hint="eastAsia" w:ascii="宋体" w:hAnsi="宋体" w:cs="宋体"/>
                <w:color w:val="auto"/>
                <w:sz w:val="18"/>
                <w:szCs w:val="18"/>
              </w:rPr>
              <w:t>现场检查或投诉核实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1507880">
            <w:pPr>
              <w:rPr>
                <w:rFonts w:ascii="宋体" w:hAnsi="宋体" w:cs="宋体"/>
                <w:color w:val="auto"/>
                <w:sz w:val="18"/>
                <w:szCs w:val="18"/>
              </w:rPr>
            </w:pPr>
            <w:r>
              <w:rPr>
                <w:rFonts w:hint="eastAsia" w:ascii="宋体" w:hAnsi="宋体" w:cs="宋体"/>
                <w:color w:val="auto"/>
                <w:sz w:val="18"/>
                <w:szCs w:val="18"/>
              </w:rPr>
              <w:t>不符合要求每次支付违约金</w:t>
            </w:r>
            <w:r>
              <w:rPr>
                <w:rFonts w:ascii="宋体" w:hAnsi="宋体" w:cs="宋体"/>
                <w:color w:val="auto"/>
                <w:sz w:val="18"/>
                <w:szCs w:val="18"/>
              </w:rPr>
              <w:t>2000元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5D3135F">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1FD1AEC2">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82B154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F15CDB0">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31951C10">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71E515A6">
            <w:pPr>
              <w:rPr>
                <w:rFonts w:ascii="宋体" w:hAnsi="宋体" w:cs="宋体"/>
                <w:color w:val="auto"/>
                <w:sz w:val="18"/>
                <w:szCs w:val="18"/>
              </w:rPr>
            </w:pPr>
            <w:r>
              <w:rPr>
                <w:rFonts w:ascii="宋体" w:hAnsi="宋体" w:cs="宋体"/>
                <w:color w:val="auto"/>
                <w:sz w:val="18"/>
                <w:szCs w:val="18"/>
              </w:rPr>
              <w:t>36.不应出售夹生、未熟食品，饭菜中应无泥沙、钢丝、虫子等异物</w:t>
            </w: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362A6F9">
            <w:pPr>
              <w:rPr>
                <w:rFonts w:ascii="宋体" w:hAnsi="宋体" w:cs="宋体"/>
                <w:color w:val="auto"/>
                <w:sz w:val="18"/>
                <w:szCs w:val="18"/>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56BF8F7">
            <w:pPr>
              <w:rPr>
                <w:rFonts w:ascii="宋体" w:hAnsi="宋体" w:cs="宋体"/>
                <w:color w:val="auto"/>
                <w:sz w:val="18"/>
                <w:szCs w:val="18"/>
              </w:rPr>
            </w:pPr>
            <w:r>
              <w:rPr>
                <w:rFonts w:hint="eastAsia" w:ascii="宋体" w:hAnsi="宋体" w:cs="宋体"/>
                <w:color w:val="auto"/>
                <w:sz w:val="18"/>
                <w:szCs w:val="18"/>
              </w:rPr>
              <w:t>不符合要求每次支付违约金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9E00CDB">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4145EAF9">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7D53B47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E081D96">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5907AE41">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0BA070DD">
            <w:pPr>
              <w:rPr>
                <w:rFonts w:ascii="宋体" w:hAnsi="宋体" w:cs="宋体"/>
                <w:color w:val="auto"/>
                <w:sz w:val="18"/>
                <w:szCs w:val="18"/>
              </w:rPr>
            </w:pPr>
            <w:r>
              <w:rPr>
                <w:rFonts w:ascii="宋体" w:hAnsi="宋体" w:cs="宋体"/>
                <w:color w:val="auto"/>
                <w:sz w:val="18"/>
                <w:szCs w:val="18"/>
              </w:rPr>
              <w:t>37.不提供霉烂变质食物</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883641E">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36C6F37">
            <w:pPr>
              <w:rPr>
                <w:rFonts w:ascii="宋体" w:hAnsi="宋体" w:cs="宋体"/>
                <w:color w:val="auto"/>
                <w:sz w:val="18"/>
                <w:szCs w:val="18"/>
              </w:rPr>
            </w:pPr>
            <w:r>
              <w:rPr>
                <w:rFonts w:hint="eastAsia" w:ascii="宋体" w:hAnsi="宋体" w:cs="宋体"/>
                <w:color w:val="auto"/>
                <w:sz w:val="18"/>
                <w:szCs w:val="18"/>
              </w:rPr>
              <w:t>查实后每次支付违约金</w:t>
            </w:r>
            <w:r>
              <w:rPr>
                <w:rFonts w:ascii="宋体" w:hAnsi="宋体" w:cs="宋体"/>
                <w:color w:val="auto"/>
                <w:sz w:val="18"/>
                <w:szCs w:val="18"/>
              </w:rPr>
              <w:t>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E865BDA">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5分/次</w:t>
            </w:r>
          </w:p>
        </w:tc>
      </w:tr>
      <w:tr w14:paraId="649AA2F5">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19F6D9F">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190E80A">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159493F8">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E9B7EC3">
            <w:pPr>
              <w:rPr>
                <w:rFonts w:ascii="宋体" w:hAnsi="宋体" w:cs="宋体"/>
                <w:color w:val="auto"/>
                <w:sz w:val="18"/>
                <w:szCs w:val="18"/>
              </w:rPr>
            </w:pPr>
            <w:r>
              <w:rPr>
                <w:rFonts w:ascii="宋体" w:hAnsi="宋体" w:cs="宋体"/>
                <w:color w:val="auto"/>
                <w:sz w:val="18"/>
                <w:szCs w:val="18"/>
              </w:rPr>
              <w:t>38.餐厅内外、厨房、操作间、库房等场所应保持卫生、整洁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6EC54A">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CADAFB9">
            <w:pPr>
              <w:rPr>
                <w:rFonts w:ascii="宋体" w:hAnsi="宋体" w:cs="宋体"/>
                <w:color w:val="auto"/>
                <w:sz w:val="18"/>
                <w:szCs w:val="18"/>
              </w:rPr>
            </w:pPr>
            <w:r>
              <w:rPr>
                <w:rFonts w:hint="eastAsia" w:ascii="宋体" w:hAnsi="宋体" w:cs="宋体"/>
                <w:color w:val="auto"/>
                <w:sz w:val="18"/>
                <w:szCs w:val="18"/>
              </w:rPr>
              <w:t>不符合要求的每项支付违约金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93D8B4">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7DA3C393">
        <w:tblPrEx>
          <w:tblCellMar>
            <w:top w:w="0" w:type="dxa"/>
            <w:left w:w="108" w:type="dxa"/>
            <w:bottom w:w="0" w:type="dxa"/>
            <w:right w:w="108" w:type="dxa"/>
          </w:tblCellMar>
        </w:tblPrEx>
        <w:trPr>
          <w:trHeight w:val="48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E9BBEE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6630E64">
            <w:pPr>
              <w:rPr>
                <w:rFonts w:ascii="宋体" w:hAnsi="宋体" w:cs="宋体"/>
                <w:color w:val="auto"/>
                <w:sz w:val="18"/>
                <w:szCs w:val="18"/>
              </w:rPr>
            </w:pPr>
          </w:p>
        </w:tc>
        <w:tc>
          <w:tcPr>
            <w:tcW w:w="477" w:type="dxa"/>
            <w:vMerge w:val="continue"/>
            <w:tcBorders>
              <w:top w:val="single" w:color="auto" w:sz="4" w:space="0"/>
              <w:left w:val="single" w:color="auto" w:sz="4" w:space="0"/>
              <w:bottom w:val="single" w:color="auto" w:sz="4" w:space="0"/>
              <w:right w:val="single" w:color="auto" w:sz="4" w:space="0"/>
            </w:tcBorders>
            <w:noWrap w:val="0"/>
            <w:vAlign w:val="center"/>
          </w:tcPr>
          <w:p w14:paraId="6DCCB5DF">
            <w:pPr>
              <w:rPr>
                <w:rFonts w:ascii="宋体" w:hAnsi="宋体" w:cs="宋体"/>
                <w:color w:val="auto"/>
                <w:sz w:val="18"/>
                <w:szCs w:val="18"/>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E5582D1">
            <w:pPr>
              <w:rPr>
                <w:rFonts w:ascii="宋体" w:hAnsi="宋体" w:cs="宋体"/>
                <w:color w:val="auto"/>
                <w:sz w:val="18"/>
                <w:szCs w:val="18"/>
              </w:rPr>
            </w:pPr>
            <w:r>
              <w:rPr>
                <w:rFonts w:ascii="宋体" w:hAnsi="宋体" w:cs="宋体"/>
                <w:color w:val="auto"/>
                <w:sz w:val="18"/>
                <w:szCs w:val="18"/>
              </w:rPr>
              <w:t>39.食堂内外按照垃圾分类要求设置垃圾桶。应当设置专门的餐厨废弃物收集设施并明显标识，按照规定收集、存放、回收餐厨废弃物、废弃油脂，并建立相</w:t>
            </w:r>
            <w:r>
              <w:rPr>
                <w:rFonts w:hint="eastAsia" w:ascii="宋体" w:hAnsi="宋体" w:cs="宋体"/>
                <w:color w:val="auto"/>
                <w:sz w:val="18"/>
                <w:szCs w:val="18"/>
              </w:rPr>
              <w:t>关制度及台账，及时按照相关规定处置餐厨垃圾，不得私自处理。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1652086">
            <w:pPr>
              <w:rPr>
                <w:rFonts w:ascii="宋体" w:hAnsi="宋体" w:cs="宋体"/>
                <w:color w:val="auto"/>
                <w:sz w:val="18"/>
                <w:szCs w:val="18"/>
              </w:rPr>
            </w:pPr>
            <w:r>
              <w:rPr>
                <w:rFonts w:hint="eastAsia" w:ascii="宋体" w:hAnsi="宋体" w:cs="宋体"/>
                <w:color w:val="auto"/>
                <w:sz w:val="18"/>
                <w:szCs w:val="18"/>
              </w:rPr>
              <w:t>现场</w:t>
            </w:r>
          </w:p>
          <w:p w14:paraId="36117573">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A648415">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1000元/项/次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2E70154">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1分/项/次</w:t>
            </w:r>
          </w:p>
        </w:tc>
      </w:tr>
      <w:tr w14:paraId="7C74B81C">
        <w:tblPrEx>
          <w:tblCellMar>
            <w:top w:w="0" w:type="dxa"/>
            <w:left w:w="108" w:type="dxa"/>
            <w:bottom w:w="0" w:type="dxa"/>
            <w:right w:w="108" w:type="dxa"/>
          </w:tblCellMar>
        </w:tblPrEx>
        <w:trPr>
          <w:trHeight w:val="645"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170D1AA8">
            <w:pPr>
              <w:rPr>
                <w:rFonts w:ascii="宋体" w:hAnsi="宋体" w:cs="宋体"/>
                <w:color w:val="auto"/>
                <w:sz w:val="18"/>
                <w:szCs w:val="18"/>
              </w:rPr>
            </w:pPr>
            <w:r>
              <w:rPr>
                <w:rFonts w:hint="eastAsia" w:ascii="宋体" w:hAnsi="宋体" w:cs="宋体"/>
                <w:color w:val="auto"/>
                <w:sz w:val="18"/>
                <w:szCs w:val="18"/>
              </w:rPr>
              <w:t>三</w:t>
            </w:r>
          </w:p>
        </w:tc>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14:paraId="0FDAE11B">
            <w:pPr>
              <w:rPr>
                <w:rFonts w:ascii="宋体" w:hAnsi="宋体" w:cs="宋体"/>
                <w:color w:val="auto"/>
                <w:sz w:val="18"/>
                <w:szCs w:val="18"/>
              </w:rPr>
            </w:pPr>
            <w:r>
              <w:rPr>
                <w:rFonts w:hint="eastAsia" w:ascii="宋体" w:hAnsi="宋体" w:cs="宋体"/>
                <w:color w:val="auto"/>
                <w:sz w:val="18"/>
                <w:szCs w:val="18"/>
              </w:rPr>
              <w:t>服务质量</w:t>
            </w:r>
          </w:p>
          <w:p w14:paraId="2007B1E2">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FD94E18">
            <w:pPr>
              <w:rPr>
                <w:rFonts w:ascii="宋体" w:hAnsi="宋体" w:cs="宋体"/>
                <w:color w:val="auto"/>
                <w:sz w:val="18"/>
                <w:szCs w:val="18"/>
              </w:rPr>
            </w:pPr>
            <w:r>
              <w:rPr>
                <w:rFonts w:ascii="宋体" w:hAnsi="宋体" w:cs="宋体"/>
                <w:color w:val="auto"/>
                <w:sz w:val="18"/>
                <w:szCs w:val="18"/>
              </w:rPr>
              <w:t>40.食堂从业人员应掌握有关食品安全、生产安全基本知识和相关法律法规要求；食堂对员工进行安全、消防、卫生、服务等方面知识进行培训和考核。</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FAE37DF">
            <w:pPr>
              <w:rPr>
                <w:rFonts w:ascii="宋体" w:hAnsi="宋体" w:cs="宋体"/>
                <w:color w:val="auto"/>
                <w:sz w:val="18"/>
                <w:szCs w:val="18"/>
              </w:rPr>
            </w:pPr>
            <w:r>
              <w:rPr>
                <w:rFonts w:hint="eastAsia" w:ascii="宋体" w:hAnsi="宋体" w:cs="宋体"/>
                <w:color w:val="auto"/>
                <w:sz w:val="18"/>
                <w:szCs w:val="18"/>
              </w:rPr>
              <w:t>现场</w:t>
            </w:r>
          </w:p>
          <w:p w14:paraId="56FD729A">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7CB36CF">
            <w:pPr>
              <w:rPr>
                <w:rFonts w:ascii="宋体" w:hAnsi="宋体" w:cs="宋体"/>
                <w:color w:val="auto"/>
                <w:sz w:val="18"/>
                <w:szCs w:val="18"/>
              </w:rPr>
            </w:pPr>
            <w:r>
              <w:rPr>
                <w:rFonts w:hint="eastAsia" w:ascii="宋体" w:hAnsi="宋体" w:cs="宋体"/>
                <w:color w:val="auto"/>
                <w:sz w:val="18"/>
                <w:szCs w:val="18"/>
              </w:rPr>
              <w:t>不符合要求的支付违约金</w:t>
            </w:r>
            <w:r>
              <w:rPr>
                <w:rFonts w:ascii="宋体" w:hAnsi="宋体" w:cs="宋体"/>
                <w:color w:val="auto"/>
                <w:sz w:val="18"/>
                <w:szCs w:val="18"/>
              </w:rPr>
              <w:t>1000元/人次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2973B90">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1分/人次</w:t>
            </w:r>
          </w:p>
        </w:tc>
      </w:tr>
      <w:tr w14:paraId="351CD13A">
        <w:tblPrEx>
          <w:tblCellMar>
            <w:top w:w="0" w:type="dxa"/>
            <w:left w:w="108" w:type="dxa"/>
            <w:bottom w:w="0" w:type="dxa"/>
            <w:right w:w="108" w:type="dxa"/>
          </w:tblCellMar>
        </w:tblPrEx>
        <w:trPr>
          <w:trHeight w:val="645"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1CCB2C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A54C784">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CBBFF2A">
            <w:pPr>
              <w:rPr>
                <w:rFonts w:ascii="宋体" w:hAnsi="宋体" w:cs="宋体"/>
                <w:color w:val="auto"/>
                <w:sz w:val="18"/>
                <w:szCs w:val="18"/>
              </w:rPr>
            </w:pPr>
            <w:r>
              <w:rPr>
                <w:rFonts w:ascii="宋体" w:hAnsi="宋体" w:cs="宋体"/>
                <w:color w:val="auto"/>
                <w:sz w:val="18"/>
                <w:szCs w:val="18"/>
              </w:rPr>
              <w:t>41.食堂从业人员应养成良好卫生习惯，工作场所不吸烟，</w:t>
            </w:r>
            <w:r>
              <w:rPr>
                <w:rFonts w:hint="eastAsia" w:ascii="宋体" w:hAnsi="宋体" w:cs="宋体"/>
                <w:color w:val="auto"/>
                <w:sz w:val="18"/>
                <w:szCs w:val="18"/>
              </w:rPr>
              <w:t>不随地吐痰，不戴首饰上岗，长发不外露；所有人员必须穿食堂标志的工作服、仪表端庄，并佩戴工号牌、口罩及厨帽上岗。工作服不得穿到食堂之外的区域。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AA9C3F">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C4DC0A9">
            <w:pPr>
              <w:rPr>
                <w:rFonts w:ascii="宋体" w:hAnsi="宋体" w:cs="宋体"/>
                <w:color w:val="auto"/>
                <w:sz w:val="18"/>
                <w:szCs w:val="18"/>
              </w:rPr>
            </w:pPr>
            <w:r>
              <w:rPr>
                <w:rFonts w:hint="eastAsia" w:ascii="宋体" w:hAnsi="宋体" w:cs="宋体"/>
                <w:color w:val="auto"/>
                <w:sz w:val="18"/>
                <w:szCs w:val="18"/>
              </w:rPr>
              <w:t>不符合要求每人次支付违约金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8D104F1">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1分/人次</w:t>
            </w:r>
          </w:p>
        </w:tc>
      </w:tr>
      <w:tr w14:paraId="4372AA03">
        <w:tblPrEx>
          <w:tblCellMar>
            <w:top w:w="0" w:type="dxa"/>
            <w:left w:w="108" w:type="dxa"/>
            <w:bottom w:w="0" w:type="dxa"/>
            <w:right w:w="108" w:type="dxa"/>
          </w:tblCellMar>
        </w:tblPrEx>
        <w:trPr>
          <w:trHeight w:val="555"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7E096AE">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A2936EE">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704552D">
            <w:pPr>
              <w:rPr>
                <w:rFonts w:ascii="宋体" w:hAnsi="宋体" w:cs="宋体"/>
                <w:color w:val="auto"/>
                <w:sz w:val="18"/>
                <w:szCs w:val="18"/>
              </w:rPr>
            </w:pPr>
            <w:r>
              <w:rPr>
                <w:rFonts w:ascii="宋体" w:hAnsi="宋体" w:cs="宋体"/>
                <w:color w:val="auto"/>
                <w:sz w:val="18"/>
                <w:szCs w:val="18"/>
              </w:rPr>
              <w:t>42.应做到服务及操作程序规范，态度端正，主动热情，文明用语，不和他人发生争吵及正面冲突，上岗期间不做与工作无关的事。</w:t>
            </w:r>
          </w:p>
        </w:tc>
        <w:tc>
          <w:tcPr>
            <w:tcW w:w="709" w:type="dxa"/>
            <w:tcBorders>
              <w:top w:val="single" w:color="auto" w:sz="4" w:space="0"/>
              <w:left w:val="single" w:color="auto" w:sz="4" w:space="0"/>
              <w:bottom w:val="single" w:color="auto" w:sz="4" w:space="0"/>
              <w:right w:val="single" w:color="auto" w:sz="4" w:space="0"/>
            </w:tcBorders>
            <w:noWrap w:val="0"/>
            <w:vAlign w:val="bottom"/>
          </w:tcPr>
          <w:p w14:paraId="2A9E4273">
            <w:pPr>
              <w:rPr>
                <w:rFonts w:ascii="宋体" w:hAnsi="宋体" w:cs="宋体"/>
                <w:color w:val="auto"/>
                <w:sz w:val="18"/>
                <w:szCs w:val="18"/>
              </w:rPr>
            </w:pPr>
            <w:r>
              <w:rPr>
                <w:rFonts w:hint="eastAsia" w:ascii="宋体" w:hAnsi="宋体" w:cs="宋体"/>
                <w:color w:val="auto"/>
                <w:sz w:val="18"/>
                <w:szCs w:val="18"/>
              </w:rPr>
              <w:t>核实投诉</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3717867">
            <w:pPr>
              <w:rPr>
                <w:rFonts w:ascii="宋体" w:hAnsi="宋体" w:cs="宋体"/>
                <w:color w:val="auto"/>
                <w:sz w:val="18"/>
                <w:szCs w:val="18"/>
              </w:rPr>
            </w:pPr>
            <w:r>
              <w:rPr>
                <w:rFonts w:hint="eastAsia" w:ascii="宋体" w:hAnsi="宋体" w:cs="宋体"/>
                <w:color w:val="auto"/>
                <w:sz w:val="18"/>
                <w:szCs w:val="18"/>
              </w:rPr>
              <w:t>查实后每次支付违约金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CAC8B08">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1分/人次</w:t>
            </w:r>
          </w:p>
        </w:tc>
      </w:tr>
      <w:tr w14:paraId="0FE08126">
        <w:tblPrEx>
          <w:tblCellMar>
            <w:top w:w="0" w:type="dxa"/>
            <w:left w:w="108" w:type="dxa"/>
            <w:bottom w:w="0" w:type="dxa"/>
            <w:right w:w="108" w:type="dxa"/>
          </w:tblCellMar>
        </w:tblPrEx>
        <w:trPr>
          <w:trHeight w:val="51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7F229C0">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03AF4BE">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6C444718">
            <w:pPr>
              <w:rPr>
                <w:rFonts w:ascii="宋体" w:hAnsi="宋体" w:cs="宋体"/>
                <w:color w:val="auto"/>
                <w:sz w:val="18"/>
                <w:szCs w:val="18"/>
              </w:rPr>
            </w:pPr>
            <w:r>
              <w:rPr>
                <w:rFonts w:ascii="宋体" w:hAnsi="宋体" w:cs="宋体"/>
                <w:color w:val="auto"/>
                <w:sz w:val="18"/>
                <w:szCs w:val="18"/>
              </w:rPr>
              <w:t>43.应在食堂明显位置设有就餐投诉台(或设立意见箱、意见薄)、餐饮张贴信息化意见反馈系统二维码、失物招领台，及时处理就餐者投诉意见、建议，意见处理和失物招领过程记录清晰。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0915937">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73FC51E4">
            <w:pPr>
              <w:rPr>
                <w:rFonts w:ascii="宋体" w:hAnsi="宋体" w:cs="宋体"/>
                <w:color w:val="auto"/>
                <w:sz w:val="18"/>
                <w:szCs w:val="18"/>
              </w:rPr>
            </w:pPr>
            <w:r>
              <w:rPr>
                <w:rFonts w:hint="eastAsia" w:ascii="宋体" w:hAnsi="宋体" w:cs="宋体"/>
                <w:color w:val="auto"/>
                <w:sz w:val="18"/>
                <w:szCs w:val="18"/>
              </w:rPr>
              <w:t>不符合要求每次每件支付违约金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F6F970">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7FF06781">
        <w:tblPrEx>
          <w:tblCellMar>
            <w:top w:w="0" w:type="dxa"/>
            <w:left w:w="108" w:type="dxa"/>
            <w:bottom w:w="0" w:type="dxa"/>
            <w:right w:w="108" w:type="dxa"/>
          </w:tblCellMar>
        </w:tblPrEx>
        <w:trPr>
          <w:trHeight w:val="645"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698FFE68">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CDCDDD2">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19A5B21">
            <w:pPr>
              <w:rPr>
                <w:rFonts w:ascii="宋体" w:hAnsi="宋体" w:cs="宋体"/>
                <w:color w:val="auto"/>
                <w:sz w:val="18"/>
                <w:szCs w:val="18"/>
              </w:rPr>
            </w:pPr>
            <w:r>
              <w:rPr>
                <w:rFonts w:ascii="宋体" w:hAnsi="宋体" w:cs="宋体"/>
                <w:color w:val="auto"/>
                <w:sz w:val="18"/>
                <w:szCs w:val="18"/>
              </w:rPr>
              <w:t>44.应在中、晚餐供应期间向就餐者提供免费汤，并派专人负责管理。</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DDDD9DF">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B26B606">
            <w:pPr>
              <w:rPr>
                <w:rFonts w:ascii="宋体" w:hAnsi="宋体" w:cs="宋体"/>
                <w:color w:val="auto"/>
                <w:sz w:val="18"/>
                <w:szCs w:val="18"/>
              </w:rPr>
            </w:pPr>
            <w:r>
              <w:rPr>
                <w:rFonts w:hint="eastAsia" w:ascii="宋体" w:hAnsi="宋体" w:cs="宋体"/>
                <w:color w:val="auto"/>
                <w:sz w:val="18"/>
                <w:szCs w:val="18"/>
              </w:rPr>
              <w:t>不符合要求的每项支付违约金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2B2FC0">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w:t>
            </w:r>
          </w:p>
        </w:tc>
      </w:tr>
      <w:tr w14:paraId="464F6A55">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37311B03">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056EC4C">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4821643">
            <w:pPr>
              <w:rPr>
                <w:rFonts w:ascii="宋体" w:hAnsi="宋体" w:cs="宋体"/>
                <w:color w:val="auto"/>
                <w:sz w:val="18"/>
                <w:szCs w:val="18"/>
              </w:rPr>
            </w:pPr>
            <w:r>
              <w:rPr>
                <w:rFonts w:ascii="宋体" w:hAnsi="宋体" w:cs="宋体"/>
                <w:color w:val="auto"/>
                <w:sz w:val="18"/>
                <w:szCs w:val="18"/>
              </w:rPr>
              <w:t>45.严禁使用非“校园一卡通”刷卡消费模式，严禁使用现金、微信、支付宝等个人或私自收费方式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D2C176C">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DB9B828">
            <w:pPr>
              <w:rPr>
                <w:rFonts w:ascii="宋体" w:hAnsi="宋体" w:cs="宋体"/>
                <w:color w:val="auto"/>
                <w:sz w:val="18"/>
                <w:szCs w:val="18"/>
              </w:rPr>
            </w:pPr>
            <w:r>
              <w:rPr>
                <w:rFonts w:hint="eastAsia" w:ascii="宋体" w:hAnsi="宋体" w:cs="宋体"/>
                <w:color w:val="auto"/>
                <w:sz w:val="18"/>
                <w:szCs w:val="18"/>
              </w:rPr>
              <w:t>经查实后每次支付违约金</w:t>
            </w:r>
            <w:r>
              <w:rPr>
                <w:rFonts w:ascii="宋体" w:hAnsi="宋体" w:cs="宋体"/>
                <w:color w:val="auto"/>
                <w:sz w:val="18"/>
                <w:szCs w:val="18"/>
              </w:rPr>
              <w:t>20000元，若当月发现三次及以上违规交易的情况，按当月营业额的20%支付违约金。</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ECD9BA">
            <w:pPr>
              <w:rPr>
                <w:rFonts w:ascii="宋体" w:hAnsi="宋体" w:cs="宋体"/>
                <w:color w:val="auto"/>
                <w:sz w:val="18"/>
                <w:szCs w:val="18"/>
              </w:rPr>
            </w:pPr>
            <w:r>
              <w:rPr>
                <w:rFonts w:hint="eastAsia" w:ascii="宋体" w:hAnsi="宋体" w:cs="宋体"/>
                <w:color w:val="auto"/>
                <w:sz w:val="18"/>
                <w:szCs w:val="18"/>
              </w:rPr>
              <w:t>不符合要求前两次</w:t>
            </w:r>
            <w:r>
              <w:rPr>
                <w:rFonts w:ascii="宋体" w:hAnsi="宋体" w:cs="宋体"/>
                <w:color w:val="auto"/>
                <w:sz w:val="18"/>
                <w:szCs w:val="18"/>
              </w:rPr>
              <w:t>5分/次，第三次起当学期考核等次直接为不合格</w:t>
            </w:r>
          </w:p>
        </w:tc>
      </w:tr>
      <w:tr w14:paraId="3DF84E66">
        <w:tblPrEx>
          <w:tblCellMar>
            <w:top w:w="0" w:type="dxa"/>
            <w:left w:w="108" w:type="dxa"/>
            <w:bottom w:w="0" w:type="dxa"/>
            <w:right w:w="108" w:type="dxa"/>
          </w:tblCellMar>
        </w:tblPrEx>
        <w:trPr>
          <w:trHeight w:val="780"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72CB0C22">
            <w:pPr>
              <w:rPr>
                <w:rFonts w:ascii="宋体" w:hAnsi="宋体" w:cs="宋体"/>
                <w:color w:val="auto"/>
                <w:sz w:val="18"/>
                <w:szCs w:val="18"/>
              </w:rPr>
            </w:pPr>
            <w:r>
              <w:rPr>
                <w:rFonts w:hint="eastAsia" w:ascii="宋体" w:hAnsi="宋体" w:cs="宋体"/>
                <w:color w:val="auto"/>
                <w:sz w:val="18"/>
                <w:szCs w:val="18"/>
              </w:rPr>
              <w:t>四</w:t>
            </w:r>
          </w:p>
        </w:tc>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14:paraId="44B1150F">
            <w:pPr>
              <w:rPr>
                <w:rFonts w:ascii="宋体" w:hAnsi="宋体" w:cs="宋体"/>
                <w:color w:val="auto"/>
                <w:sz w:val="18"/>
                <w:szCs w:val="18"/>
              </w:rPr>
            </w:pPr>
            <w:r>
              <w:rPr>
                <w:rFonts w:hint="eastAsia" w:ascii="宋体" w:hAnsi="宋体" w:cs="宋体"/>
                <w:color w:val="auto"/>
                <w:sz w:val="18"/>
                <w:szCs w:val="18"/>
              </w:rPr>
              <w:t>经营秩序</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40F9BD9">
            <w:pPr>
              <w:rPr>
                <w:rFonts w:ascii="宋体" w:hAnsi="宋体" w:cs="宋体"/>
                <w:color w:val="auto"/>
                <w:sz w:val="18"/>
                <w:szCs w:val="18"/>
              </w:rPr>
            </w:pPr>
            <w:r>
              <w:rPr>
                <w:rFonts w:ascii="宋体" w:hAnsi="宋体" w:cs="宋体"/>
                <w:color w:val="auto"/>
                <w:sz w:val="18"/>
                <w:szCs w:val="18"/>
              </w:rPr>
              <w:t>46.食堂经营企业不得将食堂全部或者部分转包、分包、转租、转借或其他任意形式转交给任何单位或个人进行经营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597C50">
            <w:pPr>
              <w:rPr>
                <w:rFonts w:ascii="宋体" w:hAnsi="宋体" w:cs="宋体"/>
                <w:color w:val="auto"/>
                <w:sz w:val="18"/>
                <w:szCs w:val="18"/>
              </w:rPr>
            </w:pPr>
            <w:r>
              <w:rPr>
                <w:rFonts w:hint="eastAsia" w:ascii="宋体" w:hAnsi="宋体" w:cs="宋体"/>
                <w:color w:val="auto"/>
                <w:sz w:val="18"/>
                <w:szCs w:val="18"/>
              </w:rPr>
              <w:t>依据合同</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66AA4CD">
            <w:pPr>
              <w:rPr>
                <w:rFonts w:ascii="宋体" w:hAnsi="宋体" w:cs="宋体"/>
                <w:color w:val="auto"/>
                <w:sz w:val="18"/>
                <w:szCs w:val="18"/>
              </w:rPr>
            </w:pPr>
            <w:r>
              <w:rPr>
                <w:rFonts w:hint="eastAsia" w:ascii="宋体" w:hAnsi="宋体" w:cs="宋体"/>
                <w:color w:val="auto"/>
                <w:sz w:val="18"/>
                <w:szCs w:val="18"/>
              </w:rPr>
              <w:t>不符合要求的每次支付违约金</w:t>
            </w:r>
            <w:r>
              <w:rPr>
                <w:rFonts w:ascii="宋体" w:hAnsi="宋体" w:cs="宋体"/>
                <w:color w:val="auto"/>
                <w:sz w:val="18"/>
                <w:szCs w:val="18"/>
              </w:rPr>
              <w:t>100000元并整改到位，学校有权解除合同。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330308">
            <w:pPr>
              <w:rPr>
                <w:rFonts w:ascii="宋体" w:hAnsi="宋体" w:cs="宋体"/>
                <w:color w:val="auto"/>
                <w:sz w:val="18"/>
                <w:szCs w:val="18"/>
              </w:rPr>
            </w:pPr>
            <w:r>
              <w:rPr>
                <w:rFonts w:hint="eastAsia" w:ascii="宋体" w:hAnsi="宋体" w:cs="宋体"/>
                <w:color w:val="auto"/>
                <w:sz w:val="18"/>
                <w:szCs w:val="18"/>
              </w:rPr>
              <w:t>不符合要求的，涉事当学期考核不合格。</w:t>
            </w:r>
          </w:p>
        </w:tc>
      </w:tr>
      <w:tr w14:paraId="65047C4E">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618E9E2">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78301F6">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C9172C6">
            <w:pPr>
              <w:rPr>
                <w:rFonts w:ascii="宋体" w:hAnsi="宋体" w:cs="宋体"/>
                <w:color w:val="auto"/>
                <w:sz w:val="18"/>
                <w:szCs w:val="18"/>
              </w:rPr>
            </w:pPr>
            <w:r>
              <w:rPr>
                <w:rFonts w:ascii="宋体" w:hAnsi="宋体" w:cs="宋体"/>
                <w:color w:val="auto"/>
                <w:sz w:val="18"/>
                <w:szCs w:val="18"/>
              </w:rPr>
              <w:t>47.应严格遵循报备的菜品价格，不得擅自变动食品售价。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1556D8">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4807761">
            <w:pPr>
              <w:rPr>
                <w:rFonts w:ascii="宋体" w:hAnsi="宋体" w:cs="宋体"/>
                <w:color w:val="auto"/>
                <w:sz w:val="18"/>
                <w:szCs w:val="18"/>
              </w:rPr>
            </w:pPr>
            <w:r>
              <w:rPr>
                <w:rFonts w:hint="eastAsia" w:ascii="宋体" w:hAnsi="宋体" w:cs="宋体"/>
                <w:color w:val="auto"/>
                <w:sz w:val="18"/>
                <w:szCs w:val="18"/>
              </w:rPr>
              <w:t>若擅自变更食品售价，每一菜品支付违约金</w:t>
            </w:r>
            <w:r>
              <w:rPr>
                <w:rFonts w:ascii="宋体" w:hAnsi="宋体" w:cs="宋体"/>
                <w:color w:val="auto"/>
                <w:sz w:val="18"/>
                <w:szCs w:val="18"/>
              </w:rPr>
              <w:t>5000元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33A2BD">
            <w:pPr>
              <w:rPr>
                <w:rFonts w:ascii="宋体" w:hAnsi="宋体" w:cs="宋体"/>
                <w:color w:val="auto"/>
                <w:sz w:val="18"/>
                <w:szCs w:val="18"/>
              </w:rPr>
            </w:pPr>
            <w:r>
              <w:rPr>
                <w:rFonts w:hint="eastAsia" w:ascii="宋体" w:hAnsi="宋体" w:cs="宋体"/>
                <w:color w:val="auto"/>
                <w:sz w:val="18"/>
                <w:szCs w:val="18"/>
              </w:rPr>
              <w:t>擅自变更食品售价的扣</w:t>
            </w:r>
            <w:r>
              <w:rPr>
                <w:rFonts w:ascii="宋体" w:hAnsi="宋体" w:cs="宋体"/>
                <w:color w:val="auto"/>
                <w:sz w:val="18"/>
                <w:szCs w:val="18"/>
              </w:rPr>
              <w:t>5分/种/次</w:t>
            </w:r>
          </w:p>
        </w:tc>
      </w:tr>
      <w:tr w14:paraId="12F09FE7">
        <w:tblPrEx>
          <w:tblCellMar>
            <w:top w:w="0" w:type="dxa"/>
            <w:left w:w="108" w:type="dxa"/>
            <w:bottom w:w="0" w:type="dxa"/>
            <w:right w:w="108" w:type="dxa"/>
          </w:tblCellMar>
        </w:tblPrEx>
        <w:trPr>
          <w:trHeight w:val="60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13F66E7">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52450DCA">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29EC2D0">
            <w:pPr>
              <w:rPr>
                <w:rFonts w:ascii="宋体" w:hAnsi="宋体" w:cs="宋体"/>
                <w:color w:val="auto"/>
                <w:sz w:val="18"/>
                <w:szCs w:val="18"/>
              </w:rPr>
            </w:pPr>
            <w:r>
              <w:rPr>
                <w:rFonts w:ascii="宋体" w:hAnsi="宋体" w:cs="宋体"/>
                <w:color w:val="auto"/>
                <w:sz w:val="18"/>
                <w:szCs w:val="18"/>
              </w:rPr>
              <w:t>48.严格</w:t>
            </w:r>
            <w:r>
              <w:rPr>
                <w:rFonts w:hint="eastAsia" w:ascii="宋体" w:hAnsi="宋体" w:cs="宋体"/>
                <w:color w:val="auto"/>
                <w:sz w:val="18"/>
                <w:szCs w:val="18"/>
              </w:rPr>
              <w:t>按照食材配比制作，保证菜品质量；不出售隔夜菜。</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D5EACEF">
            <w:pPr>
              <w:rPr>
                <w:rFonts w:ascii="宋体" w:hAnsi="宋体" w:cs="宋体"/>
                <w:color w:val="auto"/>
                <w:sz w:val="18"/>
                <w:szCs w:val="18"/>
              </w:rPr>
            </w:pPr>
            <w:r>
              <w:rPr>
                <w:rFonts w:hint="eastAsia" w:ascii="宋体" w:hAnsi="宋体" w:cs="宋体"/>
                <w:color w:val="auto"/>
                <w:sz w:val="18"/>
                <w:szCs w:val="18"/>
              </w:rPr>
              <w:t>投诉</w:t>
            </w:r>
          </w:p>
          <w:p w14:paraId="552412CA">
            <w:pPr>
              <w:rPr>
                <w:rFonts w:ascii="宋体" w:hAnsi="宋体" w:cs="宋体"/>
                <w:color w:val="auto"/>
                <w:sz w:val="18"/>
                <w:szCs w:val="18"/>
              </w:rPr>
            </w:pPr>
            <w:r>
              <w:rPr>
                <w:rFonts w:hint="eastAsia" w:ascii="宋体" w:hAnsi="宋体" w:cs="宋体"/>
                <w:color w:val="auto"/>
                <w:sz w:val="18"/>
                <w:szCs w:val="18"/>
              </w:rPr>
              <w:t>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A0C3DF1">
            <w:pPr>
              <w:rPr>
                <w:rFonts w:ascii="宋体" w:hAnsi="宋体" w:cs="宋体"/>
                <w:color w:val="auto"/>
                <w:sz w:val="18"/>
                <w:szCs w:val="18"/>
              </w:rPr>
            </w:pPr>
            <w:r>
              <w:rPr>
                <w:rFonts w:hint="eastAsia" w:ascii="宋体" w:hAnsi="宋体" w:cs="宋体"/>
                <w:color w:val="auto"/>
                <w:sz w:val="18"/>
                <w:szCs w:val="18"/>
              </w:rPr>
              <w:t>不符合要求的每次支付违约金</w:t>
            </w:r>
            <w:r>
              <w:rPr>
                <w:rFonts w:ascii="宋体" w:hAnsi="宋体" w:cs="宋体"/>
                <w:color w:val="auto"/>
                <w:sz w:val="18"/>
                <w:szCs w:val="18"/>
              </w:rPr>
              <w:t>1000元/次；非当天加工的支付违约金5000元/次；引发舆情的</w:t>
            </w:r>
            <w:r>
              <w:rPr>
                <w:rFonts w:hint="eastAsia" w:ascii="宋体" w:hAnsi="宋体" w:cs="宋体"/>
                <w:color w:val="auto"/>
                <w:sz w:val="18"/>
                <w:szCs w:val="18"/>
              </w:rPr>
              <w:t>视影响支付违约金</w:t>
            </w:r>
            <w:r>
              <w:rPr>
                <w:rFonts w:ascii="宋体" w:hAnsi="宋体" w:cs="宋体"/>
                <w:color w:val="auto"/>
                <w:sz w:val="18"/>
                <w:szCs w:val="18"/>
              </w:rPr>
              <w:t>2000元-10000元/次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695F73A">
            <w:pPr>
              <w:rPr>
                <w:rFonts w:ascii="宋体" w:hAnsi="宋体" w:cs="宋体"/>
                <w:color w:val="auto"/>
                <w:sz w:val="18"/>
                <w:szCs w:val="18"/>
              </w:rPr>
            </w:pPr>
            <w:r>
              <w:rPr>
                <w:rFonts w:hint="eastAsia" w:ascii="宋体" w:hAnsi="宋体" w:cs="宋体"/>
                <w:color w:val="auto"/>
                <w:sz w:val="18"/>
                <w:szCs w:val="18"/>
              </w:rPr>
              <w:t>不符合要求的扣</w:t>
            </w:r>
            <w:r>
              <w:rPr>
                <w:rFonts w:ascii="宋体" w:hAnsi="宋体" w:cs="宋体"/>
                <w:color w:val="auto"/>
                <w:sz w:val="18"/>
                <w:szCs w:val="18"/>
              </w:rPr>
              <w:t>1分/次；非当天加工的扣1分/次；引发舆情的</w:t>
            </w:r>
            <w:r>
              <w:rPr>
                <w:rFonts w:hint="eastAsia" w:ascii="宋体" w:hAnsi="宋体" w:cs="宋体"/>
                <w:color w:val="auto"/>
                <w:sz w:val="18"/>
                <w:szCs w:val="18"/>
              </w:rPr>
              <w:t>视影响情况扣</w:t>
            </w:r>
            <w:r>
              <w:rPr>
                <w:rFonts w:ascii="宋体" w:hAnsi="宋体" w:cs="宋体"/>
                <w:color w:val="auto"/>
                <w:sz w:val="18"/>
                <w:szCs w:val="18"/>
              </w:rPr>
              <w:t>5分/次</w:t>
            </w:r>
          </w:p>
        </w:tc>
      </w:tr>
      <w:tr w14:paraId="7BAF2C6B">
        <w:tblPrEx>
          <w:tblCellMar>
            <w:top w:w="0" w:type="dxa"/>
            <w:left w:w="108" w:type="dxa"/>
            <w:bottom w:w="0" w:type="dxa"/>
            <w:right w:w="108" w:type="dxa"/>
          </w:tblCellMar>
        </w:tblPrEx>
        <w:trPr>
          <w:trHeight w:val="63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B424E8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269F0209">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0D8358C">
            <w:pPr>
              <w:rPr>
                <w:rFonts w:ascii="宋体" w:hAnsi="宋体" w:cs="宋体"/>
                <w:color w:val="auto"/>
                <w:sz w:val="18"/>
                <w:szCs w:val="18"/>
              </w:rPr>
            </w:pPr>
            <w:r>
              <w:rPr>
                <w:rFonts w:ascii="宋体" w:hAnsi="宋体" w:cs="宋体"/>
                <w:color w:val="auto"/>
                <w:sz w:val="18"/>
                <w:szCs w:val="18"/>
              </w:rPr>
              <w:t>49.应遵守合同约定，不得超范围进行经营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8188717">
            <w:pPr>
              <w:rPr>
                <w:rFonts w:ascii="宋体" w:hAnsi="宋体" w:cs="宋体"/>
                <w:color w:val="auto"/>
                <w:sz w:val="18"/>
                <w:szCs w:val="18"/>
              </w:rPr>
            </w:pPr>
            <w:r>
              <w:rPr>
                <w:rFonts w:hint="eastAsia" w:ascii="宋体" w:hAnsi="宋体" w:cs="宋体"/>
                <w:color w:val="auto"/>
                <w:sz w:val="18"/>
                <w:szCs w:val="18"/>
              </w:rPr>
              <w:t>依据合同</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9F40FD4">
            <w:pPr>
              <w:rPr>
                <w:rFonts w:ascii="宋体" w:hAnsi="宋体" w:cs="宋体"/>
                <w:color w:val="auto"/>
                <w:sz w:val="18"/>
                <w:szCs w:val="18"/>
              </w:rPr>
            </w:pPr>
            <w:r>
              <w:rPr>
                <w:rFonts w:hint="eastAsia" w:ascii="宋体" w:hAnsi="宋体" w:cs="宋体"/>
                <w:color w:val="auto"/>
                <w:sz w:val="18"/>
                <w:szCs w:val="18"/>
              </w:rPr>
              <w:t>超范围经营每次支付违约金</w:t>
            </w:r>
            <w:r>
              <w:rPr>
                <w:rFonts w:ascii="宋体" w:hAnsi="宋体" w:cs="宋体"/>
                <w:color w:val="auto"/>
                <w:sz w:val="18"/>
                <w:szCs w:val="18"/>
              </w:rPr>
              <w:t>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B49436">
            <w:pPr>
              <w:rPr>
                <w:rFonts w:ascii="宋体" w:hAnsi="宋体" w:cs="宋体"/>
                <w:color w:val="auto"/>
                <w:sz w:val="18"/>
                <w:szCs w:val="18"/>
              </w:rPr>
            </w:pPr>
            <w:r>
              <w:rPr>
                <w:rFonts w:hint="eastAsia" w:ascii="宋体" w:hAnsi="宋体" w:cs="宋体"/>
                <w:color w:val="auto"/>
                <w:sz w:val="18"/>
                <w:szCs w:val="18"/>
              </w:rPr>
              <w:t>超范围经营的扣</w:t>
            </w:r>
            <w:r>
              <w:rPr>
                <w:rFonts w:ascii="宋体" w:hAnsi="宋体" w:cs="宋体"/>
                <w:color w:val="auto"/>
                <w:sz w:val="18"/>
                <w:szCs w:val="18"/>
              </w:rPr>
              <w:t>5分/次</w:t>
            </w:r>
          </w:p>
        </w:tc>
      </w:tr>
      <w:tr w14:paraId="792D2DAD">
        <w:tblPrEx>
          <w:tblCellMar>
            <w:top w:w="0" w:type="dxa"/>
            <w:left w:w="108" w:type="dxa"/>
            <w:bottom w:w="0" w:type="dxa"/>
            <w:right w:w="108" w:type="dxa"/>
          </w:tblCellMar>
        </w:tblPrEx>
        <w:trPr>
          <w:trHeight w:val="630"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243E45F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4C3D3387">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68B8447">
            <w:pPr>
              <w:rPr>
                <w:rFonts w:ascii="宋体" w:hAnsi="宋体" w:cs="宋体"/>
                <w:color w:val="auto"/>
                <w:sz w:val="18"/>
                <w:szCs w:val="18"/>
              </w:rPr>
            </w:pPr>
            <w:r>
              <w:rPr>
                <w:rFonts w:ascii="宋体" w:hAnsi="宋体" w:cs="宋体"/>
                <w:color w:val="auto"/>
                <w:sz w:val="18"/>
                <w:szCs w:val="18"/>
              </w:rPr>
              <w:t>50.应按时向学生提供符合卫生要求的热菜热饭（早上6：30—晚上22：30）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7908F5">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18FA508">
            <w:pPr>
              <w:rPr>
                <w:rFonts w:ascii="宋体" w:hAnsi="宋体" w:cs="宋体"/>
                <w:color w:val="auto"/>
                <w:sz w:val="18"/>
                <w:szCs w:val="18"/>
              </w:rPr>
            </w:pPr>
            <w:r>
              <w:rPr>
                <w:rFonts w:hint="eastAsia" w:ascii="宋体" w:hAnsi="宋体" w:cs="宋体"/>
                <w:color w:val="auto"/>
                <w:sz w:val="18"/>
                <w:szCs w:val="18"/>
              </w:rPr>
              <w:t>未经书面同意擅自关闭食堂的全部或部分经营窗口，按每档口每关闭一餐支付违约金</w:t>
            </w:r>
            <w:r>
              <w:rPr>
                <w:rFonts w:ascii="宋体" w:hAnsi="宋体" w:cs="宋体"/>
                <w:color w:val="auto"/>
                <w:sz w:val="18"/>
                <w:szCs w:val="18"/>
              </w:rPr>
              <w:t>20000元</w:t>
            </w:r>
            <w:r>
              <w:rPr>
                <w:rFonts w:hint="eastAsia" w:ascii="宋体" w:hAnsi="宋体" w:cs="宋体"/>
                <w:color w:val="auto"/>
                <w:sz w:val="18"/>
                <w:szCs w:val="18"/>
              </w:rPr>
              <w:t>，学校保留解除合同、取消食堂经营者经营管理资格的权利。</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941B242">
            <w:pPr>
              <w:rPr>
                <w:rFonts w:ascii="宋体" w:hAnsi="宋体" w:cs="宋体"/>
                <w:color w:val="auto"/>
                <w:sz w:val="18"/>
                <w:szCs w:val="18"/>
              </w:rPr>
            </w:pPr>
            <w:r>
              <w:rPr>
                <w:rFonts w:hint="eastAsia" w:ascii="宋体" w:hAnsi="宋体" w:cs="宋体"/>
                <w:color w:val="auto"/>
                <w:sz w:val="18"/>
                <w:szCs w:val="18"/>
              </w:rPr>
              <w:t>未经书面同意擅自关闭食堂的全部或部分经营档口的扣</w:t>
            </w:r>
            <w:r>
              <w:rPr>
                <w:rFonts w:ascii="宋体" w:hAnsi="宋体" w:cs="宋体"/>
                <w:color w:val="auto"/>
                <w:sz w:val="18"/>
                <w:szCs w:val="18"/>
              </w:rPr>
              <w:t>5分/档口/餐</w:t>
            </w:r>
          </w:p>
        </w:tc>
      </w:tr>
      <w:tr w14:paraId="4C1E57F1">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06898B48">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350EF0C0">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BE53779">
            <w:pPr>
              <w:rPr>
                <w:rFonts w:ascii="宋体" w:hAnsi="宋体" w:cs="宋体"/>
                <w:color w:val="auto"/>
                <w:sz w:val="18"/>
                <w:szCs w:val="18"/>
              </w:rPr>
            </w:pPr>
            <w:r>
              <w:rPr>
                <w:rFonts w:ascii="宋体" w:hAnsi="宋体" w:cs="宋体"/>
                <w:color w:val="auto"/>
                <w:sz w:val="18"/>
                <w:szCs w:val="18"/>
              </w:rPr>
              <w:t>51.经营服务内容不能摆至食堂大门以外，不得经营露天夜啤酒、烧烤等影响校园环境卫生的项目，不得影响周边师生休息。</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788F8E">
            <w:pPr>
              <w:rPr>
                <w:rFonts w:ascii="宋体" w:hAnsi="宋体" w:cs="宋体"/>
                <w:color w:val="auto"/>
                <w:sz w:val="18"/>
                <w:szCs w:val="18"/>
              </w:rPr>
            </w:pPr>
            <w:r>
              <w:rPr>
                <w:rFonts w:hint="eastAsia" w:ascii="宋体" w:hAnsi="宋体" w:cs="宋体"/>
                <w:color w:val="auto"/>
                <w:sz w:val="18"/>
                <w:szCs w:val="18"/>
              </w:rPr>
              <w:t>现场</w:t>
            </w:r>
          </w:p>
          <w:p w14:paraId="12AA6176">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94B756E">
            <w:pPr>
              <w:rPr>
                <w:rFonts w:ascii="宋体" w:hAnsi="宋体" w:cs="宋体"/>
                <w:color w:val="auto"/>
                <w:sz w:val="18"/>
                <w:szCs w:val="18"/>
              </w:rPr>
            </w:pPr>
            <w:r>
              <w:rPr>
                <w:rFonts w:hint="eastAsia" w:ascii="宋体" w:hAnsi="宋体" w:cs="宋体"/>
                <w:color w:val="auto"/>
                <w:sz w:val="18"/>
                <w:szCs w:val="18"/>
              </w:rPr>
              <w:t>违规的支付违约金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36F52DE">
            <w:pPr>
              <w:rPr>
                <w:rFonts w:ascii="宋体" w:hAnsi="宋体" w:cs="宋体"/>
                <w:color w:val="auto"/>
                <w:sz w:val="18"/>
                <w:szCs w:val="18"/>
              </w:rPr>
            </w:pPr>
            <w:r>
              <w:rPr>
                <w:rFonts w:hint="eastAsia" w:ascii="宋体" w:hAnsi="宋体" w:cs="宋体"/>
                <w:color w:val="auto"/>
                <w:sz w:val="18"/>
                <w:szCs w:val="18"/>
              </w:rPr>
              <w:t>违规的扣</w:t>
            </w:r>
            <w:r>
              <w:rPr>
                <w:rFonts w:ascii="宋体" w:hAnsi="宋体" w:cs="宋体"/>
                <w:color w:val="auto"/>
                <w:sz w:val="18"/>
                <w:szCs w:val="18"/>
              </w:rPr>
              <w:t>1分/次</w:t>
            </w:r>
          </w:p>
        </w:tc>
      </w:tr>
      <w:tr w14:paraId="01C39C49">
        <w:tblPrEx>
          <w:tblCellMar>
            <w:top w:w="0" w:type="dxa"/>
            <w:left w:w="108" w:type="dxa"/>
            <w:bottom w:w="0" w:type="dxa"/>
            <w:right w:w="108" w:type="dxa"/>
          </w:tblCellMar>
        </w:tblPrEx>
        <w:trPr>
          <w:trHeight w:val="786" w:hRule="atLeast"/>
          <w:jc w:val="center"/>
        </w:trPr>
        <w:tc>
          <w:tcPr>
            <w:tcW w:w="499" w:type="dxa"/>
            <w:vMerge w:val="restart"/>
            <w:tcBorders>
              <w:top w:val="single" w:color="auto" w:sz="4" w:space="0"/>
              <w:left w:val="single" w:color="auto" w:sz="4" w:space="0"/>
              <w:bottom w:val="single" w:color="auto" w:sz="4" w:space="0"/>
              <w:right w:val="single" w:color="auto" w:sz="4" w:space="0"/>
            </w:tcBorders>
            <w:noWrap w:val="0"/>
            <w:vAlign w:val="center"/>
          </w:tcPr>
          <w:p w14:paraId="4593FEA4">
            <w:pPr>
              <w:rPr>
                <w:rFonts w:ascii="宋体" w:hAnsi="宋体" w:cs="宋体"/>
                <w:color w:val="auto"/>
                <w:sz w:val="18"/>
                <w:szCs w:val="18"/>
              </w:rPr>
            </w:pPr>
            <w:r>
              <w:rPr>
                <w:rFonts w:hint="eastAsia" w:ascii="宋体" w:hAnsi="宋体" w:cs="宋体"/>
                <w:color w:val="auto"/>
                <w:sz w:val="18"/>
                <w:szCs w:val="18"/>
              </w:rPr>
              <w:t>五</w:t>
            </w:r>
          </w:p>
        </w:tc>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14:paraId="739E1BE0">
            <w:pPr>
              <w:rPr>
                <w:rFonts w:ascii="宋体" w:hAnsi="宋体" w:cs="宋体"/>
                <w:color w:val="auto"/>
                <w:sz w:val="18"/>
                <w:szCs w:val="18"/>
              </w:rPr>
            </w:pPr>
            <w:r>
              <w:rPr>
                <w:rFonts w:hint="eastAsia" w:ascii="宋体" w:hAnsi="宋体" w:cs="宋体"/>
                <w:color w:val="auto"/>
                <w:sz w:val="18"/>
                <w:szCs w:val="18"/>
              </w:rPr>
              <w:t>服务育人</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18CF6B5">
            <w:pPr>
              <w:rPr>
                <w:rFonts w:ascii="宋体" w:hAnsi="宋体" w:cs="宋体"/>
                <w:color w:val="auto"/>
                <w:sz w:val="18"/>
                <w:szCs w:val="18"/>
              </w:rPr>
            </w:pPr>
            <w:r>
              <w:rPr>
                <w:rFonts w:ascii="宋体" w:hAnsi="宋体" w:cs="宋体"/>
                <w:color w:val="auto"/>
                <w:sz w:val="18"/>
                <w:szCs w:val="18"/>
              </w:rPr>
              <w:t>52.按学校要求认真配合学生在食堂开展劳动教育。</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49F0F9">
            <w:pPr>
              <w:rPr>
                <w:rFonts w:ascii="宋体" w:hAnsi="宋体" w:cs="宋体"/>
                <w:color w:val="auto"/>
                <w:sz w:val="18"/>
                <w:szCs w:val="18"/>
              </w:rPr>
            </w:pPr>
            <w:r>
              <w:rPr>
                <w:rFonts w:hint="eastAsia" w:ascii="宋体" w:hAnsi="宋体" w:cs="宋体"/>
                <w:color w:val="auto"/>
                <w:sz w:val="18"/>
                <w:szCs w:val="18"/>
              </w:rPr>
              <w:t>活动</w:t>
            </w:r>
          </w:p>
          <w:p w14:paraId="28D00461">
            <w:pPr>
              <w:rPr>
                <w:rFonts w:ascii="宋体" w:hAnsi="宋体" w:cs="宋体"/>
                <w:color w:val="auto"/>
                <w:sz w:val="18"/>
                <w:szCs w:val="18"/>
              </w:rPr>
            </w:pPr>
            <w:r>
              <w:rPr>
                <w:rFonts w:hint="eastAsia" w:ascii="宋体" w:hAnsi="宋体" w:cs="宋体"/>
                <w:color w:val="auto"/>
                <w:sz w:val="18"/>
                <w:szCs w:val="18"/>
              </w:rPr>
              <w:t>安排</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3353C37B">
            <w:pPr>
              <w:rPr>
                <w:rFonts w:ascii="宋体" w:hAnsi="宋体" w:cs="宋体"/>
                <w:color w:val="auto"/>
                <w:sz w:val="18"/>
                <w:szCs w:val="18"/>
              </w:rPr>
            </w:pPr>
            <w:r>
              <w:rPr>
                <w:rFonts w:hint="eastAsia" w:ascii="宋体" w:hAnsi="宋体" w:cs="宋体"/>
                <w:color w:val="auto"/>
                <w:sz w:val="18"/>
                <w:szCs w:val="18"/>
              </w:rPr>
              <w:t>未认真配合开展的支付违约金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172561C">
            <w:pPr>
              <w:rPr>
                <w:rFonts w:ascii="宋体" w:hAnsi="宋体" w:cs="宋体"/>
                <w:color w:val="auto"/>
                <w:sz w:val="18"/>
                <w:szCs w:val="18"/>
              </w:rPr>
            </w:pPr>
            <w:r>
              <w:rPr>
                <w:rFonts w:hint="eastAsia" w:ascii="宋体" w:hAnsi="宋体" w:cs="宋体"/>
                <w:color w:val="auto"/>
                <w:sz w:val="18"/>
                <w:szCs w:val="18"/>
              </w:rPr>
              <w:t>未认真配合开展的扣</w:t>
            </w:r>
            <w:r>
              <w:rPr>
                <w:rFonts w:ascii="宋体" w:hAnsi="宋体" w:cs="宋体"/>
                <w:color w:val="auto"/>
                <w:sz w:val="18"/>
                <w:szCs w:val="18"/>
              </w:rPr>
              <w:t>1分/次</w:t>
            </w:r>
          </w:p>
        </w:tc>
      </w:tr>
      <w:tr w14:paraId="68FB9874">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4A8EFC4C">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37538963">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73C4757">
            <w:pPr>
              <w:rPr>
                <w:rFonts w:ascii="宋体" w:hAnsi="宋体" w:cs="宋体"/>
                <w:color w:val="auto"/>
                <w:sz w:val="18"/>
                <w:szCs w:val="18"/>
              </w:rPr>
            </w:pPr>
            <w:r>
              <w:rPr>
                <w:rFonts w:ascii="宋体" w:hAnsi="宋体" w:cs="宋体"/>
                <w:color w:val="auto"/>
                <w:sz w:val="18"/>
                <w:szCs w:val="18"/>
              </w:rPr>
              <w:t>53.提供勤工俭学岗位及免费用餐。不得拒绝特殊困难学生免费餐食。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9E9631">
            <w:pPr>
              <w:rPr>
                <w:rFonts w:ascii="宋体" w:hAnsi="宋体" w:cs="宋体"/>
                <w:color w:val="auto"/>
                <w:sz w:val="18"/>
                <w:szCs w:val="18"/>
              </w:rPr>
            </w:pPr>
            <w:r>
              <w:rPr>
                <w:rFonts w:hint="eastAsia" w:ascii="宋体" w:hAnsi="宋体" w:cs="宋体"/>
                <w:color w:val="auto"/>
                <w:sz w:val="18"/>
                <w:szCs w:val="18"/>
              </w:rPr>
              <w:t>查看</w:t>
            </w:r>
          </w:p>
          <w:p w14:paraId="7E72C9F4">
            <w:pPr>
              <w:rPr>
                <w:rFonts w:ascii="宋体" w:hAnsi="宋体" w:cs="宋体"/>
                <w:color w:val="auto"/>
                <w:sz w:val="18"/>
                <w:szCs w:val="18"/>
              </w:rPr>
            </w:pPr>
            <w:r>
              <w:rPr>
                <w:rFonts w:hint="eastAsia" w:ascii="宋体" w:hAnsi="宋体" w:cs="宋体"/>
                <w:color w:val="auto"/>
                <w:sz w:val="18"/>
                <w:szCs w:val="18"/>
              </w:rPr>
              <w:t>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D6AFF96">
            <w:pPr>
              <w:rPr>
                <w:rFonts w:ascii="宋体" w:hAnsi="宋体" w:cs="宋体"/>
                <w:color w:val="auto"/>
                <w:sz w:val="18"/>
                <w:szCs w:val="18"/>
              </w:rPr>
            </w:pPr>
            <w:r>
              <w:rPr>
                <w:rFonts w:hint="eastAsia" w:ascii="宋体" w:hAnsi="宋体" w:cs="宋体"/>
                <w:color w:val="auto"/>
                <w:sz w:val="18"/>
                <w:szCs w:val="18"/>
              </w:rPr>
              <w:t>未提供勤工俭学岗位或拒绝特殊困难学生免费餐食的支付违约金</w:t>
            </w:r>
            <w:r>
              <w:rPr>
                <w:rFonts w:ascii="宋体" w:hAnsi="宋体" w:cs="宋体"/>
                <w:color w:val="auto"/>
                <w:sz w:val="18"/>
                <w:szCs w:val="18"/>
              </w:rPr>
              <w:t>1000元/次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2CBD61B">
            <w:pPr>
              <w:rPr>
                <w:rFonts w:ascii="宋体" w:hAnsi="宋体" w:cs="宋体"/>
                <w:color w:val="auto"/>
                <w:sz w:val="18"/>
                <w:szCs w:val="18"/>
              </w:rPr>
            </w:pPr>
            <w:r>
              <w:rPr>
                <w:rFonts w:hint="eastAsia" w:ascii="宋体" w:hAnsi="宋体" w:cs="宋体"/>
                <w:color w:val="auto"/>
                <w:sz w:val="18"/>
                <w:szCs w:val="18"/>
              </w:rPr>
              <w:t>未提供勤工俭学岗位或拒绝特殊困难学生免费餐食的扣</w:t>
            </w:r>
            <w:r>
              <w:rPr>
                <w:rFonts w:ascii="宋体" w:hAnsi="宋体" w:cs="宋体"/>
                <w:color w:val="auto"/>
                <w:sz w:val="18"/>
                <w:szCs w:val="18"/>
              </w:rPr>
              <w:t>1分/次。</w:t>
            </w:r>
          </w:p>
        </w:tc>
      </w:tr>
      <w:tr w14:paraId="7CAD3DC7">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3FA4B88">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13CC8E7A">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7C1B8B8">
            <w:pPr>
              <w:rPr>
                <w:rFonts w:ascii="宋体" w:hAnsi="宋体" w:cs="宋体"/>
                <w:color w:val="auto"/>
                <w:sz w:val="18"/>
                <w:szCs w:val="18"/>
              </w:rPr>
            </w:pPr>
            <w:r>
              <w:rPr>
                <w:rFonts w:ascii="宋体" w:hAnsi="宋体" w:cs="宋体"/>
                <w:color w:val="auto"/>
                <w:sz w:val="18"/>
                <w:szCs w:val="18"/>
              </w:rPr>
              <w:t>54.食堂工作人员应政治坚定、遵纪守法、廉洁自律、品行端正、文明礼貌、行为习惯良好。</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F3E7BA">
            <w:pPr>
              <w:rPr>
                <w:rFonts w:ascii="宋体" w:hAnsi="宋体" w:cs="宋体"/>
                <w:color w:val="auto"/>
                <w:sz w:val="18"/>
                <w:szCs w:val="18"/>
              </w:rPr>
            </w:pPr>
            <w:r>
              <w:rPr>
                <w:rFonts w:hint="eastAsia" w:ascii="宋体" w:hAnsi="宋体" w:cs="宋体"/>
                <w:color w:val="auto"/>
                <w:sz w:val="18"/>
                <w:szCs w:val="18"/>
              </w:rPr>
              <w:t>现场</w:t>
            </w:r>
          </w:p>
          <w:p w14:paraId="183FA4F4">
            <w:pPr>
              <w:rPr>
                <w:rFonts w:ascii="宋体" w:hAnsi="宋体" w:cs="宋体"/>
                <w:color w:val="auto"/>
                <w:sz w:val="18"/>
                <w:szCs w:val="18"/>
              </w:rPr>
            </w:pPr>
            <w:r>
              <w:rPr>
                <w:rFonts w:hint="eastAsia" w:ascii="宋体" w:hAnsi="宋体" w:cs="宋体"/>
                <w:color w:val="auto"/>
                <w:sz w:val="18"/>
                <w:szCs w:val="18"/>
              </w:rPr>
              <w:t>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684CF4AE">
            <w:pPr>
              <w:rPr>
                <w:rFonts w:ascii="宋体" w:hAnsi="宋体" w:cs="宋体"/>
                <w:color w:val="auto"/>
                <w:sz w:val="18"/>
                <w:szCs w:val="18"/>
              </w:rPr>
            </w:pPr>
            <w:r>
              <w:rPr>
                <w:rFonts w:hint="eastAsia" w:ascii="宋体" w:hAnsi="宋体" w:cs="宋体"/>
                <w:color w:val="auto"/>
                <w:sz w:val="18"/>
                <w:szCs w:val="18"/>
              </w:rPr>
              <w:t>视情节轻重及影响支付违约金</w:t>
            </w:r>
            <w:r>
              <w:rPr>
                <w:rFonts w:ascii="宋体" w:hAnsi="宋体" w:cs="宋体"/>
                <w:color w:val="auto"/>
                <w:sz w:val="18"/>
                <w:szCs w:val="18"/>
              </w:rPr>
              <w:t>5000-20000元/次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C206A46">
            <w:pPr>
              <w:rPr>
                <w:rFonts w:ascii="宋体" w:hAnsi="宋体" w:cs="宋体"/>
                <w:color w:val="auto"/>
                <w:sz w:val="18"/>
                <w:szCs w:val="18"/>
              </w:rPr>
            </w:pPr>
            <w:r>
              <w:rPr>
                <w:rFonts w:hint="eastAsia" w:ascii="宋体" w:hAnsi="宋体" w:cs="宋体"/>
                <w:color w:val="auto"/>
                <w:sz w:val="18"/>
                <w:szCs w:val="18"/>
              </w:rPr>
              <w:t>视情节轻重及影响扣</w:t>
            </w:r>
            <w:r>
              <w:rPr>
                <w:rFonts w:ascii="宋体" w:hAnsi="宋体" w:cs="宋体"/>
                <w:color w:val="auto"/>
                <w:sz w:val="18"/>
                <w:szCs w:val="18"/>
              </w:rPr>
              <w:t>1-5分/次</w:t>
            </w:r>
          </w:p>
        </w:tc>
      </w:tr>
      <w:tr w14:paraId="58E0D6F9">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7AE3A72A">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BFC6CA4">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4AE374D">
            <w:pPr>
              <w:rPr>
                <w:rFonts w:ascii="宋体" w:hAnsi="宋体" w:cs="宋体"/>
                <w:color w:val="auto"/>
                <w:sz w:val="18"/>
                <w:szCs w:val="18"/>
              </w:rPr>
            </w:pPr>
            <w:r>
              <w:rPr>
                <w:rFonts w:ascii="宋体" w:hAnsi="宋体" w:cs="宋体"/>
                <w:color w:val="auto"/>
                <w:sz w:val="18"/>
                <w:szCs w:val="18"/>
              </w:rPr>
              <w:t>55.认真组织、策划或配合学校及</w:t>
            </w:r>
            <w:r>
              <w:rPr>
                <w:rFonts w:hint="eastAsia" w:ascii="宋体" w:hAnsi="宋体" w:cs="宋体"/>
                <w:color w:val="auto"/>
                <w:sz w:val="18"/>
                <w:szCs w:val="18"/>
              </w:rPr>
              <w:t>学生伙管会的各类饮食文化活动项目并投入资金保障。</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564A68D">
            <w:pPr>
              <w:rPr>
                <w:rFonts w:ascii="宋体" w:hAnsi="宋体" w:cs="宋体"/>
                <w:color w:val="auto"/>
                <w:sz w:val="18"/>
                <w:szCs w:val="18"/>
              </w:rPr>
            </w:pPr>
            <w:r>
              <w:rPr>
                <w:rFonts w:hint="eastAsia" w:ascii="宋体" w:hAnsi="宋体" w:cs="宋体"/>
                <w:color w:val="auto"/>
                <w:sz w:val="18"/>
                <w:szCs w:val="18"/>
              </w:rPr>
              <w:t>活动</w:t>
            </w:r>
          </w:p>
          <w:p w14:paraId="0E59081A">
            <w:pPr>
              <w:rPr>
                <w:rFonts w:ascii="宋体" w:hAnsi="宋体" w:cs="宋体"/>
                <w:color w:val="auto"/>
                <w:sz w:val="18"/>
                <w:szCs w:val="18"/>
              </w:rPr>
            </w:pPr>
            <w:r>
              <w:rPr>
                <w:rFonts w:hint="eastAsia" w:ascii="宋体" w:hAnsi="宋体" w:cs="宋体"/>
                <w:color w:val="auto"/>
                <w:sz w:val="18"/>
                <w:szCs w:val="18"/>
              </w:rPr>
              <w:t>安排</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CCF2573">
            <w:pPr>
              <w:rPr>
                <w:rFonts w:ascii="宋体" w:hAnsi="宋体" w:cs="宋体"/>
                <w:color w:val="auto"/>
                <w:sz w:val="18"/>
                <w:szCs w:val="18"/>
              </w:rPr>
            </w:pPr>
            <w:r>
              <w:rPr>
                <w:rFonts w:hint="eastAsia" w:ascii="宋体" w:hAnsi="宋体" w:cs="宋体"/>
                <w:color w:val="auto"/>
                <w:sz w:val="18"/>
                <w:szCs w:val="18"/>
              </w:rPr>
              <w:t>未认真组织或配合开展的支付违约金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BCA6572">
            <w:pPr>
              <w:rPr>
                <w:rFonts w:ascii="宋体" w:hAnsi="宋体" w:cs="宋体"/>
                <w:color w:val="auto"/>
                <w:sz w:val="18"/>
                <w:szCs w:val="18"/>
              </w:rPr>
            </w:pPr>
            <w:r>
              <w:rPr>
                <w:rFonts w:hint="eastAsia" w:ascii="宋体" w:hAnsi="宋体" w:cs="宋体"/>
                <w:color w:val="auto"/>
                <w:sz w:val="18"/>
                <w:szCs w:val="18"/>
              </w:rPr>
              <w:t>认真组织或配合开展的扣</w:t>
            </w:r>
            <w:r>
              <w:rPr>
                <w:rFonts w:ascii="宋体" w:hAnsi="宋体" w:cs="宋体"/>
                <w:color w:val="auto"/>
                <w:sz w:val="18"/>
                <w:szCs w:val="18"/>
              </w:rPr>
              <w:t>1分/次</w:t>
            </w:r>
          </w:p>
        </w:tc>
      </w:tr>
      <w:tr w14:paraId="729E5D3A">
        <w:tblPrEx>
          <w:tblCellMar>
            <w:top w:w="0" w:type="dxa"/>
            <w:left w:w="108" w:type="dxa"/>
            <w:bottom w:w="0" w:type="dxa"/>
            <w:right w:w="108" w:type="dxa"/>
          </w:tblCellMar>
        </w:tblPrEx>
        <w:trPr>
          <w:trHeight w:val="786" w:hRule="atLeast"/>
          <w:jc w:val="center"/>
        </w:trPr>
        <w:tc>
          <w:tcPr>
            <w:tcW w:w="499" w:type="dxa"/>
            <w:vMerge w:val="continue"/>
            <w:tcBorders>
              <w:top w:val="single" w:color="auto" w:sz="4" w:space="0"/>
              <w:left w:val="single" w:color="auto" w:sz="4" w:space="0"/>
              <w:bottom w:val="single" w:color="auto" w:sz="4" w:space="0"/>
              <w:right w:val="single" w:color="auto" w:sz="4" w:space="0"/>
            </w:tcBorders>
            <w:noWrap w:val="0"/>
            <w:vAlign w:val="center"/>
          </w:tcPr>
          <w:p w14:paraId="1AA9DA30">
            <w:pPr>
              <w:rPr>
                <w:rFonts w:ascii="宋体" w:hAnsi="宋体" w:cs="宋体"/>
                <w:color w:val="auto"/>
                <w:sz w:val="18"/>
                <w:szCs w:val="18"/>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00BEBB34">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05E00F50">
            <w:pPr>
              <w:rPr>
                <w:rFonts w:ascii="宋体" w:hAnsi="宋体" w:cs="宋体"/>
                <w:color w:val="auto"/>
                <w:sz w:val="18"/>
                <w:szCs w:val="18"/>
              </w:rPr>
            </w:pPr>
            <w:r>
              <w:rPr>
                <w:rFonts w:ascii="宋体" w:hAnsi="宋体" w:cs="宋体"/>
                <w:color w:val="auto"/>
                <w:sz w:val="18"/>
                <w:szCs w:val="18"/>
              </w:rPr>
              <w:t>56.按学校要求免费提供传统节日特色食品。</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740CBEE">
            <w:pPr>
              <w:rPr>
                <w:rFonts w:ascii="宋体" w:hAnsi="宋体" w:cs="宋体"/>
                <w:color w:val="auto"/>
                <w:sz w:val="18"/>
                <w:szCs w:val="18"/>
              </w:rPr>
            </w:pPr>
            <w:r>
              <w:rPr>
                <w:rFonts w:hint="eastAsia" w:ascii="宋体" w:hAnsi="宋体" w:cs="宋体"/>
                <w:color w:val="auto"/>
                <w:sz w:val="18"/>
                <w:szCs w:val="18"/>
              </w:rPr>
              <w:t>查看</w:t>
            </w:r>
          </w:p>
          <w:p w14:paraId="582197B6">
            <w:pPr>
              <w:rPr>
                <w:rFonts w:ascii="宋体" w:hAnsi="宋体" w:cs="宋体"/>
                <w:color w:val="auto"/>
                <w:sz w:val="18"/>
                <w:szCs w:val="18"/>
              </w:rPr>
            </w:pPr>
            <w:r>
              <w:rPr>
                <w:rFonts w:hint="eastAsia" w:ascii="宋体" w:hAnsi="宋体" w:cs="宋体"/>
                <w:color w:val="auto"/>
                <w:sz w:val="18"/>
                <w:szCs w:val="18"/>
              </w:rPr>
              <w:t>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1ABACBF">
            <w:pPr>
              <w:rPr>
                <w:rFonts w:ascii="宋体" w:hAnsi="宋体" w:cs="宋体"/>
                <w:color w:val="auto"/>
                <w:sz w:val="18"/>
                <w:szCs w:val="18"/>
              </w:rPr>
            </w:pPr>
            <w:r>
              <w:rPr>
                <w:rFonts w:hint="eastAsia" w:ascii="宋体" w:hAnsi="宋体" w:cs="宋体"/>
                <w:color w:val="auto"/>
                <w:sz w:val="18"/>
                <w:szCs w:val="18"/>
              </w:rPr>
              <w:t>未提供的支付违约金</w:t>
            </w:r>
            <w:r>
              <w:rPr>
                <w:rFonts w:ascii="宋体" w:hAnsi="宋体" w:cs="宋体"/>
                <w:color w:val="auto"/>
                <w:sz w:val="18"/>
                <w:szCs w:val="18"/>
              </w:rPr>
              <w:t>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F6FA032">
            <w:pPr>
              <w:rPr>
                <w:rFonts w:ascii="宋体" w:hAnsi="宋体" w:cs="宋体"/>
                <w:color w:val="auto"/>
                <w:sz w:val="18"/>
                <w:szCs w:val="18"/>
              </w:rPr>
            </w:pPr>
            <w:r>
              <w:rPr>
                <w:rFonts w:hint="eastAsia" w:ascii="宋体" w:hAnsi="宋体" w:cs="宋体"/>
                <w:color w:val="auto"/>
                <w:sz w:val="18"/>
                <w:szCs w:val="18"/>
              </w:rPr>
              <w:t>未提供的扣</w:t>
            </w:r>
            <w:r>
              <w:rPr>
                <w:rFonts w:ascii="宋体" w:hAnsi="宋体" w:cs="宋体"/>
                <w:color w:val="auto"/>
                <w:sz w:val="18"/>
                <w:szCs w:val="18"/>
              </w:rPr>
              <w:t>5分/次</w:t>
            </w:r>
          </w:p>
        </w:tc>
      </w:tr>
      <w:tr w14:paraId="3A00A3CC">
        <w:tblPrEx>
          <w:tblCellMar>
            <w:top w:w="0" w:type="dxa"/>
            <w:left w:w="108" w:type="dxa"/>
            <w:bottom w:w="0" w:type="dxa"/>
            <w:right w:w="108" w:type="dxa"/>
          </w:tblCellMar>
        </w:tblPrEx>
        <w:trPr>
          <w:trHeight w:val="555" w:hRule="atLeast"/>
          <w:jc w:val="center"/>
        </w:trPr>
        <w:tc>
          <w:tcPr>
            <w:tcW w:w="499" w:type="dxa"/>
            <w:vMerge w:val="restart"/>
            <w:tcBorders>
              <w:top w:val="single" w:color="auto" w:sz="4" w:space="0"/>
              <w:left w:val="single" w:color="auto" w:sz="4" w:space="0"/>
              <w:right w:val="single" w:color="auto" w:sz="4" w:space="0"/>
            </w:tcBorders>
            <w:noWrap w:val="0"/>
            <w:vAlign w:val="center"/>
          </w:tcPr>
          <w:p w14:paraId="16FEE4DB">
            <w:pPr>
              <w:rPr>
                <w:rFonts w:ascii="宋体" w:hAnsi="宋体" w:cs="宋体"/>
                <w:color w:val="auto"/>
                <w:sz w:val="18"/>
                <w:szCs w:val="18"/>
              </w:rPr>
            </w:pPr>
          </w:p>
          <w:p w14:paraId="454712F5">
            <w:pPr>
              <w:rPr>
                <w:rFonts w:ascii="宋体" w:hAnsi="宋体" w:cs="宋体"/>
                <w:color w:val="auto"/>
                <w:sz w:val="18"/>
                <w:szCs w:val="18"/>
              </w:rPr>
            </w:pPr>
          </w:p>
          <w:p w14:paraId="1EECE1E2">
            <w:pPr>
              <w:rPr>
                <w:rFonts w:ascii="宋体" w:hAnsi="宋体" w:cs="宋体"/>
                <w:color w:val="auto"/>
                <w:sz w:val="18"/>
                <w:szCs w:val="18"/>
              </w:rPr>
            </w:pPr>
            <w:r>
              <w:rPr>
                <w:rFonts w:hint="eastAsia" w:ascii="宋体" w:hAnsi="宋体" w:cs="宋体"/>
                <w:color w:val="auto"/>
                <w:sz w:val="18"/>
                <w:szCs w:val="18"/>
              </w:rPr>
              <w:t>六</w:t>
            </w:r>
          </w:p>
        </w:tc>
        <w:tc>
          <w:tcPr>
            <w:tcW w:w="636" w:type="dxa"/>
            <w:vMerge w:val="restart"/>
            <w:tcBorders>
              <w:top w:val="single" w:color="auto" w:sz="4" w:space="0"/>
              <w:left w:val="single" w:color="auto" w:sz="4" w:space="0"/>
              <w:right w:val="single" w:color="auto" w:sz="4" w:space="0"/>
            </w:tcBorders>
            <w:noWrap w:val="0"/>
            <w:vAlign w:val="center"/>
          </w:tcPr>
          <w:p w14:paraId="4E0868A5">
            <w:pPr>
              <w:rPr>
                <w:rFonts w:ascii="宋体" w:hAnsi="宋体" w:cs="宋体"/>
                <w:color w:val="auto"/>
                <w:sz w:val="18"/>
                <w:szCs w:val="18"/>
              </w:rPr>
            </w:pPr>
          </w:p>
          <w:p w14:paraId="48F59571">
            <w:pPr>
              <w:rPr>
                <w:rFonts w:ascii="宋体" w:hAnsi="宋体" w:cs="宋体"/>
                <w:color w:val="auto"/>
                <w:sz w:val="18"/>
                <w:szCs w:val="18"/>
              </w:rPr>
            </w:pPr>
          </w:p>
          <w:p w14:paraId="2A2F63E2">
            <w:pPr>
              <w:rPr>
                <w:rFonts w:ascii="宋体" w:hAnsi="宋体" w:cs="宋体"/>
                <w:color w:val="auto"/>
                <w:sz w:val="18"/>
                <w:szCs w:val="18"/>
              </w:rPr>
            </w:pPr>
            <w:r>
              <w:rPr>
                <w:rFonts w:hint="eastAsia" w:ascii="宋体" w:hAnsi="宋体" w:cs="宋体"/>
                <w:color w:val="auto"/>
                <w:sz w:val="18"/>
                <w:szCs w:val="18"/>
              </w:rPr>
              <w:t>其他</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1B7E8AE">
            <w:pPr>
              <w:rPr>
                <w:rFonts w:ascii="宋体" w:hAnsi="宋体" w:cs="宋体"/>
                <w:color w:val="auto"/>
                <w:sz w:val="18"/>
                <w:szCs w:val="18"/>
              </w:rPr>
            </w:pPr>
            <w:r>
              <w:rPr>
                <w:rFonts w:ascii="宋体" w:hAnsi="宋体" w:cs="宋体"/>
                <w:color w:val="auto"/>
                <w:sz w:val="18"/>
                <w:szCs w:val="18"/>
              </w:rPr>
              <w:t>57.食堂经营者应做到“门前三包”，保持清洁卫生</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EF9F2C">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FFE6596">
            <w:pPr>
              <w:rPr>
                <w:rFonts w:ascii="宋体" w:hAnsi="宋体" w:cs="宋体"/>
                <w:color w:val="auto"/>
                <w:sz w:val="18"/>
                <w:szCs w:val="18"/>
              </w:rPr>
            </w:pPr>
            <w:r>
              <w:rPr>
                <w:rFonts w:hint="eastAsia" w:ascii="宋体" w:hAnsi="宋体" w:cs="宋体"/>
                <w:color w:val="auto"/>
                <w:sz w:val="18"/>
                <w:szCs w:val="18"/>
              </w:rPr>
              <w:t>卫生出现脏、乱、差现象每次支付违约金</w:t>
            </w:r>
            <w:r>
              <w:rPr>
                <w:rFonts w:ascii="宋体" w:hAnsi="宋体" w:cs="宋体"/>
                <w:color w:val="auto"/>
                <w:sz w:val="18"/>
                <w:szCs w:val="18"/>
              </w:rPr>
              <w:t>1000元。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E611E1F">
            <w:pPr>
              <w:rPr>
                <w:rFonts w:ascii="宋体" w:hAnsi="宋体" w:cs="宋体"/>
                <w:color w:val="auto"/>
                <w:sz w:val="18"/>
                <w:szCs w:val="18"/>
              </w:rPr>
            </w:pPr>
            <w:r>
              <w:rPr>
                <w:rFonts w:hint="eastAsia" w:ascii="宋体" w:hAnsi="宋体" w:cs="宋体"/>
                <w:color w:val="auto"/>
                <w:sz w:val="18"/>
                <w:szCs w:val="18"/>
              </w:rPr>
              <w:t>卫生出现脏、乱、差的</w:t>
            </w:r>
            <w:r>
              <w:rPr>
                <w:rFonts w:ascii="宋体" w:hAnsi="宋体" w:cs="宋体"/>
                <w:color w:val="auto"/>
                <w:sz w:val="18"/>
                <w:szCs w:val="18"/>
              </w:rPr>
              <w:t>1分/次</w:t>
            </w:r>
          </w:p>
        </w:tc>
      </w:tr>
      <w:tr w14:paraId="103CE564">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4B5ABD95">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40D0870E">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75D9322">
            <w:pPr>
              <w:rPr>
                <w:rFonts w:ascii="宋体" w:hAnsi="宋体" w:cs="宋体"/>
                <w:color w:val="auto"/>
                <w:sz w:val="18"/>
                <w:szCs w:val="18"/>
              </w:rPr>
            </w:pPr>
            <w:r>
              <w:rPr>
                <w:rFonts w:ascii="宋体" w:hAnsi="宋体" w:cs="宋体"/>
                <w:color w:val="auto"/>
                <w:sz w:val="18"/>
                <w:szCs w:val="18"/>
              </w:rPr>
              <w:t>58.严禁偷电、偷水、偷气行为</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53D6E9">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C9E9F8E">
            <w:pPr>
              <w:rPr>
                <w:rFonts w:ascii="宋体" w:hAnsi="宋体" w:cs="宋体"/>
                <w:color w:val="auto"/>
                <w:sz w:val="18"/>
                <w:szCs w:val="18"/>
              </w:rPr>
            </w:pPr>
            <w:r>
              <w:rPr>
                <w:rFonts w:hint="eastAsia" w:ascii="宋体" w:hAnsi="宋体" w:cs="宋体"/>
                <w:color w:val="auto"/>
                <w:sz w:val="18"/>
                <w:szCs w:val="18"/>
              </w:rPr>
              <w:t>每发现一次支付违约金</w:t>
            </w:r>
            <w:r>
              <w:rPr>
                <w:rFonts w:ascii="宋体" w:hAnsi="宋体" w:cs="宋体"/>
                <w:color w:val="auto"/>
                <w:sz w:val="18"/>
                <w:szCs w:val="18"/>
              </w:rPr>
              <w:t>20000元，并应补齐欠费，情节严重的上报公安部门处置，学校有权解除合同。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C6D71F1">
            <w:pPr>
              <w:rPr>
                <w:rFonts w:ascii="宋体" w:hAnsi="宋体" w:cs="宋体"/>
                <w:color w:val="auto"/>
                <w:sz w:val="18"/>
                <w:szCs w:val="18"/>
              </w:rPr>
            </w:pPr>
            <w:r>
              <w:rPr>
                <w:rFonts w:hint="eastAsia" w:ascii="宋体" w:hAnsi="宋体" w:cs="宋体"/>
                <w:color w:val="auto"/>
                <w:sz w:val="18"/>
                <w:szCs w:val="18"/>
              </w:rPr>
              <w:t>出现偷电、偷水、偷气行为的涉事当学期考核直接不合格</w:t>
            </w:r>
          </w:p>
        </w:tc>
      </w:tr>
      <w:tr w14:paraId="1771560E">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19D28B28">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39C935C6">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3BB520E">
            <w:pPr>
              <w:rPr>
                <w:rFonts w:ascii="宋体" w:hAnsi="宋体" w:cs="宋体"/>
                <w:color w:val="auto"/>
                <w:sz w:val="18"/>
                <w:szCs w:val="18"/>
              </w:rPr>
            </w:pPr>
            <w:r>
              <w:rPr>
                <w:rFonts w:ascii="宋体" w:hAnsi="宋体" w:cs="宋体"/>
                <w:color w:val="auto"/>
                <w:sz w:val="18"/>
                <w:szCs w:val="18"/>
              </w:rPr>
              <w:t>59.</w:t>
            </w:r>
            <w:r>
              <w:rPr>
                <w:rFonts w:hint="eastAsia" w:ascii="宋体" w:hAnsi="宋体" w:cs="宋体"/>
                <w:color w:val="auto"/>
                <w:sz w:val="18"/>
                <w:szCs w:val="18"/>
                <w:lang w:eastAsia="zh-CN"/>
              </w:rPr>
              <w:t>甲方</w:t>
            </w:r>
            <w:r>
              <w:rPr>
                <w:rFonts w:ascii="宋体" w:hAnsi="宋体" w:cs="宋体"/>
                <w:color w:val="auto"/>
                <w:sz w:val="18"/>
                <w:szCs w:val="18"/>
              </w:rPr>
              <w:t>不定期委托第三方检测公司对</w:t>
            </w:r>
            <w:r>
              <w:rPr>
                <w:rFonts w:hint="eastAsia" w:ascii="宋体" w:hAnsi="宋体" w:cs="宋体"/>
                <w:color w:val="auto"/>
                <w:sz w:val="18"/>
                <w:szCs w:val="18"/>
              </w:rPr>
              <w:t>食堂食材进行抽检（费用由食堂委托经营公司负责）</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68612D">
            <w:pPr>
              <w:rPr>
                <w:rFonts w:ascii="宋体" w:hAnsi="宋体" w:cs="宋体"/>
                <w:color w:val="auto"/>
                <w:sz w:val="18"/>
                <w:szCs w:val="18"/>
              </w:rPr>
            </w:pPr>
            <w:r>
              <w:rPr>
                <w:rFonts w:hint="eastAsia" w:ascii="宋体" w:hAnsi="宋体" w:cs="宋体"/>
                <w:color w:val="auto"/>
                <w:sz w:val="18"/>
                <w:szCs w:val="18"/>
              </w:rPr>
              <w:t>查验检测报告</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EEDB6F2">
            <w:pPr>
              <w:rPr>
                <w:rFonts w:ascii="宋体" w:hAnsi="宋体" w:cs="宋体"/>
                <w:color w:val="auto"/>
                <w:sz w:val="18"/>
                <w:szCs w:val="18"/>
              </w:rPr>
            </w:pPr>
            <w:r>
              <w:rPr>
                <w:rFonts w:hint="eastAsia" w:ascii="宋体" w:hAnsi="宋体" w:cs="宋体"/>
                <w:color w:val="auto"/>
                <w:sz w:val="18"/>
                <w:szCs w:val="18"/>
              </w:rPr>
              <w:t>不配合支付违约金</w:t>
            </w:r>
            <w:r>
              <w:rPr>
                <w:rFonts w:ascii="宋体" w:hAnsi="宋体" w:cs="宋体"/>
                <w:color w:val="auto"/>
                <w:sz w:val="18"/>
                <w:szCs w:val="18"/>
              </w:rPr>
              <w:t>10000元，抽检不合格，按不合格数量，支付违约金50000元/</w:t>
            </w:r>
            <w:r>
              <w:rPr>
                <w:rFonts w:hint="eastAsia" w:ascii="宋体" w:hAnsi="宋体" w:cs="宋体"/>
                <w:color w:val="auto"/>
                <w:sz w:val="18"/>
                <w:szCs w:val="18"/>
              </w:rPr>
              <w:t>个。</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C1CEB1">
            <w:pPr>
              <w:rPr>
                <w:rFonts w:ascii="宋体" w:hAnsi="宋体" w:cs="宋体"/>
                <w:color w:val="auto"/>
                <w:sz w:val="18"/>
                <w:szCs w:val="18"/>
              </w:rPr>
            </w:pPr>
            <w:r>
              <w:rPr>
                <w:rFonts w:hint="eastAsia" w:ascii="宋体" w:hAnsi="宋体" w:cs="宋体"/>
                <w:color w:val="auto"/>
                <w:sz w:val="18"/>
                <w:szCs w:val="18"/>
              </w:rPr>
              <w:t>不配合扣</w:t>
            </w:r>
            <w:r>
              <w:rPr>
                <w:rFonts w:ascii="宋体" w:hAnsi="宋体" w:cs="宋体"/>
                <w:color w:val="auto"/>
                <w:sz w:val="18"/>
                <w:szCs w:val="18"/>
              </w:rPr>
              <w:t>2分/次，抽检不合格的扣5分/</w:t>
            </w:r>
            <w:r>
              <w:rPr>
                <w:rFonts w:hint="eastAsia" w:ascii="宋体" w:hAnsi="宋体" w:cs="宋体"/>
                <w:color w:val="auto"/>
                <w:sz w:val="18"/>
                <w:szCs w:val="18"/>
              </w:rPr>
              <w:t>个。</w:t>
            </w:r>
          </w:p>
        </w:tc>
      </w:tr>
      <w:tr w14:paraId="10CC03B0">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0C202520">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0640F173">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28F0677">
            <w:pPr>
              <w:rPr>
                <w:rFonts w:ascii="宋体" w:hAnsi="宋体" w:cs="宋体"/>
                <w:color w:val="auto"/>
                <w:sz w:val="18"/>
                <w:szCs w:val="18"/>
              </w:rPr>
            </w:pPr>
            <w:r>
              <w:rPr>
                <w:rFonts w:ascii="宋体" w:hAnsi="宋体" w:cs="宋体"/>
                <w:color w:val="auto"/>
                <w:sz w:val="18"/>
                <w:szCs w:val="18"/>
              </w:rPr>
              <w:t>60.接受市场监督管理局等有关职能部门以及上级机关等各级各类检查时，给</w:t>
            </w:r>
            <w:r>
              <w:rPr>
                <w:rFonts w:hint="eastAsia" w:ascii="宋体" w:hAnsi="宋体" w:cs="宋体"/>
                <w:color w:val="auto"/>
                <w:sz w:val="18"/>
                <w:szCs w:val="18"/>
                <w:lang w:eastAsia="zh-CN"/>
              </w:rPr>
              <w:t>甲方</w:t>
            </w:r>
            <w:r>
              <w:rPr>
                <w:rFonts w:ascii="宋体" w:hAnsi="宋体" w:cs="宋体"/>
                <w:color w:val="auto"/>
                <w:sz w:val="18"/>
                <w:szCs w:val="18"/>
              </w:rPr>
              <w:t>造成不良影响的</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41160B0">
            <w:pPr>
              <w:rPr>
                <w:rFonts w:ascii="宋体" w:hAnsi="宋体" w:cs="宋体"/>
                <w:color w:val="auto"/>
                <w:sz w:val="18"/>
                <w:szCs w:val="18"/>
              </w:rPr>
            </w:pPr>
            <w:r>
              <w:rPr>
                <w:rFonts w:hint="eastAsia" w:ascii="宋体" w:hAnsi="宋体" w:cs="宋体"/>
                <w:color w:val="auto"/>
                <w:sz w:val="18"/>
                <w:szCs w:val="18"/>
              </w:rPr>
              <w:t>依据检查效果</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49BA8FA">
            <w:pPr>
              <w:rPr>
                <w:rFonts w:ascii="宋体" w:hAnsi="宋体" w:cs="宋体"/>
                <w:color w:val="auto"/>
                <w:sz w:val="18"/>
                <w:szCs w:val="18"/>
              </w:rPr>
            </w:pPr>
            <w:r>
              <w:rPr>
                <w:rFonts w:hint="eastAsia" w:ascii="宋体" w:hAnsi="宋体" w:cs="宋体"/>
                <w:color w:val="auto"/>
                <w:sz w:val="18"/>
                <w:szCs w:val="18"/>
              </w:rPr>
              <w:t>视其情节每发生一次支付违约金</w:t>
            </w:r>
            <w:r>
              <w:rPr>
                <w:rFonts w:ascii="宋体" w:hAnsi="宋体" w:cs="宋体"/>
                <w:color w:val="auto"/>
                <w:sz w:val="18"/>
                <w:szCs w:val="18"/>
              </w:rPr>
              <w:t>2000元及以上；</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557260">
            <w:pPr>
              <w:rPr>
                <w:rFonts w:ascii="宋体" w:hAnsi="宋体" w:cs="宋体"/>
                <w:color w:val="auto"/>
                <w:sz w:val="18"/>
                <w:szCs w:val="18"/>
              </w:rPr>
            </w:pPr>
            <w:r>
              <w:rPr>
                <w:rFonts w:hint="eastAsia" w:ascii="宋体" w:hAnsi="宋体" w:cs="宋体"/>
                <w:color w:val="auto"/>
                <w:sz w:val="18"/>
                <w:szCs w:val="18"/>
              </w:rPr>
              <w:t>视其情节扣</w:t>
            </w:r>
            <w:r>
              <w:rPr>
                <w:rFonts w:ascii="宋体" w:hAnsi="宋体" w:cs="宋体"/>
                <w:color w:val="auto"/>
                <w:sz w:val="18"/>
                <w:szCs w:val="18"/>
              </w:rPr>
              <w:t>1分/次及以上</w:t>
            </w:r>
          </w:p>
        </w:tc>
      </w:tr>
      <w:tr w14:paraId="2BDAD1E0">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33A21C6E">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65A1E661">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CE41097">
            <w:pPr>
              <w:rPr>
                <w:rFonts w:ascii="宋体" w:hAnsi="宋体" w:cs="宋体"/>
                <w:color w:val="auto"/>
                <w:sz w:val="18"/>
                <w:szCs w:val="18"/>
              </w:rPr>
            </w:pPr>
            <w:r>
              <w:rPr>
                <w:rFonts w:ascii="宋体" w:hAnsi="宋体" w:cs="宋体"/>
                <w:color w:val="auto"/>
                <w:sz w:val="18"/>
                <w:szCs w:val="18"/>
              </w:rPr>
              <w:t>61.严禁使用</w:t>
            </w:r>
            <w:r>
              <w:rPr>
                <w:rFonts w:hint="eastAsia" w:ascii="宋体" w:hAnsi="宋体" w:cs="宋体"/>
                <w:color w:val="auto"/>
                <w:sz w:val="18"/>
                <w:szCs w:val="18"/>
              </w:rPr>
              <w:t>转基因食材或外国进口类食材</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BCDE1E">
            <w:pPr>
              <w:rPr>
                <w:rFonts w:ascii="宋体" w:hAnsi="宋体" w:cs="宋体"/>
                <w:color w:val="auto"/>
                <w:sz w:val="18"/>
                <w:szCs w:val="18"/>
              </w:rPr>
            </w:pPr>
            <w:r>
              <w:rPr>
                <w:rFonts w:hint="eastAsia" w:ascii="宋体" w:hAnsi="宋体" w:cs="宋体"/>
                <w:color w:val="auto"/>
                <w:sz w:val="18"/>
                <w:szCs w:val="18"/>
              </w:rPr>
              <w:t>现场检查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2F3E4AEB">
            <w:pPr>
              <w:rPr>
                <w:rFonts w:ascii="宋体" w:hAnsi="宋体" w:cs="宋体"/>
                <w:color w:val="auto"/>
                <w:sz w:val="18"/>
                <w:szCs w:val="18"/>
              </w:rPr>
            </w:pPr>
            <w:r>
              <w:rPr>
                <w:rFonts w:hint="eastAsia" w:ascii="宋体" w:hAnsi="宋体" w:cs="宋体"/>
                <w:color w:val="auto"/>
                <w:sz w:val="18"/>
                <w:szCs w:val="18"/>
              </w:rPr>
              <w:t>每发现一次按每个品种支付违约金</w:t>
            </w:r>
            <w:r>
              <w:rPr>
                <w:rFonts w:ascii="宋体" w:hAnsi="宋体" w:cs="宋体"/>
                <w:color w:val="auto"/>
                <w:sz w:val="18"/>
                <w:szCs w:val="18"/>
              </w:rPr>
              <w:t>10000元。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0C10DA">
            <w:pPr>
              <w:rPr>
                <w:rFonts w:ascii="宋体" w:hAnsi="宋体" w:cs="宋体"/>
                <w:color w:val="auto"/>
                <w:sz w:val="18"/>
                <w:szCs w:val="18"/>
              </w:rPr>
            </w:pPr>
            <w:r>
              <w:rPr>
                <w:rFonts w:hint="eastAsia" w:ascii="宋体" w:hAnsi="宋体" w:cs="宋体"/>
                <w:color w:val="auto"/>
                <w:sz w:val="18"/>
                <w:szCs w:val="18"/>
              </w:rPr>
              <w:t>按发现品种数量扣</w:t>
            </w:r>
            <w:r>
              <w:rPr>
                <w:rFonts w:ascii="宋体" w:hAnsi="宋体" w:cs="宋体"/>
                <w:color w:val="auto"/>
                <w:sz w:val="18"/>
                <w:szCs w:val="18"/>
              </w:rPr>
              <w:t>5/</w:t>
            </w:r>
            <w:r>
              <w:rPr>
                <w:rFonts w:hint="eastAsia" w:ascii="宋体" w:hAnsi="宋体" w:cs="宋体"/>
                <w:color w:val="auto"/>
                <w:sz w:val="18"/>
                <w:szCs w:val="18"/>
              </w:rPr>
              <w:t>个</w:t>
            </w:r>
          </w:p>
        </w:tc>
      </w:tr>
      <w:tr w14:paraId="333DE7CE">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5FFB0C9C">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74962E87">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8A87743">
            <w:pPr>
              <w:rPr>
                <w:rFonts w:ascii="宋体" w:hAnsi="宋体" w:cs="宋体"/>
                <w:color w:val="auto"/>
                <w:sz w:val="18"/>
                <w:szCs w:val="18"/>
              </w:rPr>
            </w:pPr>
            <w:r>
              <w:rPr>
                <w:rFonts w:ascii="宋体" w:hAnsi="宋体" w:cs="宋体"/>
                <w:color w:val="auto"/>
                <w:sz w:val="18"/>
                <w:szCs w:val="18"/>
              </w:rPr>
              <w:t>62.不服从管理、不及时按要求进行整改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0E7DC45">
            <w:pPr>
              <w:rPr>
                <w:rFonts w:ascii="宋体" w:hAnsi="宋体" w:cs="宋体"/>
                <w:color w:val="auto"/>
                <w:sz w:val="18"/>
                <w:szCs w:val="18"/>
              </w:rPr>
            </w:pPr>
            <w:r>
              <w:rPr>
                <w:rFonts w:hint="eastAsia" w:ascii="宋体" w:hAnsi="宋体" w:cs="宋体"/>
                <w:color w:val="auto"/>
                <w:sz w:val="18"/>
                <w:szCs w:val="18"/>
              </w:rPr>
              <w:t>依据工作</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5002C75">
            <w:pPr>
              <w:rPr>
                <w:rFonts w:ascii="宋体" w:hAnsi="宋体" w:cs="宋体"/>
                <w:color w:val="auto"/>
                <w:sz w:val="18"/>
                <w:szCs w:val="18"/>
              </w:rPr>
            </w:pPr>
            <w:r>
              <w:rPr>
                <w:rFonts w:hint="eastAsia" w:ascii="宋体" w:hAnsi="宋体" w:cs="宋体"/>
                <w:color w:val="auto"/>
                <w:sz w:val="18"/>
                <w:szCs w:val="18"/>
              </w:rPr>
              <w:t>视其情况每次支付违约金</w:t>
            </w:r>
            <w:r>
              <w:rPr>
                <w:rFonts w:ascii="宋体" w:hAnsi="宋体" w:cs="宋体"/>
                <w:color w:val="auto"/>
                <w:sz w:val="18"/>
                <w:szCs w:val="18"/>
              </w:rPr>
              <w:t>10000元-50000元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0381806">
            <w:pPr>
              <w:rPr>
                <w:rFonts w:ascii="宋体" w:hAnsi="宋体" w:cs="宋体"/>
                <w:color w:val="auto"/>
                <w:sz w:val="18"/>
                <w:szCs w:val="18"/>
              </w:rPr>
            </w:pPr>
            <w:r>
              <w:rPr>
                <w:rFonts w:hint="eastAsia" w:ascii="宋体" w:hAnsi="宋体" w:cs="宋体"/>
                <w:color w:val="auto"/>
                <w:sz w:val="18"/>
                <w:szCs w:val="18"/>
              </w:rPr>
              <w:t>视其情况扣</w:t>
            </w:r>
            <w:r>
              <w:rPr>
                <w:rFonts w:ascii="宋体" w:hAnsi="宋体" w:cs="宋体"/>
                <w:color w:val="auto"/>
                <w:sz w:val="18"/>
                <w:szCs w:val="18"/>
              </w:rPr>
              <w:t>5-10分/次</w:t>
            </w:r>
          </w:p>
        </w:tc>
      </w:tr>
      <w:tr w14:paraId="2052102E">
        <w:tblPrEx>
          <w:tblCellMar>
            <w:top w:w="0" w:type="dxa"/>
            <w:left w:w="108" w:type="dxa"/>
            <w:bottom w:w="0" w:type="dxa"/>
            <w:right w:w="108" w:type="dxa"/>
          </w:tblCellMar>
        </w:tblPrEx>
        <w:trPr>
          <w:trHeight w:val="555" w:hRule="atLeast"/>
          <w:jc w:val="center"/>
        </w:trPr>
        <w:tc>
          <w:tcPr>
            <w:tcW w:w="499" w:type="dxa"/>
            <w:vMerge w:val="continue"/>
            <w:tcBorders>
              <w:left w:val="single" w:color="auto" w:sz="4" w:space="0"/>
              <w:right w:val="single" w:color="auto" w:sz="4" w:space="0"/>
            </w:tcBorders>
            <w:noWrap w:val="0"/>
            <w:vAlign w:val="center"/>
          </w:tcPr>
          <w:p w14:paraId="0CE21EA6">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39C6B155">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639342C">
            <w:pPr>
              <w:rPr>
                <w:rFonts w:ascii="宋体" w:hAnsi="宋体" w:cs="宋体"/>
                <w:color w:val="auto"/>
                <w:sz w:val="18"/>
                <w:szCs w:val="18"/>
              </w:rPr>
            </w:pPr>
            <w:r>
              <w:rPr>
                <w:rFonts w:ascii="宋体" w:hAnsi="宋体" w:cs="宋体"/>
                <w:color w:val="auto"/>
                <w:sz w:val="18"/>
                <w:szCs w:val="18"/>
              </w:rPr>
              <w:t>63.完成学校情况下达的各类工作任务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5CAC36">
            <w:pPr>
              <w:rPr>
                <w:rFonts w:ascii="宋体" w:hAnsi="宋体" w:cs="宋体"/>
                <w:color w:val="auto"/>
                <w:sz w:val="18"/>
                <w:szCs w:val="18"/>
              </w:rPr>
            </w:pPr>
            <w:r>
              <w:rPr>
                <w:rFonts w:hint="eastAsia" w:ascii="宋体" w:hAnsi="宋体" w:cs="宋体"/>
                <w:color w:val="auto"/>
                <w:sz w:val="18"/>
                <w:szCs w:val="18"/>
              </w:rPr>
              <w:t>依据工作</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1FD28FE">
            <w:pPr>
              <w:rPr>
                <w:rFonts w:ascii="宋体" w:hAnsi="宋体" w:cs="宋体"/>
                <w:color w:val="auto"/>
                <w:sz w:val="18"/>
                <w:szCs w:val="18"/>
              </w:rPr>
            </w:pPr>
            <w:r>
              <w:rPr>
                <w:rFonts w:hint="eastAsia" w:ascii="宋体" w:hAnsi="宋体" w:cs="宋体"/>
                <w:color w:val="auto"/>
                <w:sz w:val="18"/>
                <w:szCs w:val="18"/>
              </w:rPr>
              <w:t>视工作未完成情况每项支付违约金</w:t>
            </w:r>
            <w:r>
              <w:rPr>
                <w:rFonts w:ascii="宋体" w:hAnsi="宋体" w:cs="宋体"/>
                <w:color w:val="auto"/>
                <w:sz w:val="18"/>
                <w:szCs w:val="18"/>
              </w:rPr>
              <w:t>5000元-50000元。</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E5F6546">
            <w:pPr>
              <w:rPr>
                <w:rFonts w:ascii="宋体" w:hAnsi="宋体" w:cs="宋体"/>
                <w:color w:val="auto"/>
                <w:sz w:val="18"/>
                <w:szCs w:val="18"/>
              </w:rPr>
            </w:pPr>
            <w:r>
              <w:rPr>
                <w:rFonts w:hint="eastAsia" w:ascii="宋体" w:hAnsi="宋体" w:cs="宋体"/>
                <w:color w:val="auto"/>
                <w:sz w:val="18"/>
                <w:szCs w:val="18"/>
              </w:rPr>
              <w:t>视工作未完成情况扣</w:t>
            </w:r>
            <w:r>
              <w:rPr>
                <w:rFonts w:ascii="宋体" w:hAnsi="宋体" w:cs="宋体"/>
                <w:color w:val="auto"/>
                <w:sz w:val="18"/>
                <w:szCs w:val="18"/>
              </w:rPr>
              <w:t>5-10分/项</w:t>
            </w:r>
          </w:p>
        </w:tc>
      </w:tr>
      <w:tr w14:paraId="01A99293">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0406A479">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3CEBF529">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0B8ABAC">
            <w:pPr>
              <w:rPr>
                <w:rFonts w:ascii="宋体" w:hAnsi="宋体" w:cs="宋体"/>
                <w:color w:val="auto"/>
                <w:sz w:val="18"/>
                <w:szCs w:val="18"/>
              </w:rPr>
            </w:pPr>
            <w:r>
              <w:rPr>
                <w:rFonts w:ascii="宋体" w:hAnsi="宋体" w:cs="宋体"/>
                <w:color w:val="auto"/>
                <w:sz w:val="18"/>
                <w:szCs w:val="18"/>
              </w:rPr>
              <w:t>64.在经营过程中发生师生有效投诉</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B46B5D0">
            <w:pPr>
              <w:rPr>
                <w:rFonts w:ascii="宋体" w:hAnsi="宋体" w:cs="宋体"/>
                <w:color w:val="auto"/>
                <w:sz w:val="18"/>
                <w:szCs w:val="18"/>
              </w:rPr>
            </w:pPr>
            <w:r>
              <w:rPr>
                <w:rFonts w:hint="eastAsia" w:ascii="宋体" w:hAnsi="宋体" w:cs="宋体"/>
                <w:color w:val="auto"/>
                <w:sz w:val="18"/>
                <w:szCs w:val="18"/>
              </w:rPr>
              <w:t>依据投诉</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F832C3A">
            <w:pPr>
              <w:rPr>
                <w:rFonts w:ascii="宋体" w:hAnsi="宋体" w:cs="宋体"/>
                <w:color w:val="auto"/>
                <w:sz w:val="18"/>
                <w:szCs w:val="18"/>
              </w:rPr>
            </w:pPr>
            <w:r>
              <w:rPr>
                <w:rFonts w:hint="eastAsia" w:ascii="宋体" w:hAnsi="宋体" w:cs="宋体"/>
                <w:color w:val="auto"/>
                <w:sz w:val="18"/>
                <w:szCs w:val="18"/>
              </w:rPr>
              <w:t>视其情况支付违约金</w:t>
            </w:r>
            <w:r>
              <w:rPr>
                <w:rFonts w:ascii="宋体" w:hAnsi="宋体" w:cs="宋体"/>
                <w:color w:val="auto"/>
                <w:sz w:val="18"/>
                <w:szCs w:val="18"/>
              </w:rPr>
              <w:t>500元及以上/次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A3ABDF2">
            <w:pPr>
              <w:rPr>
                <w:rFonts w:ascii="宋体" w:hAnsi="宋体" w:cs="宋体"/>
                <w:color w:val="auto"/>
                <w:sz w:val="18"/>
                <w:szCs w:val="18"/>
              </w:rPr>
            </w:pPr>
            <w:r>
              <w:rPr>
                <w:rFonts w:hint="eastAsia" w:ascii="宋体" w:hAnsi="宋体" w:cs="宋体"/>
                <w:color w:val="auto"/>
                <w:sz w:val="18"/>
                <w:szCs w:val="18"/>
              </w:rPr>
              <w:t>视其情况扣</w:t>
            </w:r>
            <w:r>
              <w:rPr>
                <w:rFonts w:ascii="宋体" w:hAnsi="宋体" w:cs="宋体"/>
                <w:color w:val="auto"/>
                <w:sz w:val="18"/>
                <w:szCs w:val="18"/>
              </w:rPr>
              <w:t>1分及以上/次</w:t>
            </w:r>
          </w:p>
        </w:tc>
      </w:tr>
      <w:tr w14:paraId="341A33E0">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5AD65AE6">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50B70FE3">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CF17FD6">
            <w:pPr>
              <w:rPr>
                <w:rFonts w:ascii="宋体" w:hAnsi="宋体" w:cs="宋体"/>
                <w:color w:val="auto"/>
                <w:sz w:val="18"/>
                <w:szCs w:val="18"/>
              </w:rPr>
            </w:pPr>
            <w:r>
              <w:rPr>
                <w:rFonts w:ascii="宋体" w:hAnsi="宋体" w:cs="宋体"/>
                <w:color w:val="auto"/>
                <w:sz w:val="18"/>
                <w:szCs w:val="18"/>
              </w:rPr>
              <w:t>65.</w:t>
            </w:r>
            <w:r>
              <w:rPr>
                <w:rFonts w:hint="eastAsia" w:ascii="宋体" w:hAnsi="宋体" w:cs="宋体"/>
                <w:color w:val="auto"/>
                <w:sz w:val="18"/>
                <w:szCs w:val="18"/>
                <w:lang w:eastAsia="zh-CN"/>
              </w:rPr>
              <w:t>乙方</w:t>
            </w:r>
            <w:r>
              <w:rPr>
                <w:rFonts w:hint="eastAsia" w:ascii="宋体" w:hAnsi="宋体" w:cs="宋体"/>
                <w:color w:val="auto"/>
                <w:sz w:val="18"/>
                <w:szCs w:val="18"/>
              </w:rPr>
              <w:t>招聘的工人在学校内，做影响食品从业人员形象的事情（例如在垃圾桶里面或学校其他区域捡垃圾）</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CC7FE50">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3A693A5">
            <w:pPr>
              <w:rPr>
                <w:rFonts w:ascii="宋体" w:hAnsi="宋体" w:cs="宋体"/>
                <w:color w:val="auto"/>
                <w:sz w:val="18"/>
                <w:szCs w:val="18"/>
              </w:rPr>
            </w:pPr>
            <w:r>
              <w:rPr>
                <w:rFonts w:hint="eastAsia" w:ascii="宋体" w:hAnsi="宋体" w:cs="宋体"/>
                <w:color w:val="auto"/>
                <w:sz w:val="18"/>
                <w:szCs w:val="18"/>
              </w:rPr>
              <w:t>经查实后支付违约金</w:t>
            </w:r>
            <w:r>
              <w:rPr>
                <w:rFonts w:ascii="宋体" w:hAnsi="宋体" w:cs="宋体"/>
                <w:color w:val="auto"/>
                <w:sz w:val="18"/>
                <w:szCs w:val="18"/>
              </w:rPr>
              <w:t>1000元/人、次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0147E62">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1分/人、次</w:t>
            </w:r>
          </w:p>
        </w:tc>
      </w:tr>
      <w:tr w14:paraId="130569FE">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738960CE">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356B555D">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6568CFF6">
            <w:pPr>
              <w:rPr>
                <w:rFonts w:ascii="宋体" w:hAnsi="宋体" w:cs="宋体"/>
                <w:color w:val="auto"/>
                <w:sz w:val="18"/>
                <w:szCs w:val="18"/>
              </w:rPr>
            </w:pPr>
            <w:r>
              <w:rPr>
                <w:rFonts w:ascii="宋体" w:hAnsi="宋体" w:cs="宋体"/>
                <w:color w:val="auto"/>
                <w:sz w:val="18"/>
                <w:szCs w:val="18"/>
              </w:rPr>
              <w:t>66.不得在食堂内出现任何商业广告</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F4DADD">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4928B48A">
            <w:pPr>
              <w:rPr>
                <w:rFonts w:ascii="宋体" w:hAnsi="宋体" w:cs="宋体"/>
                <w:color w:val="auto"/>
                <w:sz w:val="18"/>
                <w:szCs w:val="18"/>
              </w:rPr>
            </w:pPr>
            <w:r>
              <w:rPr>
                <w:rFonts w:hint="eastAsia" w:ascii="宋体" w:hAnsi="宋体" w:cs="宋体"/>
                <w:color w:val="auto"/>
                <w:sz w:val="18"/>
                <w:szCs w:val="18"/>
              </w:rPr>
              <w:t>经查实后支付违约金</w:t>
            </w:r>
            <w:r>
              <w:rPr>
                <w:rFonts w:ascii="宋体" w:hAnsi="宋体" w:cs="宋体"/>
                <w:color w:val="auto"/>
                <w:sz w:val="18"/>
                <w:szCs w:val="18"/>
              </w:rPr>
              <w:t>1000元/处</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7035035">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1分/处</w:t>
            </w:r>
          </w:p>
        </w:tc>
      </w:tr>
      <w:tr w14:paraId="343456E8">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56C49B41">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57803FB4">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87F28F7">
            <w:pPr>
              <w:rPr>
                <w:rFonts w:ascii="宋体" w:hAnsi="宋体" w:cs="宋体"/>
                <w:color w:val="auto"/>
                <w:sz w:val="18"/>
                <w:szCs w:val="18"/>
              </w:rPr>
            </w:pPr>
            <w:r>
              <w:rPr>
                <w:rFonts w:ascii="宋体" w:hAnsi="宋体" w:cs="宋体"/>
                <w:color w:val="auto"/>
                <w:sz w:val="18"/>
                <w:szCs w:val="18"/>
              </w:rPr>
              <w:t>67.</w:t>
            </w:r>
            <w:r>
              <w:rPr>
                <w:rFonts w:hint="eastAsia" w:ascii="宋体" w:hAnsi="宋体" w:cs="宋体"/>
                <w:color w:val="auto"/>
                <w:sz w:val="18"/>
                <w:szCs w:val="18"/>
                <w:lang w:val="en-US" w:eastAsia="zh-CN"/>
              </w:rPr>
              <w:t>乙方</w:t>
            </w:r>
            <w:r>
              <w:rPr>
                <w:rFonts w:ascii="宋体" w:hAnsi="宋体" w:cs="宋体"/>
                <w:color w:val="auto"/>
                <w:sz w:val="18"/>
                <w:szCs w:val="18"/>
              </w:rPr>
              <w:t>指派公司负责人全面统筹所经营管理食堂的食品安全、饭菜质量、内部管理等，每月应至少1次到食堂现场检查食品安全工作并留在检查影像资料和记录备查。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9515B98">
            <w:pPr>
              <w:rPr>
                <w:rFonts w:ascii="宋体" w:hAnsi="宋体" w:cs="宋体"/>
                <w:color w:val="auto"/>
                <w:sz w:val="18"/>
                <w:szCs w:val="18"/>
              </w:rPr>
            </w:pPr>
            <w:r>
              <w:rPr>
                <w:rFonts w:hint="eastAsia" w:ascii="宋体" w:hAnsi="宋体" w:cs="宋体"/>
                <w:color w:val="auto"/>
                <w:sz w:val="18"/>
                <w:szCs w:val="18"/>
              </w:rPr>
              <w:t>材料检查</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2E3C74B">
            <w:pPr>
              <w:rPr>
                <w:rFonts w:ascii="宋体" w:hAnsi="宋体" w:cs="宋体"/>
                <w:color w:val="auto"/>
                <w:sz w:val="18"/>
                <w:szCs w:val="18"/>
              </w:rPr>
            </w:pPr>
            <w:r>
              <w:rPr>
                <w:rFonts w:hint="eastAsia" w:ascii="宋体" w:hAnsi="宋体" w:cs="宋体"/>
                <w:color w:val="auto"/>
                <w:sz w:val="18"/>
                <w:szCs w:val="18"/>
              </w:rPr>
              <w:t>未到现场或无记录或记录不全支付违约金</w:t>
            </w:r>
            <w:r>
              <w:rPr>
                <w:rFonts w:ascii="宋体" w:hAnsi="宋体" w:cs="宋体"/>
                <w:color w:val="auto"/>
                <w:sz w:val="18"/>
                <w:szCs w:val="18"/>
              </w:rPr>
              <w:t>5000元/次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95E5B99">
            <w:pPr>
              <w:rPr>
                <w:rFonts w:ascii="宋体" w:hAnsi="宋体" w:cs="宋体"/>
                <w:color w:val="auto"/>
                <w:sz w:val="18"/>
                <w:szCs w:val="18"/>
              </w:rPr>
            </w:pPr>
            <w:r>
              <w:rPr>
                <w:rFonts w:hint="eastAsia" w:ascii="宋体" w:hAnsi="宋体" w:cs="宋体"/>
                <w:color w:val="auto"/>
                <w:sz w:val="18"/>
                <w:szCs w:val="18"/>
              </w:rPr>
              <w:t>未到现场或无记录或记录资料不全扣</w:t>
            </w:r>
            <w:r>
              <w:rPr>
                <w:rFonts w:ascii="宋体" w:hAnsi="宋体" w:cs="宋体"/>
                <w:color w:val="auto"/>
                <w:sz w:val="18"/>
                <w:szCs w:val="18"/>
              </w:rPr>
              <w:t>2分/次</w:t>
            </w:r>
          </w:p>
        </w:tc>
      </w:tr>
      <w:tr w14:paraId="00EB48E7">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2CFDF7DC">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42CA03F0">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63F2A7B">
            <w:pPr>
              <w:rPr>
                <w:rFonts w:ascii="宋体" w:hAnsi="宋体" w:cs="宋体"/>
                <w:color w:val="auto"/>
                <w:sz w:val="18"/>
                <w:szCs w:val="18"/>
              </w:rPr>
            </w:pPr>
            <w:r>
              <w:rPr>
                <w:rFonts w:ascii="宋体" w:hAnsi="宋体" w:cs="宋体"/>
                <w:color w:val="auto"/>
                <w:sz w:val="18"/>
                <w:szCs w:val="18"/>
              </w:rPr>
              <w:t>68.</w:t>
            </w:r>
            <w:r>
              <w:rPr>
                <w:rFonts w:hint="eastAsia" w:ascii="宋体" w:hAnsi="宋体" w:cs="宋体"/>
                <w:color w:val="auto"/>
                <w:sz w:val="18"/>
                <w:szCs w:val="18"/>
              </w:rPr>
              <w:t>数智食堂监管平台运行出现故障或者</w:t>
            </w:r>
            <w:r>
              <w:rPr>
                <w:rFonts w:hint="eastAsia" w:ascii="宋体" w:hAnsi="宋体" w:cs="宋体"/>
                <w:color w:val="auto"/>
                <w:sz w:val="18"/>
                <w:szCs w:val="18"/>
                <w:lang w:eastAsia="zh-CN"/>
              </w:rPr>
              <w:t>甲方</w:t>
            </w:r>
            <w:r>
              <w:rPr>
                <w:rFonts w:hint="eastAsia" w:ascii="宋体" w:hAnsi="宋体" w:cs="宋体"/>
                <w:color w:val="auto"/>
                <w:sz w:val="18"/>
                <w:szCs w:val="18"/>
              </w:rPr>
              <w:t>投诉</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6629AD">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0274F21">
            <w:pPr>
              <w:rPr>
                <w:rFonts w:ascii="宋体" w:hAnsi="宋体" w:cs="宋体"/>
                <w:color w:val="auto"/>
                <w:sz w:val="18"/>
                <w:szCs w:val="18"/>
              </w:rPr>
            </w:pPr>
            <w:r>
              <w:rPr>
                <w:rFonts w:hint="eastAsia" w:ascii="宋体" w:hAnsi="宋体" w:cs="宋体"/>
                <w:color w:val="auto"/>
                <w:sz w:val="18"/>
                <w:szCs w:val="18"/>
              </w:rPr>
              <w:t>发现故障或者有效投诉，未及时整改的，经查实后支付违约金</w:t>
            </w:r>
            <w:r>
              <w:rPr>
                <w:rFonts w:ascii="宋体" w:hAnsi="宋体" w:cs="宋体"/>
                <w:color w:val="auto"/>
                <w:sz w:val="18"/>
                <w:szCs w:val="18"/>
              </w:rPr>
              <w:t>1000元/次。重大故障或有效投诉，经查实后支付违约金5000元/次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2B4A25">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1分/处；重大故障或有效投诉，可以扣5分/次</w:t>
            </w:r>
          </w:p>
        </w:tc>
      </w:tr>
      <w:tr w14:paraId="6A307579">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7B666560">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08091195">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6BC1312">
            <w:pPr>
              <w:rPr>
                <w:rFonts w:ascii="宋体" w:hAnsi="宋体" w:cs="宋体"/>
                <w:color w:val="auto"/>
                <w:sz w:val="18"/>
                <w:szCs w:val="18"/>
              </w:rPr>
            </w:pPr>
            <w:r>
              <w:rPr>
                <w:rFonts w:ascii="宋体" w:hAnsi="宋体" w:cs="宋体"/>
                <w:color w:val="auto"/>
                <w:sz w:val="18"/>
                <w:szCs w:val="18"/>
              </w:rPr>
              <w:t>69.</w:t>
            </w:r>
            <w:r>
              <w:rPr>
                <w:rFonts w:hint="eastAsia" w:ascii="宋体" w:hAnsi="宋体" w:cs="宋体"/>
                <w:color w:val="auto"/>
                <w:sz w:val="18"/>
                <w:szCs w:val="18"/>
              </w:rPr>
              <w:t>数智食堂监管平台运行出现违反保密相关规定</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9C7534">
            <w:pPr>
              <w:rPr>
                <w:rFonts w:ascii="宋体" w:hAnsi="宋体" w:cs="宋体"/>
                <w:color w:val="auto"/>
                <w:sz w:val="18"/>
                <w:szCs w:val="18"/>
              </w:rPr>
            </w:pPr>
            <w:r>
              <w:rPr>
                <w:rFonts w:hint="eastAsia" w:ascii="宋体" w:hAnsi="宋体" w:cs="宋体"/>
                <w:color w:val="auto"/>
                <w:sz w:val="18"/>
                <w:szCs w:val="18"/>
              </w:rPr>
              <w:t>现场核实</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1EB10CF">
            <w:pPr>
              <w:rPr>
                <w:rFonts w:ascii="宋体" w:hAnsi="宋体" w:cs="宋体"/>
                <w:color w:val="auto"/>
                <w:sz w:val="18"/>
                <w:szCs w:val="18"/>
              </w:rPr>
            </w:pPr>
            <w:r>
              <w:rPr>
                <w:rFonts w:hint="eastAsia" w:ascii="宋体" w:hAnsi="宋体" w:cs="宋体"/>
                <w:color w:val="auto"/>
                <w:sz w:val="18"/>
                <w:szCs w:val="18"/>
              </w:rPr>
              <w:t>出现违反保密相关规定，经查实后支付违约金</w:t>
            </w:r>
            <w:r>
              <w:rPr>
                <w:rFonts w:ascii="宋体" w:hAnsi="宋体" w:cs="宋体"/>
                <w:color w:val="auto"/>
                <w:sz w:val="18"/>
                <w:szCs w:val="18"/>
              </w:rPr>
              <w:t>2000元/次。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9CE484">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2分/次</w:t>
            </w:r>
          </w:p>
        </w:tc>
      </w:tr>
      <w:tr w14:paraId="325CB204">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291C3786">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259274AE">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E030EF1">
            <w:pPr>
              <w:rPr>
                <w:rFonts w:ascii="宋体" w:hAnsi="宋体" w:cs="宋体"/>
                <w:color w:val="auto"/>
                <w:sz w:val="18"/>
                <w:szCs w:val="18"/>
              </w:rPr>
            </w:pPr>
            <w:r>
              <w:rPr>
                <w:rFonts w:ascii="宋体" w:hAnsi="宋体" w:cs="宋体"/>
                <w:color w:val="auto"/>
                <w:sz w:val="18"/>
                <w:szCs w:val="18"/>
              </w:rPr>
              <w:t>70.AI</w:t>
            </w:r>
            <w:r>
              <w:rPr>
                <w:rFonts w:hint="eastAsia" w:ascii="宋体" w:hAnsi="宋体" w:cs="宋体"/>
                <w:color w:val="auto"/>
                <w:sz w:val="18"/>
                <w:szCs w:val="18"/>
              </w:rPr>
              <w:t>抓拍违规事项：未戴口罩、未戴工帽、未穿工服、抽烟玩手机、垃圾桶未盖</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215F62">
            <w:pPr>
              <w:rPr>
                <w:rFonts w:ascii="宋体" w:hAnsi="宋体" w:cs="宋体"/>
                <w:color w:val="auto"/>
                <w:sz w:val="18"/>
                <w:szCs w:val="18"/>
              </w:rPr>
            </w:pPr>
            <w:r>
              <w:rPr>
                <w:rFonts w:hint="eastAsia" w:ascii="宋体" w:hAnsi="宋体" w:cs="宋体"/>
                <w:color w:val="auto"/>
                <w:sz w:val="18"/>
                <w:szCs w:val="18"/>
              </w:rPr>
              <w:t>平台记录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E16CE49">
            <w:pPr>
              <w:rPr>
                <w:rFonts w:ascii="宋体" w:hAnsi="宋体" w:cs="宋体"/>
                <w:color w:val="auto"/>
                <w:sz w:val="18"/>
                <w:szCs w:val="18"/>
              </w:rPr>
            </w:pPr>
            <w:r>
              <w:rPr>
                <w:rFonts w:hint="eastAsia" w:ascii="宋体" w:hAnsi="宋体" w:cs="宋体"/>
                <w:color w:val="auto"/>
                <w:sz w:val="18"/>
                <w:szCs w:val="18"/>
              </w:rPr>
              <w:t>出现前述单项违规，支付</w:t>
            </w:r>
            <w:r>
              <w:rPr>
                <w:rFonts w:ascii="宋体" w:hAnsi="宋体" w:cs="宋体"/>
                <w:color w:val="auto"/>
                <w:sz w:val="18"/>
                <w:szCs w:val="18"/>
              </w:rPr>
              <w:t>违约金500元/次。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2BBE445">
            <w:pPr>
              <w:rPr>
                <w:rFonts w:ascii="宋体" w:hAnsi="宋体" w:cs="宋体"/>
                <w:color w:val="auto"/>
                <w:sz w:val="18"/>
                <w:szCs w:val="18"/>
              </w:rPr>
            </w:pPr>
            <w:r>
              <w:rPr>
                <w:rFonts w:hint="eastAsia" w:ascii="宋体" w:hAnsi="宋体" w:cs="宋体"/>
                <w:color w:val="auto"/>
                <w:sz w:val="18"/>
                <w:szCs w:val="18"/>
              </w:rPr>
              <w:t>出现前述单项违规，每次扣</w:t>
            </w:r>
            <w:r>
              <w:rPr>
                <w:rFonts w:ascii="宋体" w:hAnsi="宋体" w:cs="宋体"/>
                <w:color w:val="auto"/>
                <w:sz w:val="18"/>
                <w:szCs w:val="18"/>
              </w:rPr>
              <w:t>0.5</w:t>
            </w:r>
            <w:r>
              <w:rPr>
                <w:rFonts w:hint="eastAsia" w:ascii="宋体" w:hAnsi="宋体" w:cs="宋体"/>
                <w:color w:val="auto"/>
                <w:sz w:val="18"/>
                <w:szCs w:val="18"/>
              </w:rPr>
              <w:t>分</w:t>
            </w:r>
          </w:p>
        </w:tc>
      </w:tr>
      <w:tr w14:paraId="5635EB3E">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3F4277CC">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6EDD243F">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7FB19AD">
            <w:pPr>
              <w:rPr>
                <w:rFonts w:ascii="宋体" w:hAnsi="宋体" w:cs="宋体"/>
                <w:color w:val="auto"/>
                <w:sz w:val="18"/>
                <w:szCs w:val="18"/>
              </w:rPr>
            </w:pPr>
            <w:r>
              <w:rPr>
                <w:rFonts w:ascii="宋体" w:hAnsi="宋体" w:cs="宋体"/>
                <w:color w:val="auto"/>
                <w:sz w:val="18"/>
                <w:szCs w:val="18"/>
              </w:rPr>
              <w:t>71.</w:t>
            </w:r>
            <w:r>
              <w:rPr>
                <w:rFonts w:hint="eastAsia" w:ascii="宋体" w:hAnsi="宋体" w:cs="宋体"/>
                <w:color w:val="auto"/>
                <w:sz w:val="18"/>
                <w:szCs w:val="18"/>
              </w:rPr>
              <w:t>人员晨检异常、库房温湿度异常、未规范放置挡鼠板、碗筷消毒不达标、农残超标、紫外线消毒不达标、冰箱温度异常、未留样未销样、陌生人闯入</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A46EA6">
            <w:pPr>
              <w:rPr>
                <w:rFonts w:ascii="宋体" w:hAnsi="宋体" w:cs="宋体"/>
                <w:color w:val="auto"/>
                <w:sz w:val="18"/>
                <w:szCs w:val="18"/>
              </w:rPr>
            </w:pPr>
            <w:r>
              <w:rPr>
                <w:rFonts w:hint="eastAsia" w:ascii="宋体" w:hAnsi="宋体" w:cs="宋体"/>
                <w:color w:val="auto"/>
                <w:sz w:val="18"/>
                <w:szCs w:val="18"/>
              </w:rPr>
              <w:t>平台记录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BF8ACF0">
            <w:pPr>
              <w:rPr>
                <w:rFonts w:ascii="宋体" w:hAnsi="宋体" w:cs="宋体"/>
                <w:color w:val="auto"/>
                <w:sz w:val="18"/>
                <w:szCs w:val="18"/>
              </w:rPr>
            </w:pPr>
            <w:r>
              <w:rPr>
                <w:rFonts w:hint="eastAsia" w:ascii="宋体" w:hAnsi="宋体" w:cs="宋体"/>
                <w:color w:val="auto"/>
                <w:sz w:val="18"/>
                <w:szCs w:val="18"/>
              </w:rPr>
              <w:t>出现前述单项违规，支付</w:t>
            </w:r>
            <w:r>
              <w:rPr>
                <w:rFonts w:ascii="宋体" w:hAnsi="宋体" w:cs="宋体"/>
                <w:color w:val="auto"/>
                <w:sz w:val="18"/>
                <w:szCs w:val="18"/>
              </w:rPr>
              <w:t>违约金500元/次。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FD0E101">
            <w:pPr>
              <w:rPr>
                <w:rFonts w:ascii="宋体" w:hAnsi="宋体" w:cs="宋体"/>
                <w:color w:val="auto"/>
                <w:sz w:val="18"/>
                <w:szCs w:val="18"/>
              </w:rPr>
            </w:pPr>
            <w:r>
              <w:rPr>
                <w:rFonts w:hint="eastAsia" w:ascii="宋体" w:hAnsi="宋体" w:cs="宋体"/>
                <w:color w:val="auto"/>
                <w:sz w:val="18"/>
                <w:szCs w:val="18"/>
              </w:rPr>
              <w:t>出现前述单项违规，每次扣</w:t>
            </w:r>
            <w:r>
              <w:rPr>
                <w:rFonts w:ascii="宋体" w:hAnsi="宋体" w:cs="宋体"/>
                <w:color w:val="auto"/>
                <w:sz w:val="18"/>
                <w:szCs w:val="18"/>
              </w:rPr>
              <w:t>0.5</w:t>
            </w:r>
            <w:r>
              <w:rPr>
                <w:rFonts w:hint="eastAsia" w:ascii="宋体" w:hAnsi="宋体" w:cs="宋体"/>
                <w:color w:val="auto"/>
                <w:sz w:val="18"/>
                <w:szCs w:val="18"/>
              </w:rPr>
              <w:t>分</w:t>
            </w:r>
          </w:p>
        </w:tc>
      </w:tr>
      <w:tr w14:paraId="3263E72E">
        <w:tblPrEx>
          <w:tblCellMar>
            <w:top w:w="0" w:type="dxa"/>
            <w:left w:w="108" w:type="dxa"/>
            <w:bottom w:w="0" w:type="dxa"/>
            <w:right w:w="108" w:type="dxa"/>
          </w:tblCellMar>
        </w:tblPrEx>
        <w:trPr>
          <w:trHeight w:val="480" w:hRule="atLeast"/>
          <w:jc w:val="center"/>
        </w:trPr>
        <w:tc>
          <w:tcPr>
            <w:tcW w:w="499" w:type="dxa"/>
            <w:vMerge w:val="continue"/>
            <w:tcBorders>
              <w:left w:val="single" w:color="auto" w:sz="4" w:space="0"/>
              <w:right w:val="single" w:color="auto" w:sz="4" w:space="0"/>
            </w:tcBorders>
            <w:noWrap w:val="0"/>
            <w:vAlign w:val="center"/>
          </w:tcPr>
          <w:p w14:paraId="11EAF3AC">
            <w:pPr>
              <w:rPr>
                <w:rFonts w:ascii="宋体" w:hAnsi="宋体" w:cs="宋体"/>
                <w:color w:val="auto"/>
                <w:sz w:val="18"/>
                <w:szCs w:val="18"/>
              </w:rPr>
            </w:pPr>
          </w:p>
        </w:tc>
        <w:tc>
          <w:tcPr>
            <w:tcW w:w="636" w:type="dxa"/>
            <w:vMerge w:val="continue"/>
            <w:tcBorders>
              <w:left w:val="single" w:color="auto" w:sz="4" w:space="0"/>
              <w:right w:val="single" w:color="auto" w:sz="4" w:space="0"/>
            </w:tcBorders>
            <w:noWrap w:val="0"/>
            <w:vAlign w:val="center"/>
          </w:tcPr>
          <w:p w14:paraId="69D9B5DE">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4A6546D">
            <w:pPr>
              <w:rPr>
                <w:rFonts w:ascii="宋体" w:hAnsi="宋体" w:cs="宋体"/>
                <w:color w:val="auto"/>
                <w:sz w:val="18"/>
                <w:szCs w:val="18"/>
              </w:rPr>
            </w:pPr>
            <w:r>
              <w:rPr>
                <w:rFonts w:ascii="宋体" w:hAnsi="宋体" w:cs="宋体"/>
                <w:color w:val="auto"/>
                <w:sz w:val="18"/>
                <w:szCs w:val="18"/>
              </w:rPr>
              <w:t>72.</w:t>
            </w:r>
            <w:r>
              <w:rPr>
                <w:rFonts w:hint="eastAsia" w:ascii="宋体" w:hAnsi="宋体" w:cs="宋体"/>
                <w:color w:val="auto"/>
                <w:sz w:val="18"/>
                <w:szCs w:val="18"/>
              </w:rPr>
              <w:t>出现</w:t>
            </w:r>
            <w:r>
              <w:rPr>
                <w:rFonts w:ascii="宋体" w:hAnsi="宋体" w:cs="宋体"/>
                <w:color w:val="auto"/>
                <w:sz w:val="18"/>
                <w:szCs w:val="18"/>
              </w:rPr>
              <w:t>AI</w:t>
            </w:r>
            <w:r>
              <w:rPr>
                <w:rFonts w:hint="eastAsia" w:ascii="宋体" w:hAnsi="宋体" w:cs="宋体"/>
                <w:color w:val="auto"/>
                <w:sz w:val="18"/>
                <w:szCs w:val="18"/>
              </w:rPr>
              <w:t>生物抓拍（老鼠等）、油锅离岗等事件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362835C">
            <w:pPr>
              <w:rPr>
                <w:rFonts w:ascii="宋体" w:hAnsi="宋体" w:cs="宋体"/>
                <w:color w:val="auto"/>
                <w:sz w:val="18"/>
                <w:szCs w:val="18"/>
              </w:rPr>
            </w:pPr>
            <w:r>
              <w:rPr>
                <w:rFonts w:hint="eastAsia" w:ascii="宋体" w:hAnsi="宋体" w:cs="宋体"/>
                <w:color w:val="auto"/>
                <w:sz w:val="18"/>
                <w:szCs w:val="18"/>
              </w:rPr>
              <w:t>平台记录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68B06E8">
            <w:pPr>
              <w:rPr>
                <w:rFonts w:ascii="宋体" w:hAnsi="宋体" w:cs="宋体"/>
                <w:color w:val="auto"/>
                <w:sz w:val="18"/>
                <w:szCs w:val="18"/>
              </w:rPr>
            </w:pPr>
            <w:r>
              <w:rPr>
                <w:rFonts w:hint="eastAsia" w:ascii="宋体" w:hAnsi="宋体" w:cs="宋体"/>
                <w:color w:val="auto"/>
                <w:sz w:val="18"/>
                <w:szCs w:val="18"/>
              </w:rPr>
              <w:t>出现前述单项违规，支付</w:t>
            </w:r>
            <w:r>
              <w:rPr>
                <w:rFonts w:ascii="宋体" w:hAnsi="宋体" w:cs="宋体"/>
                <w:color w:val="auto"/>
                <w:sz w:val="18"/>
                <w:szCs w:val="18"/>
              </w:rPr>
              <w:t>违约金5000元/次。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70660AB">
            <w:pPr>
              <w:rPr>
                <w:rFonts w:ascii="宋体" w:hAnsi="宋体" w:cs="宋体"/>
                <w:color w:val="auto"/>
                <w:sz w:val="18"/>
                <w:szCs w:val="18"/>
              </w:rPr>
            </w:pPr>
            <w:r>
              <w:rPr>
                <w:rFonts w:hint="eastAsia" w:ascii="宋体" w:hAnsi="宋体" w:cs="宋体"/>
                <w:color w:val="auto"/>
                <w:sz w:val="18"/>
                <w:szCs w:val="18"/>
              </w:rPr>
              <w:t>出现前述单项违规，每次扣</w:t>
            </w:r>
            <w:r>
              <w:rPr>
                <w:rFonts w:ascii="宋体" w:hAnsi="宋体" w:cs="宋体"/>
                <w:color w:val="auto"/>
                <w:sz w:val="18"/>
                <w:szCs w:val="18"/>
              </w:rPr>
              <w:t>5</w:t>
            </w:r>
            <w:r>
              <w:rPr>
                <w:rFonts w:hint="eastAsia" w:ascii="宋体" w:hAnsi="宋体" w:cs="宋体"/>
                <w:color w:val="auto"/>
                <w:sz w:val="18"/>
                <w:szCs w:val="18"/>
              </w:rPr>
              <w:t>分</w:t>
            </w:r>
          </w:p>
        </w:tc>
      </w:tr>
      <w:tr w14:paraId="2F0A82B2">
        <w:tblPrEx>
          <w:tblCellMar>
            <w:top w:w="0" w:type="dxa"/>
            <w:left w:w="108" w:type="dxa"/>
            <w:bottom w:w="0" w:type="dxa"/>
            <w:right w:w="108" w:type="dxa"/>
          </w:tblCellMar>
        </w:tblPrEx>
        <w:trPr>
          <w:trHeight w:val="480" w:hRule="atLeast"/>
          <w:jc w:val="center"/>
        </w:trPr>
        <w:tc>
          <w:tcPr>
            <w:tcW w:w="499" w:type="dxa"/>
            <w:tcBorders>
              <w:left w:val="single" w:color="auto" w:sz="4" w:space="0"/>
              <w:bottom w:val="single" w:color="auto" w:sz="4" w:space="0"/>
              <w:right w:val="single" w:color="auto" w:sz="4" w:space="0"/>
            </w:tcBorders>
            <w:noWrap w:val="0"/>
            <w:vAlign w:val="center"/>
          </w:tcPr>
          <w:p w14:paraId="025B2C7F">
            <w:pPr>
              <w:rPr>
                <w:rFonts w:ascii="宋体" w:hAnsi="宋体" w:cs="宋体"/>
                <w:color w:val="auto"/>
                <w:sz w:val="18"/>
                <w:szCs w:val="18"/>
              </w:rPr>
            </w:pPr>
            <w:r>
              <w:rPr>
                <w:rFonts w:hint="eastAsia" w:ascii="宋体" w:hAnsi="宋体" w:cs="宋体"/>
                <w:color w:val="auto"/>
                <w:sz w:val="18"/>
                <w:szCs w:val="18"/>
              </w:rPr>
              <w:t>+</w:t>
            </w:r>
          </w:p>
        </w:tc>
        <w:tc>
          <w:tcPr>
            <w:tcW w:w="636" w:type="dxa"/>
            <w:vMerge w:val="continue"/>
            <w:tcBorders>
              <w:left w:val="single" w:color="auto" w:sz="4" w:space="0"/>
              <w:bottom w:val="single" w:color="auto" w:sz="4" w:space="0"/>
              <w:right w:val="single" w:color="auto" w:sz="4" w:space="0"/>
            </w:tcBorders>
            <w:noWrap w:val="0"/>
            <w:vAlign w:val="center"/>
          </w:tcPr>
          <w:p w14:paraId="1F92B4EF">
            <w:pPr>
              <w:rPr>
                <w:rFonts w:ascii="宋体" w:hAnsi="宋体" w:cs="宋体"/>
                <w:color w:val="auto"/>
                <w:sz w:val="18"/>
                <w:szCs w:val="18"/>
              </w:rPr>
            </w:pP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7BD209F">
            <w:pPr>
              <w:rPr>
                <w:rFonts w:ascii="宋体" w:hAnsi="宋体" w:cs="宋体"/>
                <w:color w:val="auto"/>
                <w:sz w:val="18"/>
                <w:szCs w:val="18"/>
              </w:rPr>
            </w:pPr>
            <w:r>
              <w:rPr>
                <w:rFonts w:ascii="宋体" w:hAnsi="宋体" w:cs="宋体"/>
                <w:color w:val="auto"/>
                <w:sz w:val="18"/>
                <w:szCs w:val="18"/>
              </w:rPr>
              <w:t>73.</w:t>
            </w:r>
            <w:r>
              <w:rPr>
                <w:rFonts w:hint="eastAsia" w:ascii="宋体" w:hAnsi="宋体" w:cs="宋体"/>
                <w:color w:val="auto"/>
                <w:sz w:val="18"/>
                <w:szCs w:val="18"/>
              </w:rPr>
              <w:t>投诉经查实或</w:t>
            </w:r>
            <w:r>
              <w:rPr>
                <w:rFonts w:hint="eastAsia" w:ascii="宋体" w:hAnsi="宋体" w:cs="宋体"/>
                <w:color w:val="auto"/>
                <w:sz w:val="18"/>
                <w:szCs w:val="18"/>
                <w:lang w:eastAsia="zh-CN"/>
              </w:rPr>
              <w:t>甲方</w:t>
            </w:r>
            <w:r>
              <w:rPr>
                <w:rFonts w:hint="eastAsia" w:ascii="宋体" w:hAnsi="宋体" w:cs="宋体"/>
                <w:color w:val="auto"/>
                <w:sz w:val="18"/>
                <w:szCs w:val="18"/>
              </w:rPr>
              <w:t>监管发现或数智食堂监管平台发现的其它违规情况</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330F347">
            <w:pPr>
              <w:rPr>
                <w:rFonts w:ascii="宋体" w:hAnsi="宋体" w:cs="宋体"/>
                <w:color w:val="auto"/>
                <w:sz w:val="18"/>
                <w:szCs w:val="18"/>
              </w:rPr>
            </w:pPr>
            <w:r>
              <w:rPr>
                <w:rFonts w:hint="eastAsia" w:ascii="宋体" w:hAnsi="宋体" w:cs="宋体"/>
                <w:color w:val="auto"/>
                <w:sz w:val="18"/>
                <w:szCs w:val="18"/>
              </w:rPr>
              <w:t>现场核实或平台记录</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15515069">
            <w:pPr>
              <w:rPr>
                <w:rFonts w:ascii="宋体" w:hAnsi="宋体" w:cs="宋体"/>
                <w:color w:val="auto"/>
                <w:sz w:val="18"/>
                <w:szCs w:val="18"/>
              </w:rPr>
            </w:pPr>
            <w:r>
              <w:rPr>
                <w:rFonts w:hint="eastAsia" w:ascii="宋体" w:hAnsi="宋体" w:cs="宋体"/>
                <w:color w:val="auto"/>
                <w:sz w:val="18"/>
                <w:szCs w:val="18"/>
              </w:rPr>
              <w:t>经查实后，本考核前款已约定处罚的按前款约定处罚，前款未约定处罚的根据情节严重情况支付违约金</w:t>
            </w:r>
            <w:r>
              <w:rPr>
                <w:rFonts w:ascii="宋体" w:hAnsi="宋体" w:cs="宋体"/>
                <w:color w:val="auto"/>
                <w:sz w:val="18"/>
                <w:szCs w:val="18"/>
              </w:rPr>
              <w:t>500-10000元/次</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1BC604E">
            <w:pPr>
              <w:rPr>
                <w:rFonts w:ascii="宋体" w:hAnsi="宋体" w:cs="宋体"/>
                <w:color w:val="auto"/>
                <w:sz w:val="18"/>
                <w:szCs w:val="18"/>
              </w:rPr>
            </w:pPr>
            <w:r>
              <w:rPr>
                <w:rFonts w:hint="eastAsia" w:ascii="宋体" w:hAnsi="宋体" w:cs="宋体"/>
                <w:color w:val="auto"/>
                <w:sz w:val="18"/>
                <w:szCs w:val="18"/>
              </w:rPr>
              <w:t>经查实后扣</w:t>
            </w:r>
            <w:r>
              <w:rPr>
                <w:rFonts w:ascii="宋体" w:hAnsi="宋体" w:cs="宋体"/>
                <w:color w:val="auto"/>
                <w:sz w:val="18"/>
                <w:szCs w:val="18"/>
              </w:rPr>
              <w:t>0.5-5分/次</w:t>
            </w:r>
          </w:p>
        </w:tc>
      </w:tr>
    </w:tbl>
    <w:p w14:paraId="585E1E82">
      <w:pPr>
        <w:spacing w:line="400" w:lineRule="exact"/>
        <w:ind w:firstLine="480" w:firstLineChars="200"/>
        <w:jc w:val="left"/>
        <w:rPr>
          <w:rFonts w:ascii="宋体" w:hAnsi="宋体" w:cs="宋体"/>
          <w:color w:val="auto"/>
          <w:sz w:val="24"/>
          <w:szCs w:val="24"/>
        </w:rPr>
      </w:pPr>
      <w:r>
        <w:rPr>
          <w:rFonts w:hint="eastAsia" w:ascii="宋体" w:hAnsi="宋体" w:cs="宋体"/>
          <w:bCs/>
          <w:color w:val="auto"/>
          <w:sz w:val="24"/>
          <w:szCs w:val="24"/>
        </w:rPr>
        <w:t>备注：</w:t>
      </w:r>
      <w:r>
        <w:rPr>
          <w:rFonts w:ascii="宋体" w:hAnsi="宋体" w:cs="宋体"/>
          <w:color w:val="auto"/>
          <w:sz w:val="24"/>
          <w:szCs w:val="24"/>
        </w:rPr>
        <w:t>1.</w:t>
      </w:r>
      <w:r>
        <w:rPr>
          <w:rFonts w:hint="eastAsia" w:ascii="宋体" w:hAnsi="宋体" w:cs="宋体"/>
          <w:color w:val="auto"/>
          <w:sz w:val="24"/>
          <w:szCs w:val="24"/>
          <w:lang w:eastAsia="zh-CN"/>
        </w:rPr>
        <w:t>甲方</w:t>
      </w:r>
      <w:r>
        <w:rPr>
          <w:rFonts w:ascii="宋体" w:hAnsi="宋体" w:cs="宋体"/>
          <w:color w:val="auto"/>
          <w:sz w:val="24"/>
          <w:szCs w:val="24"/>
        </w:rPr>
        <w:t>可根据实际情况对日常考核实施细则进行修订，</w:t>
      </w:r>
      <w:r>
        <w:rPr>
          <w:rFonts w:hint="eastAsia" w:ascii="宋体" w:hAnsi="宋体" w:cs="宋体"/>
          <w:color w:val="auto"/>
          <w:sz w:val="24"/>
          <w:szCs w:val="24"/>
          <w:lang w:eastAsia="zh-CN"/>
        </w:rPr>
        <w:t>乙方</w:t>
      </w:r>
      <w:r>
        <w:rPr>
          <w:rFonts w:hint="eastAsia" w:ascii="宋体" w:hAnsi="宋体" w:cs="宋体"/>
          <w:color w:val="auto"/>
          <w:sz w:val="24"/>
          <w:szCs w:val="24"/>
        </w:rPr>
        <w:t>须按修订后的办法执行。</w:t>
      </w:r>
    </w:p>
    <w:p w14:paraId="044B8E10">
      <w:pPr>
        <w:spacing w:line="400" w:lineRule="exact"/>
        <w:ind w:firstLine="480" w:firstLineChars="200"/>
        <w:jc w:val="left"/>
        <w:rPr>
          <w:rFonts w:ascii="宋体" w:hAnsi="宋体" w:cs="宋体"/>
          <w:color w:val="auto"/>
          <w:sz w:val="24"/>
          <w:szCs w:val="24"/>
        </w:rPr>
      </w:pPr>
      <w:r>
        <w:rPr>
          <w:rFonts w:ascii="宋体" w:hAnsi="宋体" w:cs="宋体"/>
          <w:color w:val="auto"/>
          <w:sz w:val="24"/>
          <w:szCs w:val="24"/>
        </w:rPr>
        <w:t>2.上述违约金均从</w:t>
      </w:r>
      <w:r>
        <w:rPr>
          <w:rFonts w:hint="eastAsia" w:ascii="宋体" w:hAnsi="宋体" w:cs="宋体"/>
          <w:color w:val="auto"/>
          <w:sz w:val="24"/>
          <w:szCs w:val="24"/>
          <w:lang w:eastAsia="zh-CN"/>
        </w:rPr>
        <w:t>乙方</w:t>
      </w:r>
      <w:r>
        <w:rPr>
          <w:rFonts w:hint="eastAsia" w:ascii="宋体" w:hAnsi="宋体" w:cs="宋体"/>
          <w:color w:val="auto"/>
          <w:sz w:val="24"/>
          <w:szCs w:val="24"/>
        </w:rPr>
        <w:t>最近一次营业款中扣除并按</w:t>
      </w:r>
      <w:r>
        <w:rPr>
          <w:rFonts w:hint="eastAsia" w:ascii="宋体" w:hAnsi="宋体" w:cs="宋体"/>
          <w:color w:val="auto"/>
          <w:sz w:val="24"/>
          <w:szCs w:val="24"/>
          <w:lang w:eastAsia="zh-CN"/>
        </w:rPr>
        <w:t>甲方</w:t>
      </w:r>
      <w:r>
        <w:rPr>
          <w:rFonts w:hint="eastAsia" w:ascii="宋体" w:hAnsi="宋体" w:cs="宋体"/>
          <w:color w:val="auto"/>
          <w:sz w:val="24"/>
          <w:szCs w:val="24"/>
        </w:rPr>
        <w:t>要求及时整改。</w:t>
      </w:r>
    </w:p>
    <w:p w14:paraId="4CBA4621">
      <w:pPr>
        <w:spacing w:before="167" w:line="223" w:lineRule="auto"/>
        <w:rPr>
          <w:rFonts w:hint="eastAsia" w:ascii="宋体" w:hAnsi="宋体" w:eastAsia="宋体" w:cs="宋体"/>
          <w:color w:val="auto"/>
          <w:spacing w:val="8"/>
          <w:sz w:val="24"/>
          <w:szCs w:val="24"/>
          <w:highlight w:val="none"/>
          <w:lang w:val="en-US" w:eastAsia="zh-CN"/>
        </w:rPr>
      </w:pPr>
    </w:p>
    <w:p w14:paraId="367D7AC1">
      <w:pPr>
        <w:spacing w:before="167" w:line="223" w:lineRule="auto"/>
        <w:rPr>
          <w:rFonts w:hint="eastAsia" w:ascii="宋体" w:hAnsi="宋体" w:eastAsia="宋体" w:cs="宋体"/>
          <w:color w:val="auto"/>
          <w:spacing w:val="8"/>
          <w:sz w:val="24"/>
          <w:szCs w:val="24"/>
          <w:highlight w:val="none"/>
          <w:lang w:val="en-US" w:eastAsia="zh-CN"/>
        </w:rPr>
      </w:pPr>
    </w:p>
    <w:p w14:paraId="219FC60D">
      <w:pPr>
        <w:spacing w:before="167" w:line="223" w:lineRule="auto"/>
        <w:rPr>
          <w:rFonts w:hint="eastAsia" w:ascii="宋体" w:hAnsi="宋体" w:eastAsia="宋体" w:cs="宋体"/>
          <w:color w:val="auto"/>
          <w:spacing w:val="8"/>
          <w:sz w:val="24"/>
          <w:szCs w:val="24"/>
          <w:highlight w:val="none"/>
          <w:lang w:val="en-US" w:eastAsia="zh-CN"/>
        </w:rPr>
      </w:pPr>
    </w:p>
    <w:p w14:paraId="1D89092D">
      <w:pPr>
        <w:spacing w:before="167" w:line="223" w:lineRule="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附件二：</w:t>
      </w:r>
      <w:r>
        <w:rPr>
          <w:rFonts w:hint="eastAsia" w:ascii="宋体" w:hAnsi="宋体" w:eastAsia="宋体" w:cs="宋体"/>
          <w:color w:val="auto"/>
          <w:sz w:val="24"/>
          <w:szCs w:val="24"/>
          <w:lang w:val="en-US" w:eastAsia="zh-CN"/>
        </w:rPr>
        <w:t>“</w:t>
      </w:r>
      <w:r>
        <w:rPr>
          <w:rFonts w:hint="eastAsia" w:ascii="宋体" w:hAnsi="宋体" w:eastAsia="宋体" w:cs="宋体"/>
          <w:color w:val="auto"/>
          <w:sz w:val="28"/>
          <w:szCs w:val="28"/>
        </w:rPr>
        <w:t>数智食堂”食堂数智化设备建设要求</w:t>
      </w:r>
    </w:p>
    <w:p w14:paraId="7923AF45">
      <w:pPr>
        <w:spacing w:line="48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表一：数智食堂”学校食安监管平台建设要求（包3）</w:t>
      </w:r>
    </w:p>
    <w:tbl>
      <w:tblPr>
        <w:tblStyle w:val="59"/>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367"/>
        <w:gridCol w:w="962"/>
        <w:gridCol w:w="962"/>
      </w:tblGrid>
      <w:tr w14:paraId="4673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5000" w:type="pct"/>
            <w:gridSpan w:val="4"/>
            <w:noWrap/>
            <w:vAlign w:val="center"/>
          </w:tcPr>
          <w:p w14:paraId="03D701D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sz w:val="24"/>
                <w:szCs w:val="24"/>
              </w:rPr>
              <w:t>“</w:t>
            </w:r>
            <w:bookmarkStart w:id="195" w:name="OLE_LINK51"/>
            <w:r>
              <w:rPr>
                <w:rFonts w:hint="eastAsia" w:ascii="宋体" w:hAnsi="宋体" w:eastAsia="宋体" w:cs="宋体"/>
                <w:bCs/>
                <w:color w:val="auto"/>
                <w:sz w:val="24"/>
                <w:szCs w:val="24"/>
              </w:rPr>
              <w:t>数智食堂”学校食安监管平台建设要求（包3）</w:t>
            </w:r>
            <w:bookmarkEnd w:id="195"/>
          </w:p>
        </w:tc>
      </w:tr>
      <w:tr w14:paraId="5DE1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68" w:type="pct"/>
            <w:noWrap/>
            <w:vAlign w:val="center"/>
          </w:tcPr>
          <w:p w14:paraId="708E354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产品名称</w:t>
            </w:r>
          </w:p>
        </w:tc>
        <w:tc>
          <w:tcPr>
            <w:tcW w:w="3594" w:type="pct"/>
            <w:noWrap/>
            <w:vAlign w:val="center"/>
          </w:tcPr>
          <w:p w14:paraId="251C29E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主要技术参数</w:t>
            </w:r>
          </w:p>
        </w:tc>
        <w:tc>
          <w:tcPr>
            <w:tcW w:w="469" w:type="pct"/>
            <w:noWrap/>
            <w:vAlign w:val="center"/>
          </w:tcPr>
          <w:p w14:paraId="015DA1D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c>
          <w:tcPr>
            <w:tcW w:w="469" w:type="pct"/>
            <w:noWrap/>
            <w:vAlign w:val="center"/>
          </w:tcPr>
          <w:p w14:paraId="2BEDA40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r>
      <w:tr w14:paraId="701F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8" w:type="pct"/>
            <w:noWrap w:val="0"/>
            <w:vAlign w:val="center"/>
          </w:tcPr>
          <w:p w14:paraId="36B0496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食品安全监督管理平台</w:t>
            </w:r>
          </w:p>
        </w:tc>
        <w:tc>
          <w:tcPr>
            <w:tcW w:w="3594" w:type="pct"/>
            <w:noWrap w:val="0"/>
            <w:vAlign w:val="top"/>
          </w:tcPr>
          <w:p w14:paraId="68CE501E">
            <w:pPr>
              <w:keepNext w:val="0"/>
              <w:keepLines w:val="0"/>
              <w:pageBreakBefore w:val="0"/>
              <w:widowControl/>
              <w:numPr>
                <w:ilvl w:val="0"/>
                <w:numId w:val="1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数智食安监管平台大屏：</w:t>
            </w:r>
          </w:p>
          <w:p w14:paraId="51D57517">
            <w:pPr>
              <w:keepNext w:val="0"/>
              <w:keepLines w:val="0"/>
              <w:pageBreakBefore w:val="0"/>
              <w:widowControl/>
              <w:numPr>
                <w:ilvl w:val="0"/>
                <w:numId w:val="1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食堂概览统计：</w:t>
            </w:r>
          </w:p>
          <w:p w14:paraId="042C0DB4">
            <w:pPr>
              <w:keepNext w:val="0"/>
              <w:keepLines w:val="0"/>
              <w:pageBreakBefore w:val="0"/>
              <w:widowControl/>
              <w:numPr>
                <w:ilvl w:val="0"/>
                <w:numId w:val="1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统计食堂数量、监管数量、食安指挥天数</w:t>
            </w:r>
          </w:p>
          <w:p w14:paraId="7DECBEBD">
            <w:pPr>
              <w:keepNext w:val="0"/>
              <w:keepLines w:val="0"/>
              <w:pageBreakBefore w:val="0"/>
              <w:widowControl/>
              <w:numPr>
                <w:ilvl w:val="0"/>
                <w:numId w:val="1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呈现系统统计数据：数智场景、数智设备、智能明厨亮灶、巡检总数</w:t>
            </w:r>
          </w:p>
          <w:p w14:paraId="5023739A">
            <w:pPr>
              <w:keepNext w:val="0"/>
              <w:keepLines w:val="0"/>
              <w:pageBreakBefore w:val="0"/>
              <w:widowControl/>
              <w:numPr>
                <w:ilvl w:val="0"/>
                <w:numId w:val="1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本月食堂巡查食堂得分</w:t>
            </w:r>
          </w:p>
          <w:p w14:paraId="1A369861">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统计食堂本月巡检的总和得分</w:t>
            </w:r>
          </w:p>
          <w:p w14:paraId="43D81AEF">
            <w:pPr>
              <w:keepNext w:val="0"/>
              <w:keepLines w:val="0"/>
              <w:pageBreakBefore w:val="0"/>
              <w:widowControl/>
              <w:numPr>
                <w:ilvl w:val="0"/>
                <w:numId w:val="1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食堂食安地图</w:t>
            </w:r>
          </w:p>
          <w:p w14:paraId="5E37E4AB">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系统获取食堂实时的食安风险数据，出现风险时，进行食堂高亮预警</w:t>
            </w:r>
          </w:p>
          <w:p w14:paraId="7E3199DA">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点击中部食堂名称，查看该食堂的专管详情</w:t>
            </w:r>
          </w:p>
          <w:p w14:paraId="5ED0C2C1">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查看食堂食安得分</w:t>
            </w:r>
          </w:p>
          <w:p w14:paraId="1699FA77">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食堂数据概览</w:t>
            </w:r>
          </w:p>
          <w:p w14:paraId="4D078D03">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食堂员工的健康证分析</w:t>
            </w:r>
          </w:p>
          <w:p w14:paraId="3A1C593C">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食堂员工晨检和出勤的数据展示</w:t>
            </w:r>
          </w:p>
          <w:p w14:paraId="4E27CE06">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食安现场过程监管（数智场景监管）</w:t>
            </w:r>
          </w:p>
          <w:p w14:paraId="64A80F65">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食堂留样监管（点击留样状态可查看留样记录）</w:t>
            </w:r>
          </w:p>
          <w:p w14:paraId="681D16E3">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食堂的菜品展示</w:t>
            </w:r>
          </w:p>
          <w:p w14:paraId="627179C1">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供应商信息展示</w:t>
            </w:r>
          </w:p>
          <w:p w14:paraId="293BF3F3">
            <w:pPr>
              <w:keepNext w:val="0"/>
              <w:keepLines w:val="0"/>
              <w:pageBreakBefore w:val="0"/>
              <w:widowControl/>
              <w:numPr>
                <w:ilvl w:val="0"/>
                <w:numId w:val="1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查看食安分数详情，展示门店当前风险，呈现详情</w:t>
            </w:r>
          </w:p>
          <w:p w14:paraId="24DC8AC0">
            <w:pPr>
              <w:keepNext w:val="0"/>
              <w:keepLines w:val="0"/>
              <w:pageBreakBefore w:val="0"/>
              <w:widowControl/>
              <w:numPr>
                <w:ilvl w:val="0"/>
                <w:numId w:val="1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数智设备布防统计</w:t>
            </w:r>
          </w:p>
          <w:p w14:paraId="470CC1A3">
            <w:pPr>
              <w:keepNext w:val="0"/>
              <w:keepLines w:val="0"/>
              <w:pageBreakBefore w:val="0"/>
              <w:widowControl/>
              <w:numPr>
                <w:ilvl w:val="0"/>
                <w:numId w:val="1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统计所有食堂安装的各类设备类型数量，并针对在线率进行呈现</w:t>
            </w:r>
          </w:p>
          <w:p w14:paraId="4D3A1F0F">
            <w:pPr>
              <w:keepNext w:val="0"/>
              <w:keepLines w:val="0"/>
              <w:pageBreakBefore w:val="0"/>
              <w:widowControl/>
              <w:numPr>
                <w:ilvl w:val="0"/>
                <w:numId w:val="1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查看详情：食堂的实时预警提醒、食堂设备监管情况、安全预警中心、数智食堂物联监管数据</w:t>
            </w:r>
          </w:p>
          <w:p w14:paraId="4C397090">
            <w:pPr>
              <w:keepNext w:val="0"/>
              <w:keepLines w:val="0"/>
              <w:pageBreakBefore w:val="0"/>
              <w:widowControl/>
              <w:numPr>
                <w:ilvl w:val="0"/>
                <w:numId w:val="1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预警走马灯</w:t>
            </w:r>
          </w:p>
          <w:p w14:paraId="4FC01CEF">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通过走马灯形式汇报食堂近期的风险事件</w:t>
            </w:r>
          </w:p>
          <w:p w14:paraId="73F8931A">
            <w:pPr>
              <w:keepNext w:val="0"/>
              <w:keepLines w:val="0"/>
              <w:pageBreakBefore w:val="0"/>
              <w:widowControl/>
              <w:numPr>
                <w:ilvl w:val="0"/>
                <w:numId w:val="1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报警弹窗</w:t>
            </w:r>
          </w:p>
          <w:p w14:paraId="75ECAD22">
            <w:pPr>
              <w:keepNext w:val="0"/>
              <w:keepLines w:val="0"/>
              <w:pageBreakBefore w:val="0"/>
              <w:widowControl/>
              <w:numPr>
                <w:ilvl w:val="0"/>
                <w:numId w:val="1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报警弹窗：对食堂的设备报警时间进行弹窗提醒</w:t>
            </w:r>
          </w:p>
          <w:p w14:paraId="462DEFAE">
            <w:pPr>
              <w:keepNext w:val="0"/>
              <w:keepLines w:val="0"/>
              <w:pageBreakBefore w:val="0"/>
              <w:widowControl/>
              <w:numPr>
                <w:ilvl w:val="0"/>
                <w:numId w:val="1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报警详情：显示近期的报警事件，支持快捷关闭</w:t>
            </w:r>
          </w:p>
          <w:p w14:paraId="4C8AE8C3">
            <w:pPr>
              <w:keepNext w:val="0"/>
              <w:keepLines w:val="0"/>
              <w:pageBreakBefore w:val="0"/>
              <w:widowControl/>
              <w:numPr>
                <w:ilvl w:val="0"/>
                <w:numId w:val="1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每日食品安全检查记录</w:t>
            </w:r>
          </w:p>
          <w:p w14:paraId="5AE7EABE">
            <w:pPr>
              <w:keepNext w:val="0"/>
              <w:keepLines w:val="0"/>
              <w:pageBreakBefore w:val="0"/>
              <w:widowControl/>
              <w:numPr>
                <w:ilvl w:val="0"/>
                <w:numId w:val="1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公示食堂提交的日管控情况</w:t>
            </w:r>
          </w:p>
          <w:p w14:paraId="5E20C376">
            <w:pPr>
              <w:keepNext w:val="0"/>
              <w:keepLines w:val="0"/>
              <w:pageBreakBefore w:val="0"/>
              <w:widowControl/>
              <w:numPr>
                <w:ilvl w:val="0"/>
                <w:numId w:val="1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查看详情：展示各食堂每日的完成情况，其中包括不合格的问题说明以及整改措施，并跟进展示其整改进度及详情</w:t>
            </w:r>
          </w:p>
          <w:p w14:paraId="77543E95">
            <w:pPr>
              <w:keepNext w:val="0"/>
              <w:keepLines w:val="0"/>
              <w:pageBreakBefore w:val="0"/>
              <w:widowControl/>
              <w:numPr>
                <w:ilvl w:val="0"/>
                <w:numId w:val="1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每周食品安全治理报告</w:t>
            </w:r>
          </w:p>
          <w:p w14:paraId="17C4624A">
            <w:pPr>
              <w:keepNext w:val="0"/>
              <w:keepLines w:val="0"/>
              <w:pageBreakBefore w:val="0"/>
              <w:widowControl/>
              <w:numPr>
                <w:ilvl w:val="0"/>
                <w:numId w:val="2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公示系统创建的周排查记录数据</w:t>
            </w:r>
          </w:p>
          <w:p w14:paraId="1E4DFE69">
            <w:pPr>
              <w:keepNext w:val="0"/>
              <w:keepLines w:val="0"/>
              <w:pageBreakBefore w:val="0"/>
              <w:widowControl/>
              <w:numPr>
                <w:ilvl w:val="0"/>
                <w:numId w:val="2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点击可查看详情，包括每周发现的问题及整改情况</w:t>
            </w:r>
          </w:p>
          <w:p w14:paraId="6083729F">
            <w:pPr>
              <w:keepNext w:val="0"/>
              <w:keepLines w:val="0"/>
              <w:pageBreakBefore w:val="0"/>
              <w:widowControl/>
              <w:numPr>
                <w:ilvl w:val="0"/>
                <w:numId w:val="1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每月食品安全调度报告</w:t>
            </w:r>
          </w:p>
          <w:p w14:paraId="3E3EA4DA">
            <w:pPr>
              <w:keepNext w:val="0"/>
              <w:keepLines w:val="0"/>
              <w:pageBreakBefore w:val="0"/>
              <w:widowControl/>
              <w:numPr>
                <w:ilvl w:val="0"/>
                <w:numId w:val="2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可查看系统创建的月调度报告</w:t>
            </w:r>
          </w:p>
          <w:p w14:paraId="2B5EA910">
            <w:pPr>
              <w:keepNext w:val="0"/>
              <w:keepLines w:val="0"/>
              <w:pageBreakBefore w:val="0"/>
              <w:widowControl/>
              <w:numPr>
                <w:ilvl w:val="0"/>
                <w:numId w:val="2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支持点击查看详情，可直接预览月调度报告中的文件内容</w:t>
            </w:r>
          </w:p>
          <w:p w14:paraId="1CFFC780">
            <w:pPr>
              <w:keepNext w:val="0"/>
              <w:keepLines w:val="0"/>
              <w:pageBreakBefore w:val="0"/>
              <w:widowControl/>
              <w:numPr>
                <w:ilvl w:val="0"/>
                <w:numId w:val="1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数字巡检屏：</w:t>
            </w:r>
          </w:p>
          <w:p w14:paraId="1D2F8A39">
            <w:pPr>
              <w:keepNext w:val="0"/>
              <w:keepLines w:val="0"/>
              <w:pageBreakBefore w:val="0"/>
              <w:widowControl/>
              <w:numPr>
                <w:ilvl w:val="0"/>
                <w:numId w:val="2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后勤数智巡检：</w:t>
            </w:r>
          </w:p>
          <w:p w14:paraId="2EBEB81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可查看食堂的巡检信息、本月食堂巡检进度、本月巡检提升分析、本月食堂巡检分析、食堂3个月的重点提升方向、食安红榜、待提升排名、食堂实时的巡检进度展示</w:t>
            </w:r>
          </w:p>
          <w:p w14:paraId="4E183C68">
            <w:pPr>
              <w:keepNext w:val="0"/>
              <w:keepLines w:val="0"/>
              <w:pageBreakBefore w:val="0"/>
              <w:widowControl/>
              <w:numPr>
                <w:ilvl w:val="0"/>
                <w:numId w:val="2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本月食堂巡检分析：</w:t>
            </w:r>
          </w:p>
          <w:p w14:paraId="480D251F">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统计当月食堂督导巡检与视频巡检的进度情况，点击对应圆环图可查看巡检进度详情</w:t>
            </w:r>
          </w:p>
          <w:p w14:paraId="44633A1F">
            <w:pPr>
              <w:keepNext w:val="0"/>
              <w:keepLines w:val="0"/>
              <w:pageBreakBefore w:val="0"/>
              <w:widowControl/>
              <w:numPr>
                <w:ilvl w:val="0"/>
                <w:numId w:val="2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自检自清提交统计</w:t>
            </w:r>
          </w:p>
          <w:p w14:paraId="5FA0AB80">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统计各门店近期的自检自清统计情况，能看到门店的提交情况，如是否提交，是否迟交等</w:t>
            </w:r>
          </w:p>
          <w:p w14:paraId="0AC2CD81">
            <w:pPr>
              <w:keepNext w:val="0"/>
              <w:keepLines w:val="0"/>
              <w:pageBreakBefore w:val="0"/>
              <w:widowControl/>
              <w:numPr>
                <w:ilvl w:val="0"/>
                <w:numId w:val="2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本月食堂巡检进度</w:t>
            </w:r>
          </w:p>
          <w:p w14:paraId="5FBA2A6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分布以柱状图与列表的形式统计当月督查巡检、视频巡检的食堂得分，并进行排名</w:t>
            </w:r>
          </w:p>
          <w:p w14:paraId="3661FC6B">
            <w:pPr>
              <w:keepNext w:val="0"/>
              <w:keepLines w:val="0"/>
              <w:pageBreakBefore w:val="0"/>
              <w:widowControl/>
              <w:numPr>
                <w:ilvl w:val="0"/>
                <w:numId w:val="2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食安红榜</w:t>
            </w:r>
          </w:p>
          <w:p w14:paraId="0C3B2D6B">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通过公示计算食堂当月的综合得分，并跟进得分对食堂进行排行</w:t>
            </w:r>
          </w:p>
          <w:p w14:paraId="6E23320E">
            <w:pPr>
              <w:keepNext w:val="0"/>
              <w:keepLines w:val="0"/>
              <w:pageBreakBefore w:val="0"/>
              <w:widowControl/>
              <w:numPr>
                <w:ilvl w:val="0"/>
                <w:numId w:val="2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待提升排名</w:t>
            </w:r>
          </w:p>
          <w:p w14:paraId="34CE65FA">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统计各食堂当月所排查处理的问题数量，并进行排行</w:t>
            </w:r>
          </w:p>
          <w:p w14:paraId="520F7D5A">
            <w:pPr>
              <w:keepNext w:val="0"/>
              <w:keepLines w:val="0"/>
              <w:pageBreakBefore w:val="0"/>
              <w:widowControl/>
              <w:numPr>
                <w:ilvl w:val="0"/>
                <w:numId w:val="2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实时巡查进度展示</w:t>
            </w:r>
          </w:p>
          <w:p w14:paraId="5573B87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实时显示轮播近期内所有门店的巡检事件，并显示其巡检结果</w:t>
            </w:r>
          </w:p>
        </w:tc>
        <w:tc>
          <w:tcPr>
            <w:tcW w:w="469" w:type="pct"/>
            <w:noWrap w:val="0"/>
            <w:vAlign w:val="center"/>
          </w:tcPr>
          <w:p w14:paraId="36DF33F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41F6A86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DB4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8" w:type="pct"/>
            <w:noWrap w:val="0"/>
            <w:vAlign w:val="center"/>
          </w:tcPr>
          <w:p w14:paraId="2D35FCB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食堂信息管理</w:t>
            </w:r>
          </w:p>
          <w:p w14:paraId="2469EB8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22A2C142">
            <w:pPr>
              <w:keepNext w:val="0"/>
              <w:keepLines w:val="0"/>
              <w:pageBreakBefore w:val="0"/>
              <w:widowControl/>
              <w:numPr>
                <w:ilvl w:val="0"/>
                <w:numId w:val="2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食堂类型管理</w:t>
            </w:r>
          </w:p>
          <w:p w14:paraId="46F4C29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支持维护学校食堂类型，并可进行食堂类型的增删改等操作，食堂类型状态的停用和启用</w:t>
            </w:r>
          </w:p>
          <w:p w14:paraId="421A8671">
            <w:pPr>
              <w:keepNext w:val="0"/>
              <w:keepLines w:val="0"/>
              <w:pageBreakBefore w:val="0"/>
              <w:widowControl/>
              <w:numPr>
                <w:ilvl w:val="0"/>
                <w:numId w:val="2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食堂管理</w:t>
            </w:r>
          </w:p>
          <w:p w14:paraId="1B5D3C64">
            <w:pPr>
              <w:keepNext w:val="0"/>
              <w:keepLines w:val="0"/>
              <w:pageBreakBefore w:val="0"/>
              <w:widowControl/>
              <w:numPr>
                <w:ilvl w:val="0"/>
                <w:numId w:val="2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支持维护学校校区组织信息</w:t>
            </w:r>
          </w:p>
          <w:p w14:paraId="49881359">
            <w:pPr>
              <w:keepNext w:val="0"/>
              <w:keepLines w:val="0"/>
              <w:pageBreakBefore w:val="0"/>
              <w:widowControl/>
              <w:numPr>
                <w:ilvl w:val="0"/>
                <w:numId w:val="2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支持维护学校校区下属食堂信息、运营企业信息、负责人信息、营业执照信息</w:t>
            </w:r>
          </w:p>
          <w:p w14:paraId="4BE04A97">
            <w:pPr>
              <w:keepNext w:val="0"/>
              <w:keepLines w:val="0"/>
              <w:pageBreakBefore w:val="0"/>
              <w:widowControl/>
              <w:numPr>
                <w:ilvl w:val="0"/>
                <w:numId w:val="2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食堂设备管理</w:t>
            </w:r>
          </w:p>
          <w:p w14:paraId="016242A8">
            <w:pPr>
              <w:keepNext w:val="0"/>
              <w:keepLines w:val="0"/>
              <w:pageBreakBefore w:val="0"/>
              <w:widowControl/>
              <w:numPr>
                <w:ilvl w:val="0"/>
                <w:numId w:val="2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支持进行下属食堂设备维护、查看、配置</w:t>
            </w:r>
          </w:p>
          <w:p w14:paraId="418AF80F">
            <w:pPr>
              <w:keepNext w:val="0"/>
              <w:keepLines w:val="0"/>
              <w:pageBreakBefore w:val="0"/>
              <w:widowControl/>
              <w:numPr>
                <w:ilvl w:val="0"/>
                <w:numId w:val="2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设备类型：监控设备、门禁设备、物联传感、显示设备</w:t>
            </w:r>
          </w:p>
          <w:p w14:paraId="700B5E1E">
            <w:pPr>
              <w:keepNext w:val="0"/>
              <w:keepLines w:val="0"/>
              <w:pageBreakBefore w:val="0"/>
              <w:widowControl/>
              <w:numPr>
                <w:ilvl w:val="0"/>
                <w:numId w:val="2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场景类型管理</w:t>
            </w:r>
          </w:p>
          <w:p w14:paraId="02B4C903">
            <w:pPr>
              <w:keepNext w:val="0"/>
              <w:keepLines w:val="0"/>
              <w:pageBreakBefore w:val="0"/>
              <w:widowControl/>
              <w:numPr>
                <w:ilvl w:val="0"/>
                <w:numId w:val="2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部署时默认下发初始六大场景及规则；默认场景无法删除</w:t>
            </w:r>
          </w:p>
          <w:p w14:paraId="729B2877">
            <w:pPr>
              <w:keepNext w:val="0"/>
              <w:keepLines w:val="0"/>
              <w:pageBreakBefore w:val="0"/>
              <w:widowControl/>
              <w:numPr>
                <w:ilvl w:val="0"/>
                <w:numId w:val="2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支持维护场景类型（增、删、改），场景类型设备配置、默认规则设置</w:t>
            </w:r>
          </w:p>
          <w:p w14:paraId="6187F87C">
            <w:pPr>
              <w:keepNext w:val="0"/>
              <w:keepLines w:val="0"/>
              <w:pageBreakBefore w:val="0"/>
              <w:widowControl/>
              <w:numPr>
                <w:ilvl w:val="0"/>
                <w:numId w:val="2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物联场景管理</w:t>
            </w:r>
          </w:p>
          <w:p w14:paraId="07CD6BF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支持维护下属食堂中物联场景空间，同时点击配置可配置绑定设备，对场景空间状态可进行开启或关闭</w:t>
            </w:r>
          </w:p>
        </w:tc>
        <w:tc>
          <w:tcPr>
            <w:tcW w:w="469" w:type="pct"/>
            <w:noWrap w:val="0"/>
            <w:vAlign w:val="center"/>
          </w:tcPr>
          <w:p w14:paraId="68ACBF9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799B155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EF0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8" w:type="pct"/>
            <w:noWrap w:val="0"/>
            <w:vAlign w:val="center"/>
          </w:tcPr>
          <w:p w14:paraId="671AD7B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食安考评管理</w:t>
            </w:r>
          </w:p>
          <w:p w14:paraId="6A26F02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0077786F">
            <w:pPr>
              <w:keepNext w:val="0"/>
              <w:keepLines w:val="0"/>
              <w:pageBreakBefore w:val="0"/>
              <w:widowControl/>
              <w:numPr>
                <w:ilvl w:val="0"/>
                <w:numId w:val="2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日管控</w:t>
            </w:r>
          </w:p>
          <w:p w14:paraId="307F376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可查看食堂人员上传的日管控记录，并可以点击查看检查人员和负责人签名，支持导出</w:t>
            </w:r>
          </w:p>
          <w:p w14:paraId="7DE28CE0">
            <w:pPr>
              <w:keepNext w:val="0"/>
              <w:keepLines w:val="0"/>
              <w:pageBreakBefore w:val="0"/>
              <w:widowControl/>
              <w:numPr>
                <w:ilvl w:val="0"/>
                <w:numId w:val="2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周排查</w:t>
            </w:r>
          </w:p>
          <w:p w14:paraId="391F7B7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可根据选择的报告周期，获取该周期食堂的整改问题信息，可支持排查报告、整改、本周巡检、日管控的导出</w:t>
            </w:r>
          </w:p>
          <w:p w14:paraId="1F2088FA">
            <w:pPr>
              <w:keepNext w:val="0"/>
              <w:keepLines w:val="0"/>
              <w:pageBreakBefore w:val="0"/>
              <w:widowControl/>
              <w:numPr>
                <w:ilvl w:val="0"/>
                <w:numId w:val="2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月报告</w:t>
            </w:r>
          </w:p>
          <w:p w14:paraId="6C64814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可进行选择的周期进行生成一个月报告，支持上传图片，并导出</w:t>
            </w:r>
          </w:p>
          <w:p w14:paraId="5A305AC7">
            <w:pPr>
              <w:keepNext w:val="0"/>
              <w:keepLines w:val="0"/>
              <w:pageBreakBefore w:val="0"/>
              <w:widowControl/>
              <w:numPr>
                <w:ilvl w:val="0"/>
                <w:numId w:val="2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报告发布</w:t>
            </w:r>
          </w:p>
          <w:p w14:paraId="248EF7C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支持将月调度文件上传并在监管平台大屏进行公示，上传的文件支持预览导出</w:t>
            </w:r>
          </w:p>
        </w:tc>
        <w:tc>
          <w:tcPr>
            <w:tcW w:w="469" w:type="pct"/>
            <w:noWrap w:val="0"/>
            <w:vAlign w:val="center"/>
          </w:tcPr>
          <w:p w14:paraId="06FCA05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39F8232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71A5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8" w:type="pct"/>
            <w:noWrap w:val="0"/>
            <w:vAlign w:val="center"/>
          </w:tcPr>
          <w:p w14:paraId="54F8DD6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数智食安监管</w:t>
            </w:r>
          </w:p>
          <w:p w14:paraId="222ADE1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696CF3FF">
            <w:pPr>
              <w:keepNext w:val="0"/>
              <w:keepLines w:val="0"/>
              <w:pageBreakBefore w:val="0"/>
              <w:widowControl/>
              <w:numPr>
                <w:ilvl w:val="0"/>
                <w:numId w:val="2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食安信息监管</w:t>
            </w:r>
          </w:p>
          <w:p w14:paraId="2546E9AC">
            <w:pPr>
              <w:keepNext w:val="0"/>
              <w:keepLines w:val="0"/>
              <w:pageBreakBefore w:val="0"/>
              <w:widowControl/>
              <w:numPr>
                <w:ilvl w:val="0"/>
                <w:numId w:val="2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菜品库管理</w:t>
            </w:r>
          </w:p>
          <w:p w14:paraId="1D2BBFE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菜品库管理：查看该系统下所有食堂的菜品库信息，支持查看详情并导出</w:t>
            </w:r>
          </w:p>
          <w:p w14:paraId="5BC65AB6">
            <w:pPr>
              <w:keepNext w:val="0"/>
              <w:keepLines w:val="0"/>
              <w:pageBreakBefore w:val="0"/>
              <w:widowControl/>
              <w:numPr>
                <w:ilvl w:val="0"/>
                <w:numId w:val="2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食安台账管理</w:t>
            </w:r>
          </w:p>
          <w:p w14:paraId="1616332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支持查看下属食堂上报食安台账：出入库、食材加工、环境记录、人员健康</w:t>
            </w:r>
          </w:p>
          <w:p w14:paraId="03663E73">
            <w:pPr>
              <w:keepNext w:val="0"/>
              <w:keepLines w:val="0"/>
              <w:pageBreakBefore w:val="0"/>
              <w:widowControl/>
              <w:numPr>
                <w:ilvl w:val="0"/>
                <w:numId w:val="2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食堂消毒记录</w:t>
            </w:r>
          </w:p>
          <w:p w14:paraId="0E518F2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支持查看下属食堂消毒记录：备餐间紫外线灯消毒记录、餐饮具消毒记录</w:t>
            </w:r>
          </w:p>
          <w:p w14:paraId="4A2B64B4">
            <w:pPr>
              <w:keepNext w:val="0"/>
              <w:keepLines w:val="0"/>
              <w:pageBreakBefore w:val="0"/>
              <w:widowControl/>
              <w:numPr>
                <w:ilvl w:val="0"/>
                <w:numId w:val="2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农残检测记录</w:t>
            </w:r>
          </w:p>
          <w:p w14:paraId="294D726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支持查看下属食堂农残检测记录</w:t>
            </w:r>
          </w:p>
          <w:p w14:paraId="44AA5439">
            <w:pPr>
              <w:keepNext w:val="0"/>
              <w:keepLines w:val="0"/>
              <w:pageBreakBefore w:val="0"/>
              <w:widowControl/>
              <w:numPr>
                <w:ilvl w:val="0"/>
                <w:numId w:val="2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晨检记录</w:t>
            </w:r>
          </w:p>
          <w:p w14:paraId="55B547D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晨检记录：展示该客户下所有关联食堂的晨检记录、设备统计、晨检进度、晨检统计，并可进行晨检记录的导出，同时点击查看详情可以查看详细食堂的晨检记录</w:t>
            </w:r>
          </w:p>
          <w:p w14:paraId="24719065">
            <w:pPr>
              <w:keepNext w:val="0"/>
              <w:keepLines w:val="0"/>
              <w:pageBreakBefore w:val="0"/>
              <w:widowControl/>
              <w:numPr>
                <w:ilvl w:val="0"/>
                <w:numId w:val="2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留样记录</w:t>
            </w:r>
          </w:p>
          <w:p w14:paraId="7BB1122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支持查看下属食堂每日留样记录、留样进度</w:t>
            </w:r>
          </w:p>
          <w:p w14:paraId="244F9BDE">
            <w:pPr>
              <w:keepNext w:val="0"/>
              <w:keepLines w:val="0"/>
              <w:pageBreakBefore w:val="0"/>
              <w:widowControl/>
              <w:numPr>
                <w:ilvl w:val="0"/>
                <w:numId w:val="2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数智监管</w:t>
            </w:r>
          </w:p>
          <w:p w14:paraId="4CC68FE0">
            <w:pPr>
              <w:keepNext w:val="0"/>
              <w:keepLines w:val="0"/>
              <w:pageBreakBefore w:val="0"/>
              <w:widowControl/>
              <w:numPr>
                <w:ilvl w:val="0"/>
                <w:numId w:val="3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设备记录</w:t>
            </w:r>
          </w:p>
          <w:p w14:paraId="1BEDCA9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支持查看下属食堂所有设备报警、预警记录（含数智物联场景风险）</w:t>
            </w:r>
          </w:p>
          <w:p w14:paraId="430869BE">
            <w:pPr>
              <w:keepNext w:val="0"/>
              <w:keepLines w:val="0"/>
              <w:pageBreakBefore w:val="0"/>
              <w:widowControl/>
              <w:numPr>
                <w:ilvl w:val="0"/>
                <w:numId w:val="3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环境监管</w:t>
            </w:r>
          </w:p>
          <w:p w14:paraId="5A21E7E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支持查看下属食堂食材仓库温湿度情况－主食仓库、副食仓库</w:t>
            </w:r>
          </w:p>
          <w:p w14:paraId="42B5AEE7">
            <w:pPr>
              <w:keepNext w:val="0"/>
              <w:keepLines w:val="0"/>
              <w:pageBreakBefore w:val="0"/>
              <w:widowControl/>
              <w:numPr>
                <w:ilvl w:val="0"/>
                <w:numId w:val="3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AI智能点检</w:t>
            </w:r>
          </w:p>
          <w:p w14:paraId="0C57FCB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支持查看AI事件抓拍图片信息</w:t>
            </w:r>
          </w:p>
          <w:p w14:paraId="0247A63E">
            <w:pPr>
              <w:keepNext w:val="0"/>
              <w:keepLines w:val="0"/>
              <w:pageBreakBefore w:val="0"/>
              <w:widowControl/>
              <w:numPr>
                <w:ilvl w:val="0"/>
                <w:numId w:val="3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AI生物检测</w:t>
            </w:r>
          </w:p>
          <w:p w14:paraId="2E5E2DB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支持查看下属食堂有害生物风险事件，以及处理记录</w:t>
            </w:r>
          </w:p>
          <w:p w14:paraId="7FC12ED5">
            <w:pPr>
              <w:keepNext w:val="0"/>
              <w:keepLines w:val="0"/>
              <w:pageBreakBefore w:val="0"/>
              <w:widowControl/>
              <w:numPr>
                <w:ilvl w:val="0"/>
                <w:numId w:val="2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查询，导出食品添加剂、菜品留样、原料进货查验及索证、食材入库、食材检测、智能检测、浸泡记录、晨检记录、熟食加工、清洗消毒、环境消杀、紫外线消毒、垃圾处理、餐线温度控制和供应商送货检查记录信息。</w:t>
            </w:r>
          </w:p>
          <w:p w14:paraId="3C7D181B">
            <w:pPr>
              <w:keepNext w:val="0"/>
              <w:keepLines w:val="0"/>
              <w:pageBreakBefore w:val="0"/>
              <w:widowControl/>
              <w:numPr>
                <w:ilvl w:val="0"/>
                <w:numId w:val="2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可采集物联数据；可根据设定的阈值触发报警。</w:t>
            </w:r>
          </w:p>
          <w:p w14:paraId="49ECB186">
            <w:pPr>
              <w:keepNext w:val="0"/>
              <w:keepLines w:val="0"/>
              <w:pageBreakBefore w:val="0"/>
              <w:widowControl/>
              <w:numPr>
                <w:ilvl w:val="0"/>
                <w:numId w:val="2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可通过视频进行厨师工作服/工作帽识别、口罩检测、老鼠检测可发起行为报警；可设置报警处置流程；驾驶中心可通过语音对食堂现场进行喊话；可对风险进行前置提醒。</w:t>
            </w:r>
          </w:p>
          <w:p w14:paraId="4C8C7FA3">
            <w:pPr>
              <w:keepNext w:val="0"/>
              <w:keepLines w:val="0"/>
              <w:pageBreakBefore w:val="0"/>
              <w:widowControl/>
              <w:numPr>
                <w:ilvl w:val="0"/>
                <w:numId w:val="2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可统计物联网设备上报的预警数据；可展示动火离人、挡鼠板、防潮网和备餐间的预警信息。</w:t>
            </w:r>
          </w:p>
          <w:p w14:paraId="02F67BBC">
            <w:pPr>
              <w:keepNext w:val="0"/>
              <w:keepLines w:val="0"/>
              <w:pageBreakBefore w:val="0"/>
              <w:widowControl/>
              <w:numPr>
                <w:ilvl w:val="0"/>
                <w:numId w:val="2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可查看备餐间消毒和餐饮具消毒信息；可查看消毒结果的达标情况和消毒时间数据信息。</w:t>
            </w:r>
          </w:p>
          <w:p w14:paraId="21A52C81">
            <w:pPr>
              <w:keepNext w:val="0"/>
              <w:keepLines w:val="0"/>
              <w:pageBreakBefore w:val="0"/>
              <w:widowControl/>
              <w:numPr>
                <w:ilvl w:val="0"/>
                <w:numId w:val="2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可查看农残检测的合格数据占比、检测总数和合格总数；可查看门店、样品名称、检测时间、合格情况信息。</w:t>
            </w:r>
          </w:p>
          <w:p w14:paraId="2CAF8719">
            <w:pPr>
              <w:keepNext w:val="0"/>
              <w:keepLines w:val="0"/>
              <w:pageBreakBefore w:val="0"/>
              <w:widowControl/>
              <w:numPr>
                <w:ilvl w:val="0"/>
                <w:numId w:val="2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可查看门店和餐次的留样进度；可查看门店、餐次、样品的名称、时间和留样人信息。</w:t>
            </w:r>
          </w:p>
          <w:p w14:paraId="564B2B5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10.可查看晨检人姓名、编号、所属门店和体温数据信息。</w:t>
            </w:r>
          </w:p>
        </w:tc>
        <w:tc>
          <w:tcPr>
            <w:tcW w:w="469" w:type="pct"/>
            <w:noWrap w:val="0"/>
            <w:vAlign w:val="center"/>
          </w:tcPr>
          <w:p w14:paraId="30FA866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5345635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688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8" w:type="pct"/>
            <w:noWrap w:val="0"/>
            <w:vAlign w:val="center"/>
          </w:tcPr>
          <w:p w14:paraId="1927FEC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数字巡检</w:t>
            </w:r>
          </w:p>
          <w:p w14:paraId="02A0348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0E505868">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巡检配置</w:t>
            </w:r>
          </w:p>
          <w:p w14:paraId="4A7054BA">
            <w:pPr>
              <w:keepNext w:val="0"/>
              <w:keepLines w:val="0"/>
              <w:pageBreakBefore w:val="0"/>
              <w:widowControl/>
              <w:numPr>
                <w:ilvl w:val="0"/>
                <w:numId w:val="3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检查表管理</w:t>
            </w:r>
          </w:p>
          <w:p w14:paraId="4C0CC36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支持维护巡检所需检查表信息，并可进行检查表的增删改导，同时可以对检查表进行检查项设定，可对检查表进行关联食堂、关联用户等操作，可对检查表状态进行启用和停用</w:t>
            </w:r>
          </w:p>
          <w:p w14:paraId="780C876C">
            <w:pPr>
              <w:keepNext w:val="0"/>
              <w:keepLines w:val="0"/>
              <w:pageBreakBefore w:val="0"/>
              <w:widowControl/>
              <w:numPr>
                <w:ilvl w:val="0"/>
                <w:numId w:val="3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任务管理</w:t>
            </w:r>
          </w:p>
          <w:p w14:paraId="5A5049A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支持维护线下巡店任务及巡检员，并可进行巡检任务的新增，同时可以对巡检任务进行取消任务，点击查看详情可以查看巡检任务记录详情</w:t>
            </w:r>
          </w:p>
          <w:p w14:paraId="7D1CF38B">
            <w:pPr>
              <w:keepNext w:val="0"/>
              <w:keepLines w:val="0"/>
              <w:pageBreakBefore w:val="0"/>
              <w:widowControl/>
              <w:numPr>
                <w:ilvl w:val="0"/>
                <w:numId w:val="3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点位类型管理</w:t>
            </w:r>
          </w:p>
          <w:p w14:paraId="75626F9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支持维护视频巡检所需，摄像头点位信息</w:t>
            </w:r>
          </w:p>
          <w:p w14:paraId="756E05CD">
            <w:pPr>
              <w:keepNext w:val="0"/>
              <w:keepLines w:val="0"/>
              <w:pageBreakBefore w:val="0"/>
              <w:widowControl/>
              <w:numPr>
                <w:ilvl w:val="0"/>
                <w:numId w:val="3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抽查类型管理</w:t>
            </w:r>
          </w:p>
          <w:p w14:paraId="749EDD6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支持维护随机抽查类型</w:t>
            </w:r>
          </w:p>
          <w:p w14:paraId="19D22CC9">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自检自清</w:t>
            </w:r>
          </w:p>
          <w:p w14:paraId="260A3C7F">
            <w:pPr>
              <w:keepNext w:val="0"/>
              <w:keepLines w:val="0"/>
              <w:pageBreakBefore w:val="0"/>
              <w:widowControl/>
              <w:numPr>
                <w:ilvl w:val="0"/>
                <w:numId w:val="3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日检模板</w:t>
            </w:r>
          </w:p>
          <w:p w14:paraId="05C5310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支持维护日检模板，并可进行日检模板的增删改，同时点击预览可以预览日检模版，点击权限设置可对日检模板进行编辑权限设置</w:t>
            </w:r>
          </w:p>
          <w:p w14:paraId="2392AE7E">
            <w:pPr>
              <w:keepNext w:val="0"/>
              <w:keepLines w:val="0"/>
              <w:pageBreakBefore w:val="0"/>
              <w:widowControl/>
              <w:numPr>
                <w:ilvl w:val="0"/>
                <w:numId w:val="3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日检规则</w:t>
            </w:r>
          </w:p>
          <w:p w14:paraId="3B0D3A4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支持维护日检规则，并可进行日检模板的增删改，同时点击校验可校验日检规则，点击日检规则状态可以日检规则进行启用和停用</w:t>
            </w:r>
          </w:p>
          <w:p w14:paraId="2E4C4AFC">
            <w:pPr>
              <w:keepNext w:val="0"/>
              <w:keepLines w:val="0"/>
              <w:pageBreakBefore w:val="0"/>
              <w:widowControl/>
              <w:numPr>
                <w:ilvl w:val="0"/>
                <w:numId w:val="3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日志列表</w:t>
            </w:r>
          </w:p>
          <w:p w14:paraId="355ABD8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支持查看、审核所有日志列表记录、我需要看的日志和我需要审核的日志</w:t>
            </w:r>
          </w:p>
          <w:p w14:paraId="488923A8">
            <w:pPr>
              <w:keepNext w:val="0"/>
              <w:keepLines w:val="0"/>
              <w:pageBreakBefore w:val="0"/>
              <w:widowControl/>
              <w:numPr>
                <w:ilvl w:val="0"/>
                <w:numId w:val="3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日志统计</w:t>
            </w:r>
          </w:p>
          <w:p w14:paraId="445B21F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支持查看所有日志的提交结果统计和审核结果统计，点击日志可查看日志提交统计的详情</w:t>
            </w:r>
          </w:p>
          <w:p w14:paraId="33D8079B">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巡检考评</w:t>
            </w:r>
          </w:p>
          <w:p w14:paraId="11F4E589">
            <w:pPr>
              <w:keepNext w:val="0"/>
              <w:keepLines w:val="0"/>
              <w:pageBreakBefore w:val="0"/>
              <w:widowControl/>
              <w:numPr>
                <w:ilvl w:val="0"/>
                <w:numId w:val="3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整改审核</w:t>
            </w:r>
          </w:p>
          <w:p w14:paraId="49CFB589">
            <w:pPr>
              <w:keepNext w:val="0"/>
              <w:keepLines w:val="0"/>
              <w:pageBreakBefore w:val="0"/>
              <w:widowControl/>
              <w:numPr>
                <w:ilvl w:val="0"/>
                <w:numId w:val="3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展示该客户下的所有巡检整改审核记录，点击查看可查看巡店整改的详情记录</w:t>
            </w:r>
          </w:p>
          <w:p w14:paraId="19EEA6B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a.督查巡检</w:t>
            </w:r>
          </w:p>
          <w:p w14:paraId="3472D71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b.任务巡检</w:t>
            </w:r>
          </w:p>
          <w:p w14:paraId="1825C75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c.视频巡检</w:t>
            </w:r>
          </w:p>
          <w:p w14:paraId="0DEF26C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d.日管控</w:t>
            </w:r>
          </w:p>
          <w:p w14:paraId="1816C662">
            <w:pPr>
              <w:keepNext w:val="0"/>
              <w:keepLines w:val="0"/>
              <w:pageBreakBefore w:val="0"/>
              <w:widowControl/>
              <w:numPr>
                <w:ilvl w:val="0"/>
                <w:numId w:val="3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线下巡检记录</w:t>
            </w:r>
          </w:p>
          <w:p w14:paraId="27156581">
            <w:pPr>
              <w:keepNext w:val="0"/>
              <w:keepLines w:val="0"/>
              <w:pageBreakBefore w:val="0"/>
              <w:widowControl/>
              <w:numPr>
                <w:ilvl w:val="0"/>
                <w:numId w:val="3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展示该客户下所有的线下巡检记录，点击查看可查看详情</w:t>
            </w:r>
          </w:p>
          <w:p w14:paraId="1825067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a.任务巡检</w:t>
            </w:r>
          </w:p>
          <w:p w14:paraId="275C4C5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b.督查巡检</w:t>
            </w:r>
          </w:p>
          <w:p w14:paraId="13F4568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c.食堂自检</w:t>
            </w:r>
          </w:p>
          <w:p w14:paraId="05CC3CDE">
            <w:pPr>
              <w:keepNext w:val="0"/>
              <w:keepLines w:val="0"/>
              <w:pageBreakBefore w:val="0"/>
              <w:widowControl/>
              <w:numPr>
                <w:ilvl w:val="0"/>
                <w:numId w:val="3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视频巡检记录</w:t>
            </w:r>
          </w:p>
          <w:p w14:paraId="7DC0E6F7">
            <w:pPr>
              <w:keepNext w:val="0"/>
              <w:keepLines w:val="0"/>
              <w:pageBreakBefore w:val="0"/>
              <w:widowControl/>
              <w:numPr>
                <w:ilvl w:val="0"/>
                <w:numId w:val="3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示该客户下的所有视频巡检记录，并可进行视频巡检记录的导出，同时点击可查看详情</w:t>
            </w:r>
          </w:p>
          <w:p w14:paraId="5935C43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a.视频巡检</w:t>
            </w:r>
          </w:p>
          <w:p w14:paraId="4A2C0EB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b.视频抽检</w:t>
            </w:r>
          </w:p>
          <w:p w14:paraId="43C33887">
            <w:pPr>
              <w:keepNext w:val="0"/>
              <w:keepLines w:val="0"/>
              <w:pageBreakBefore w:val="0"/>
              <w:widowControl/>
              <w:numPr>
                <w:ilvl w:val="0"/>
                <w:numId w:val="3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随机抽查记录</w:t>
            </w:r>
          </w:p>
          <w:p w14:paraId="1AF259F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随机抽查记录：展示该客户下的所有随机抽查记录，并可进行随机抽查记录的导出，同时点击详情可以查看详细的随机抽查记录详情</w:t>
            </w:r>
          </w:p>
          <w:p w14:paraId="1741968D">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巡检分析</w:t>
            </w:r>
          </w:p>
          <w:p w14:paraId="3E851302">
            <w:pPr>
              <w:keepNext w:val="0"/>
              <w:keepLines w:val="0"/>
              <w:pageBreakBefore w:val="0"/>
              <w:widowControl/>
              <w:numPr>
                <w:ilvl w:val="0"/>
                <w:numId w:val="3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巡检报表</w:t>
            </w:r>
          </w:p>
          <w:p w14:paraId="1DFC37F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可根据选择的巡检类型、巡检日期、食堂、检查表导出巡检报表，导出之后再下载列表点击详情进行查看</w:t>
            </w:r>
          </w:p>
          <w:p w14:paraId="5296A63F">
            <w:pPr>
              <w:keepNext w:val="0"/>
              <w:keepLines w:val="0"/>
              <w:pageBreakBefore w:val="0"/>
              <w:widowControl/>
              <w:numPr>
                <w:ilvl w:val="0"/>
                <w:numId w:val="3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考评分数排名</w:t>
            </w:r>
          </w:p>
          <w:p w14:paraId="249BF95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支持查看督查巡检、食堂自检、任务巡检的考评分数记录，点击导出可导出考评分数记录</w:t>
            </w:r>
          </w:p>
          <w:p w14:paraId="08EFD764">
            <w:pPr>
              <w:keepNext w:val="0"/>
              <w:keepLines w:val="0"/>
              <w:pageBreakBefore w:val="0"/>
              <w:widowControl/>
              <w:numPr>
                <w:ilvl w:val="0"/>
                <w:numId w:val="3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巡查问题分析</w:t>
            </w:r>
          </w:p>
          <w:p w14:paraId="724DCDF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支持查看检查项统计、检查项分类统计、检查表统计的所有巡检问题记录，点击导出可导出巡检问题分析记录</w:t>
            </w:r>
          </w:p>
          <w:p w14:paraId="038D2C98">
            <w:pPr>
              <w:keepNext w:val="0"/>
              <w:keepLines w:val="0"/>
              <w:pageBreakBefore w:val="0"/>
              <w:widowControl/>
              <w:numPr>
                <w:ilvl w:val="0"/>
                <w:numId w:val="3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整改统计</w:t>
            </w:r>
          </w:p>
          <w:p w14:paraId="7B152E0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支持查看下属食堂全部整改统计，点击导出可导出整改统计的记录</w:t>
            </w:r>
          </w:p>
          <w:p w14:paraId="4F72EC63">
            <w:pPr>
              <w:keepNext w:val="0"/>
              <w:keepLines w:val="0"/>
              <w:pageBreakBefore w:val="0"/>
              <w:widowControl/>
              <w:numPr>
                <w:ilvl w:val="0"/>
                <w:numId w:val="3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考勤统计</w:t>
            </w:r>
          </w:p>
          <w:p w14:paraId="180F007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支持查看巡检、自检全部考勤统计，点击查看详情可查看巡查考勤情况详情</w:t>
            </w:r>
          </w:p>
          <w:p w14:paraId="608F69F2">
            <w:pPr>
              <w:keepNext w:val="0"/>
              <w:keepLines w:val="0"/>
              <w:pageBreakBefore w:val="0"/>
              <w:widowControl/>
              <w:numPr>
                <w:ilvl w:val="0"/>
                <w:numId w:val="3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统计报表</w:t>
            </w:r>
          </w:p>
          <w:p w14:paraId="3D01CC0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可进行巡检数据统计、全国可视化情况表、全国巡检率的数据导出</w:t>
            </w:r>
          </w:p>
          <w:p w14:paraId="32BC71D9">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视频巡查</w:t>
            </w:r>
          </w:p>
          <w:p w14:paraId="5CEAA281">
            <w:pPr>
              <w:keepNext w:val="0"/>
              <w:keepLines w:val="0"/>
              <w:pageBreakBefore w:val="0"/>
              <w:widowControl/>
              <w:numPr>
                <w:ilvl w:val="0"/>
                <w:numId w:val="3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视频查看</w:t>
            </w:r>
          </w:p>
          <w:p w14:paraId="3832980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支持选择门店，查看监控视频</w:t>
            </w:r>
          </w:p>
          <w:p w14:paraId="5097FA46">
            <w:pPr>
              <w:keepNext w:val="0"/>
              <w:keepLines w:val="0"/>
              <w:pageBreakBefore w:val="0"/>
              <w:widowControl/>
              <w:numPr>
                <w:ilvl w:val="0"/>
                <w:numId w:val="3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视频巡检</w:t>
            </w:r>
          </w:p>
          <w:p w14:paraId="50ACFC5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支持选择门店，进行视频巡检</w:t>
            </w:r>
          </w:p>
          <w:p w14:paraId="0E6DF890">
            <w:pPr>
              <w:keepNext w:val="0"/>
              <w:keepLines w:val="0"/>
              <w:pageBreakBefore w:val="0"/>
              <w:widowControl/>
              <w:numPr>
                <w:ilvl w:val="0"/>
                <w:numId w:val="3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视频抽检</w:t>
            </w:r>
          </w:p>
          <w:p w14:paraId="42EFA92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支持选择门店，进行视频抽检</w:t>
            </w:r>
          </w:p>
          <w:p w14:paraId="79342048">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处理意见</w:t>
            </w:r>
          </w:p>
          <w:p w14:paraId="0087D983">
            <w:pPr>
              <w:keepNext w:val="0"/>
              <w:keepLines w:val="0"/>
              <w:pageBreakBefore w:val="0"/>
              <w:widowControl/>
              <w:numPr>
                <w:ilvl w:val="0"/>
                <w:numId w:val="4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处理记录</w:t>
            </w:r>
          </w:p>
          <w:p w14:paraId="0D39085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支持查看下属食堂巡检罚单详情</w:t>
            </w:r>
          </w:p>
          <w:p w14:paraId="58FD44D9">
            <w:pPr>
              <w:keepNext w:val="0"/>
              <w:keepLines w:val="0"/>
              <w:pageBreakBefore w:val="0"/>
              <w:widowControl/>
              <w:numPr>
                <w:ilvl w:val="0"/>
                <w:numId w:val="4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处理类型管理</w:t>
            </w:r>
          </w:p>
          <w:p w14:paraId="4060E30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支持维护罚单类型，并可进行罚单类型的增删改等操作</w:t>
            </w:r>
          </w:p>
          <w:p w14:paraId="29988B20">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可对门店检查的问题进行整改；可导出巡检记录信息；可筛选巡检表类型信息；可新增检查表信息；可新增门店巡检记录信息；可关联门店的检查表信息；可查看巡检视频；可查看视频巡检记录信息。</w:t>
            </w:r>
          </w:p>
          <w:p w14:paraId="299597FD">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可对预警、报警、现场抽查中发现的问题进行整改和给予处罚；可对实施过程、工作进度进行查询和管控。</w:t>
            </w:r>
          </w:p>
          <w:p w14:paraId="54B80905">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可设置门店自检表；可设置表格内容、必填项和问题的红、黄、蓝标注；可对自检提交结果进行统计；可展示自检表下的数据统计结果；可对自检结果进行审核。</w:t>
            </w:r>
          </w:p>
          <w:p w14:paraId="50471FB9">
            <w:pPr>
              <w:keepNext w:val="0"/>
              <w:keepLines w:val="0"/>
              <w:pageBreakBefore w:val="0"/>
              <w:widowControl/>
              <w:numPr>
                <w:ilvl w:val="0"/>
                <w:numId w:val="3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可通过视频画面对门店现场情况进行考核评分；可抓拍问题图片；视频巡检检查表的检查项目可按视频区域进行切换；可切换不同区域的检查项；可提交视频检查表；可生成视频巡检记录。</w:t>
            </w:r>
          </w:p>
          <w:p w14:paraId="140BDD7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11.可设置任务模式下的独立检查表；可查询任务完成情况；可对任务进行派发可根据人员派发任务巡检。</w:t>
            </w:r>
          </w:p>
        </w:tc>
        <w:tc>
          <w:tcPr>
            <w:tcW w:w="469" w:type="pct"/>
            <w:noWrap w:val="0"/>
            <w:vAlign w:val="center"/>
          </w:tcPr>
          <w:p w14:paraId="521EB10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6883792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0E80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8" w:type="pct"/>
            <w:noWrap w:val="0"/>
            <w:vAlign w:val="center"/>
          </w:tcPr>
          <w:p w14:paraId="70BAD2D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后勤服务监管</w:t>
            </w:r>
          </w:p>
          <w:p w14:paraId="490684C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1ECD10C3">
            <w:pPr>
              <w:keepNext w:val="0"/>
              <w:keepLines w:val="0"/>
              <w:pageBreakBefore w:val="0"/>
              <w:widowControl/>
              <w:numPr>
                <w:ilvl w:val="0"/>
                <w:numId w:val="4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菜单菜价管控</w:t>
            </w:r>
          </w:p>
          <w:p w14:paraId="222A99EF">
            <w:pPr>
              <w:keepNext w:val="0"/>
              <w:keepLines w:val="0"/>
              <w:pageBreakBefore w:val="0"/>
              <w:widowControl/>
              <w:numPr>
                <w:ilvl w:val="0"/>
                <w:numId w:val="4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菜价审核</w:t>
            </w:r>
          </w:p>
          <w:p w14:paraId="1C31CBA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可审核食堂提报的菜价信息</w:t>
            </w:r>
          </w:p>
          <w:p w14:paraId="6CE2DEA1">
            <w:pPr>
              <w:keepNext w:val="0"/>
              <w:keepLines w:val="0"/>
              <w:pageBreakBefore w:val="0"/>
              <w:widowControl/>
              <w:numPr>
                <w:ilvl w:val="0"/>
                <w:numId w:val="4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实时菜价</w:t>
            </w:r>
          </w:p>
          <w:p w14:paraId="51E459E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可查看食堂所有菜品的提报记录情况</w:t>
            </w:r>
          </w:p>
          <w:p w14:paraId="75B734AE">
            <w:pPr>
              <w:keepNext w:val="0"/>
              <w:keepLines w:val="0"/>
              <w:pageBreakBefore w:val="0"/>
              <w:widowControl/>
              <w:numPr>
                <w:ilvl w:val="0"/>
                <w:numId w:val="4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服务管理</w:t>
            </w:r>
          </w:p>
          <w:p w14:paraId="00D0F015">
            <w:pPr>
              <w:keepNext w:val="0"/>
              <w:keepLines w:val="0"/>
              <w:pageBreakBefore w:val="0"/>
              <w:widowControl/>
              <w:numPr>
                <w:ilvl w:val="0"/>
                <w:numId w:val="4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问题反馈与建议</w:t>
            </w:r>
          </w:p>
          <w:p w14:paraId="174388E1">
            <w:pPr>
              <w:keepNext w:val="0"/>
              <w:keepLines w:val="0"/>
              <w:pageBreakBefore w:val="0"/>
              <w:widowControl/>
              <w:numPr>
                <w:ilvl w:val="0"/>
                <w:numId w:val="4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可查看用餐人员反馈的意见或留言记录</w:t>
            </w:r>
          </w:p>
          <w:p w14:paraId="14DD5FA8">
            <w:pPr>
              <w:keepNext w:val="0"/>
              <w:keepLines w:val="0"/>
              <w:pageBreakBefore w:val="0"/>
              <w:widowControl/>
              <w:numPr>
                <w:ilvl w:val="0"/>
                <w:numId w:val="4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可回复用餐人员反馈的消息或留言</w:t>
            </w:r>
          </w:p>
          <w:p w14:paraId="6B06BAFA">
            <w:pPr>
              <w:keepNext w:val="0"/>
              <w:keepLines w:val="0"/>
              <w:pageBreakBefore w:val="0"/>
              <w:widowControl/>
              <w:numPr>
                <w:ilvl w:val="0"/>
                <w:numId w:val="4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服务配置</w:t>
            </w:r>
          </w:p>
          <w:p w14:paraId="4AEEF02E">
            <w:pPr>
              <w:keepNext w:val="0"/>
              <w:keepLines w:val="0"/>
              <w:pageBreakBefore w:val="0"/>
              <w:widowControl/>
              <w:numPr>
                <w:ilvl w:val="0"/>
                <w:numId w:val="4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支持设置下属食堂使用用餐反馈功能的规则</w:t>
            </w:r>
          </w:p>
          <w:p w14:paraId="3019AAC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a.同步设置：支持开启配置功能，由学校统一定义就餐问题处理功能规则</w:t>
            </w:r>
          </w:p>
          <w:p w14:paraId="5092725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b.反馈类型：支持配置就餐问题反馈的问题类型</w:t>
            </w:r>
          </w:p>
          <w:p w14:paraId="0D174FC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c.反馈设置：支持配置就餐问题反馈提交内容</w:t>
            </w:r>
          </w:p>
          <w:p w14:paraId="7D8CF0D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d.效率监管：支持配置就餐问题处理期限、超时预警要求</w:t>
            </w:r>
          </w:p>
          <w:p w14:paraId="2477712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e.审核设置：支持开启就餐问题处理审核机制</w:t>
            </w:r>
          </w:p>
          <w:p w14:paraId="20C3CFE2">
            <w:pPr>
              <w:keepNext w:val="0"/>
              <w:keepLines w:val="0"/>
              <w:pageBreakBefore w:val="0"/>
              <w:widowControl/>
              <w:numPr>
                <w:ilvl w:val="0"/>
                <w:numId w:val="4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反馈超时风险</w:t>
            </w:r>
          </w:p>
          <w:p w14:paraId="3D441EE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可查看所有反馈消息处理超时的记录</w:t>
            </w:r>
          </w:p>
          <w:p w14:paraId="38B4B29E">
            <w:pPr>
              <w:keepNext w:val="0"/>
              <w:keepLines w:val="0"/>
              <w:pageBreakBefore w:val="0"/>
              <w:widowControl/>
              <w:numPr>
                <w:ilvl w:val="0"/>
                <w:numId w:val="4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满意度调研</w:t>
            </w:r>
          </w:p>
          <w:p w14:paraId="7F0E7582">
            <w:pPr>
              <w:keepNext w:val="0"/>
              <w:keepLines w:val="0"/>
              <w:pageBreakBefore w:val="0"/>
              <w:widowControl/>
              <w:numPr>
                <w:ilvl w:val="0"/>
                <w:numId w:val="4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问卷管理</w:t>
            </w:r>
          </w:p>
          <w:p w14:paraId="3795FD6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可创建并管理问卷</w:t>
            </w:r>
          </w:p>
          <w:p w14:paraId="7E55E1B5">
            <w:pPr>
              <w:keepNext w:val="0"/>
              <w:keepLines w:val="0"/>
              <w:pageBreakBefore w:val="0"/>
              <w:widowControl/>
              <w:numPr>
                <w:ilvl w:val="0"/>
                <w:numId w:val="4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链接管理</w:t>
            </w:r>
          </w:p>
          <w:p w14:paraId="0F60D38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可创建并管理链接，链接可关联问卷并进行投放</w:t>
            </w:r>
          </w:p>
          <w:p w14:paraId="652DFDBF">
            <w:pPr>
              <w:keepNext w:val="0"/>
              <w:keepLines w:val="0"/>
              <w:pageBreakBefore w:val="0"/>
              <w:widowControl/>
              <w:numPr>
                <w:ilvl w:val="0"/>
                <w:numId w:val="4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宣传管理</w:t>
            </w:r>
          </w:p>
          <w:p w14:paraId="08770F2B">
            <w:pPr>
              <w:keepNext w:val="0"/>
              <w:keepLines w:val="0"/>
              <w:pageBreakBefore w:val="0"/>
              <w:widowControl/>
              <w:numPr>
                <w:ilvl w:val="0"/>
                <w:numId w:val="4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宣传管理</w:t>
            </w:r>
          </w:p>
          <w:p w14:paraId="5589949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支持查看下属食堂前厅服务系统展示的宣传资料，并可进行修改</w:t>
            </w:r>
          </w:p>
          <w:p w14:paraId="79704BF7">
            <w:pPr>
              <w:keepNext w:val="0"/>
              <w:keepLines w:val="0"/>
              <w:pageBreakBefore w:val="0"/>
              <w:widowControl/>
              <w:numPr>
                <w:ilvl w:val="0"/>
                <w:numId w:val="4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公示台账管理</w:t>
            </w:r>
          </w:p>
          <w:p w14:paraId="59E458B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支持查看下属食堂前厅服务系统展示的电子台账情况，并可进行修改</w:t>
            </w:r>
          </w:p>
          <w:p w14:paraId="34DAE724">
            <w:pPr>
              <w:keepNext w:val="0"/>
              <w:keepLines w:val="0"/>
              <w:pageBreakBefore w:val="0"/>
              <w:widowControl/>
              <w:numPr>
                <w:ilvl w:val="0"/>
                <w:numId w:val="4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明厨亮灶管理</w:t>
            </w:r>
          </w:p>
          <w:p w14:paraId="17A567D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支持查看下属食堂前厅服务系统展示的后厨明厨亮灶画面情况，并可进行修改</w:t>
            </w:r>
          </w:p>
          <w:p w14:paraId="545BC96F">
            <w:pPr>
              <w:keepNext w:val="0"/>
              <w:keepLines w:val="0"/>
              <w:pageBreakBefore w:val="0"/>
              <w:widowControl/>
              <w:numPr>
                <w:ilvl w:val="0"/>
                <w:numId w:val="4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AI报警事件分析</w:t>
            </w:r>
          </w:p>
          <w:p w14:paraId="72A5F7ED">
            <w:pPr>
              <w:keepNext w:val="0"/>
              <w:keepLines w:val="0"/>
              <w:pageBreakBefore w:val="0"/>
              <w:widowControl/>
              <w:numPr>
                <w:ilvl w:val="0"/>
                <w:numId w:val="4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支持查看AI预警事件统计事件分析</w:t>
            </w:r>
          </w:p>
          <w:p w14:paraId="786C9987">
            <w:pPr>
              <w:keepNext w:val="0"/>
              <w:keepLines w:val="0"/>
              <w:pageBreakBefore w:val="0"/>
              <w:widowControl/>
              <w:numPr>
                <w:ilvl w:val="0"/>
                <w:numId w:val="4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报警统计明细</w:t>
            </w:r>
          </w:p>
          <w:p w14:paraId="39728E07">
            <w:pPr>
              <w:keepNext w:val="0"/>
              <w:keepLines w:val="0"/>
              <w:pageBreakBefore w:val="0"/>
              <w:widowControl/>
              <w:numPr>
                <w:ilvl w:val="0"/>
                <w:numId w:val="4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支持查看下属各食堂不同设备类型报警统计信息</w:t>
            </w:r>
          </w:p>
          <w:p w14:paraId="62E762D9">
            <w:pPr>
              <w:keepNext w:val="0"/>
              <w:keepLines w:val="0"/>
              <w:pageBreakBefore w:val="0"/>
              <w:widowControl/>
              <w:numPr>
                <w:ilvl w:val="0"/>
                <w:numId w:val="4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报警数据统计</w:t>
            </w:r>
          </w:p>
          <w:p w14:paraId="764B9FAD">
            <w:pPr>
              <w:keepNext w:val="0"/>
              <w:keepLines w:val="0"/>
              <w:pageBreakBefore w:val="0"/>
              <w:widowControl/>
              <w:numPr>
                <w:ilvl w:val="0"/>
                <w:numId w:val="5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食堂设备统计：下属食堂设备统计</w:t>
            </w:r>
          </w:p>
          <w:p w14:paraId="4D4A2940">
            <w:pPr>
              <w:keepNext w:val="0"/>
              <w:keepLines w:val="0"/>
              <w:pageBreakBefore w:val="0"/>
              <w:widowControl/>
              <w:numPr>
                <w:ilvl w:val="0"/>
                <w:numId w:val="5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数智场景统计：下属食堂场景统计</w:t>
            </w:r>
          </w:p>
          <w:p w14:paraId="0DE3F96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8.可通过移动H5页面进行用餐评价互动；可扫码上传意见反馈信息；餐厅经理可收到反馈信息；可进行建议处理和电话拨打回访。</w:t>
            </w:r>
          </w:p>
        </w:tc>
        <w:tc>
          <w:tcPr>
            <w:tcW w:w="469" w:type="pct"/>
            <w:noWrap w:val="0"/>
            <w:vAlign w:val="center"/>
          </w:tcPr>
          <w:p w14:paraId="51C7951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5466649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01E8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8" w:type="pct"/>
            <w:noWrap w:val="0"/>
            <w:vAlign w:val="center"/>
          </w:tcPr>
          <w:p w14:paraId="25DCFB3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溯源管理</w:t>
            </w:r>
          </w:p>
          <w:p w14:paraId="2D155F9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19A1AEA8">
            <w:pPr>
              <w:keepNext w:val="0"/>
              <w:keepLines w:val="0"/>
              <w:pageBreakBefore w:val="0"/>
              <w:widowControl/>
              <w:numPr>
                <w:ilvl w:val="0"/>
                <w:numId w:val="5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溯源管理配置</w:t>
            </w:r>
          </w:p>
          <w:p w14:paraId="1A34DD27">
            <w:pPr>
              <w:keepNext w:val="0"/>
              <w:keepLines w:val="0"/>
              <w:pageBreakBefore w:val="0"/>
              <w:widowControl/>
              <w:numPr>
                <w:ilvl w:val="0"/>
                <w:numId w:val="5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供货商维护设置：支持开通供货商审核功能（需审核食堂、审核人），下属食堂维护供货商时，需由指定人审核通过后，方可生效</w:t>
            </w:r>
          </w:p>
          <w:p w14:paraId="6DE6B46B">
            <w:pPr>
              <w:keepNext w:val="0"/>
              <w:keepLines w:val="0"/>
              <w:pageBreakBefore w:val="0"/>
              <w:widowControl/>
              <w:numPr>
                <w:ilvl w:val="0"/>
                <w:numId w:val="5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消息推送设置：入库验收统计消息推送配置（时间、推送人）</w:t>
            </w:r>
          </w:p>
          <w:p w14:paraId="4BA27C1E">
            <w:pPr>
              <w:keepNext w:val="0"/>
              <w:keepLines w:val="0"/>
              <w:pageBreakBefore w:val="0"/>
              <w:widowControl/>
              <w:numPr>
                <w:ilvl w:val="0"/>
                <w:numId w:val="5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报单审核设置：支持开通报单审核功能（需审核食堂、审核人），下属食堂进行食材报单时，需由制定人审核通过后，方可生效，可进行采购验收</w:t>
            </w:r>
          </w:p>
          <w:p w14:paraId="76A9918D">
            <w:pPr>
              <w:keepNext w:val="0"/>
              <w:keepLines w:val="0"/>
              <w:pageBreakBefore w:val="0"/>
              <w:widowControl/>
              <w:numPr>
                <w:ilvl w:val="0"/>
                <w:numId w:val="5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原料管理</w:t>
            </w:r>
          </w:p>
          <w:p w14:paraId="7D08D1EB">
            <w:pPr>
              <w:keepNext w:val="0"/>
              <w:keepLines w:val="0"/>
              <w:pageBreakBefore w:val="0"/>
              <w:widowControl/>
              <w:numPr>
                <w:ilvl w:val="0"/>
                <w:numId w:val="5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食堂原料库：支持查看下属食堂原料库数据统计情况，同时支持详情查看</w:t>
            </w:r>
          </w:p>
          <w:p w14:paraId="71851EC4">
            <w:pPr>
              <w:keepNext w:val="0"/>
              <w:keepLines w:val="0"/>
              <w:pageBreakBefore w:val="0"/>
              <w:widowControl/>
              <w:numPr>
                <w:ilvl w:val="0"/>
                <w:numId w:val="5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原料库管理：支持建立统一的原料库，同步至下属食堂使用</w:t>
            </w:r>
          </w:p>
          <w:p w14:paraId="1325B120">
            <w:pPr>
              <w:keepNext w:val="0"/>
              <w:keepLines w:val="0"/>
              <w:pageBreakBefore w:val="0"/>
              <w:widowControl/>
              <w:numPr>
                <w:ilvl w:val="0"/>
                <w:numId w:val="5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供货商管理</w:t>
            </w:r>
          </w:p>
          <w:p w14:paraId="3B8503FE">
            <w:pPr>
              <w:keepNext w:val="0"/>
              <w:keepLines w:val="0"/>
              <w:pageBreakBefore w:val="0"/>
              <w:widowControl/>
              <w:numPr>
                <w:ilvl w:val="0"/>
                <w:numId w:val="5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食堂供货统计：支持查看下属食堂供货商数据统计结果，同时支持进行供货商资质信息查看</w:t>
            </w:r>
          </w:p>
          <w:p w14:paraId="42BA8BD9">
            <w:pPr>
              <w:keepNext w:val="0"/>
              <w:keepLines w:val="0"/>
              <w:pageBreakBefore w:val="0"/>
              <w:widowControl/>
              <w:numPr>
                <w:ilvl w:val="0"/>
                <w:numId w:val="5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供货商库管理：支持建立统一的食材供货商库，同步至下属食堂使用</w:t>
            </w:r>
          </w:p>
          <w:p w14:paraId="7E039ABE">
            <w:pPr>
              <w:keepNext w:val="0"/>
              <w:keepLines w:val="0"/>
              <w:pageBreakBefore w:val="0"/>
              <w:widowControl/>
              <w:numPr>
                <w:ilvl w:val="0"/>
                <w:numId w:val="5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供货商审核：针对有审核权限人员，可进行下属食堂维护供货商时，进行审核操作（仅权限人员可查看该页面）</w:t>
            </w:r>
          </w:p>
          <w:p w14:paraId="64A3397C">
            <w:pPr>
              <w:keepNext w:val="0"/>
              <w:keepLines w:val="0"/>
              <w:pageBreakBefore w:val="0"/>
              <w:widowControl/>
              <w:numPr>
                <w:ilvl w:val="0"/>
                <w:numId w:val="5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报单记录</w:t>
            </w:r>
          </w:p>
          <w:p w14:paraId="50B6BB6A">
            <w:pPr>
              <w:keepNext w:val="0"/>
              <w:keepLines w:val="0"/>
              <w:pageBreakBefore w:val="0"/>
              <w:widowControl/>
              <w:numPr>
                <w:ilvl w:val="0"/>
                <w:numId w:val="5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支持查看下属食堂所报单记录（进行中、已验收等），及查看食材明细</w:t>
            </w:r>
          </w:p>
          <w:p w14:paraId="2AAD03FF">
            <w:pPr>
              <w:keepNext w:val="0"/>
              <w:keepLines w:val="0"/>
              <w:pageBreakBefore w:val="0"/>
              <w:widowControl/>
              <w:numPr>
                <w:ilvl w:val="0"/>
                <w:numId w:val="5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支持有审核权限人员进行食堂提报报单记录进行审核</w:t>
            </w:r>
          </w:p>
          <w:p w14:paraId="31B5A821">
            <w:pPr>
              <w:keepNext w:val="0"/>
              <w:keepLines w:val="0"/>
              <w:pageBreakBefore w:val="0"/>
              <w:widowControl/>
              <w:numPr>
                <w:ilvl w:val="0"/>
                <w:numId w:val="5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验收记录</w:t>
            </w:r>
          </w:p>
          <w:p w14:paraId="7C0C741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支持查看下属食堂验收记录（进行中、已完成），及查看食材验收明细、索证索票</w:t>
            </w:r>
          </w:p>
          <w:p w14:paraId="7BA0255C">
            <w:pPr>
              <w:keepNext w:val="0"/>
              <w:keepLines w:val="0"/>
              <w:pageBreakBefore w:val="0"/>
              <w:widowControl/>
              <w:numPr>
                <w:ilvl w:val="0"/>
                <w:numId w:val="5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异常记录</w:t>
            </w:r>
          </w:p>
          <w:p w14:paraId="2FAE5E2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支持查看下属食堂验收中记录的异常验收记录，及查看详细异常情况</w:t>
            </w:r>
          </w:p>
          <w:p w14:paraId="2311570B">
            <w:pPr>
              <w:keepNext w:val="0"/>
              <w:keepLines w:val="0"/>
              <w:pageBreakBefore w:val="0"/>
              <w:widowControl/>
              <w:numPr>
                <w:ilvl w:val="0"/>
                <w:numId w:val="5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库存管理</w:t>
            </w:r>
          </w:p>
          <w:p w14:paraId="5085F610">
            <w:pPr>
              <w:keepNext w:val="0"/>
              <w:keepLines w:val="0"/>
              <w:pageBreakBefore w:val="0"/>
              <w:widowControl/>
              <w:numPr>
                <w:ilvl w:val="0"/>
                <w:numId w:val="5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支持查看下属食堂食材库存情况</w:t>
            </w:r>
          </w:p>
          <w:p w14:paraId="30CA8F51">
            <w:pPr>
              <w:keepNext w:val="0"/>
              <w:keepLines w:val="0"/>
              <w:pageBreakBefore w:val="0"/>
              <w:widowControl/>
              <w:numPr>
                <w:ilvl w:val="0"/>
                <w:numId w:val="5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支持查看下属食堂食材入库、拆分情况</w:t>
            </w:r>
          </w:p>
          <w:p w14:paraId="524CCEF8">
            <w:pPr>
              <w:keepNext w:val="0"/>
              <w:keepLines w:val="0"/>
              <w:pageBreakBefore w:val="0"/>
              <w:widowControl/>
              <w:numPr>
                <w:ilvl w:val="0"/>
                <w:numId w:val="5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支持查看下属食堂各食材仓库库存，存放食材信息</w:t>
            </w:r>
          </w:p>
          <w:p w14:paraId="5FC10367">
            <w:pPr>
              <w:keepNext w:val="0"/>
              <w:keepLines w:val="0"/>
              <w:pageBreakBefore w:val="0"/>
              <w:widowControl/>
              <w:numPr>
                <w:ilvl w:val="0"/>
                <w:numId w:val="5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出库记录</w:t>
            </w:r>
          </w:p>
          <w:p w14:paraId="0477CE6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支持查看下属食堂出库记录，及查看详细档口出库、出库内容、签字图片</w:t>
            </w:r>
          </w:p>
        </w:tc>
        <w:tc>
          <w:tcPr>
            <w:tcW w:w="469" w:type="pct"/>
            <w:noWrap w:val="0"/>
            <w:vAlign w:val="center"/>
          </w:tcPr>
          <w:p w14:paraId="5C0B286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4F125BE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2AC5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8" w:type="pct"/>
            <w:noWrap w:val="0"/>
            <w:vAlign w:val="center"/>
          </w:tcPr>
          <w:p w14:paraId="66AB0BC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消息中心</w:t>
            </w:r>
          </w:p>
          <w:p w14:paraId="3446D373">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01E8318A">
            <w:pPr>
              <w:keepNext w:val="0"/>
              <w:keepLines w:val="0"/>
              <w:pageBreakBefore w:val="0"/>
              <w:widowControl/>
              <w:numPr>
                <w:ilvl w:val="0"/>
                <w:numId w:val="5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消息发布</w:t>
            </w:r>
          </w:p>
          <w:p w14:paraId="6CECCD17">
            <w:pPr>
              <w:keepNext w:val="0"/>
              <w:keepLines w:val="0"/>
              <w:pageBreakBefore w:val="0"/>
              <w:widowControl/>
              <w:numPr>
                <w:ilvl w:val="0"/>
                <w:numId w:val="5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支持用户发布消息</w:t>
            </w:r>
          </w:p>
          <w:p w14:paraId="7CE4F6BC">
            <w:pPr>
              <w:keepNext w:val="0"/>
              <w:keepLines w:val="0"/>
              <w:pageBreakBefore w:val="0"/>
              <w:widowControl/>
              <w:numPr>
                <w:ilvl w:val="0"/>
                <w:numId w:val="5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消息记录</w:t>
            </w:r>
          </w:p>
          <w:p w14:paraId="4B0288DB">
            <w:pPr>
              <w:keepNext w:val="0"/>
              <w:keepLines w:val="0"/>
              <w:pageBreakBefore w:val="0"/>
              <w:widowControl/>
              <w:numPr>
                <w:ilvl w:val="0"/>
                <w:numId w:val="5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系统消息</w:t>
            </w:r>
          </w:p>
          <w:p w14:paraId="6BECC07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可指定角色发布系统消息</w:t>
            </w:r>
          </w:p>
          <w:p w14:paraId="61C9C0B1">
            <w:pPr>
              <w:keepNext w:val="0"/>
              <w:keepLines w:val="0"/>
              <w:pageBreakBefore w:val="0"/>
              <w:widowControl/>
              <w:numPr>
                <w:ilvl w:val="0"/>
                <w:numId w:val="5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智能预警</w:t>
            </w:r>
          </w:p>
          <w:p w14:paraId="37FAAC8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AI设备报警消息接收</w:t>
            </w:r>
          </w:p>
          <w:p w14:paraId="4C6E5ACF">
            <w:pPr>
              <w:keepNext w:val="0"/>
              <w:keepLines w:val="0"/>
              <w:pageBreakBefore w:val="0"/>
              <w:widowControl/>
              <w:numPr>
                <w:ilvl w:val="0"/>
                <w:numId w:val="5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物联预警</w:t>
            </w:r>
          </w:p>
          <w:p w14:paraId="1D72F0F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物联传感设备的报警消息接收（包括场景的报警消息）</w:t>
            </w:r>
          </w:p>
          <w:p w14:paraId="1830770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3.可对APP端发送消息提醒；可发送消息提醒给下辖组织、角色部门和个人；负责人可收到信息通知。</w:t>
            </w:r>
          </w:p>
        </w:tc>
        <w:tc>
          <w:tcPr>
            <w:tcW w:w="469" w:type="pct"/>
            <w:noWrap w:val="0"/>
            <w:vAlign w:val="center"/>
          </w:tcPr>
          <w:p w14:paraId="162E841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7F38080C">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023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8" w:type="pct"/>
            <w:noWrap w:val="0"/>
            <w:vAlign w:val="center"/>
          </w:tcPr>
          <w:p w14:paraId="467B6D8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人事管理</w:t>
            </w:r>
          </w:p>
          <w:p w14:paraId="3E45F41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118A32E1">
            <w:pPr>
              <w:keepNext w:val="0"/>
              <w:keepLines w:val="0"/>
              <w:pageBreakBefore w:val="0"/>
              <w:widowControl/>
              <w:numPr>
                <w:ilvl w:val="0"/>
                <w:numId w:val="6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员工管理</w:t>
            </w:r>
          </w:p>
          <w:p w14:paraId="4E5F3A95">
            <w:pPr>
              <w:keepNext w:val="0"/>
              <w:keepLines w:val="0"/>
              <w:pageBreakBefore w:val="0"/>
              <w:widowControl/>
              <w:numPr>
                <w:ilvl w:val="0"/>
                <w:numId w:val="6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学校员工</w:t>
            </w:r>
          </w:p>
          <w:p w14:paraId="35B3934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支持维护学校后勤部门员工信息，依据开启后厨门禁系统权限</w:t>
            </w:r>
          </w:p>
          <w:p w14:paraId="0C046AF9">
            <w:pPr>
              <w:keepNext w:val="0"/>
              <w:keepLines w:val="0"/>
              <w:pageBreakBefore w:val="0"/>
              <w:widowControl/>
              <w:numPr>
                <w:ilvl w:val="0"/>
                <w:numId w:val="61"/>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食堂员工</w:t>
            </w:r>
          </w:p>
          <w:p w14:paraId="449B4AD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支持查看、维护食堂员工信息</w:t>
            </w:r>
          </w:p>
          <w:p w14:paraId="40470A11">
            <w:pPr>
              <w:keepNext w:val="0"/>
              <w:keepLines w:val="0"/>
              <w:pageBreakBefore w:val="0"/>
              <w:widowControl/>
              <w:numPr>
                <w:ilvl w:val="0"/>
                <w:numId w:val="6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食堂出勤</w:t>
            </w:r>
          </w:p>
          <w:p w14:paraId="38791EC4">
            <w:pPr>
              <w:keepNext w:val="0"/>
              <w:keepLines w:val="0"/>
              <w:pageBreakBefore w:val="0"/>
              <w:widowControl/>
              <w:numPr>
                <w:ilvl w:val="0"/>
                <w:numId w:val="62"/>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支持查看下属各食堂员工出勤信息</w:t>
            </w:r>
          </w:p>
          <w:p w14:paraId="5CFF7AF3">
            <w:pPr>
              <w:keepNext w:val="0"/>
              <w:keepLines w:val="0"/>
              <w:pageBreakBefore w:val="0"/>
              <w:widowControl/>
              <w:numPr>
                <w:ilvl w:val="0"/>
                <w:numId w:val="6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培训管理</w:t>
            </w:r>
          </w:p>
          <w:p w14:paraId="6828C76E">
            <w:pPr>
              <w:keepNext w:val="0"/>
              <w:keepLines w:val="0"/>
              <w:pageBreakBefore w:val="0"/>
              <w:widowControl/>
              <w:numPr>
                <w:ilvl w:val="0"/>
                <w:numId w:val="6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支持上传食堂培训学习资料（文件、视频）</w:t>
            </w:r>
          </w:p>
          <w:p w14:paraId="257139A2">
            <w:pPr>
              <w:keepNext w:val="0"/>
              <w:keepLines w:val="0"/>
              <w:pageBreakBefore w:val="0"/>
              <w:widowControl/>
              <w:numPr>
                <w:ilvl w:val="0"/>
                <w:numId w:val="6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支持查看学习记录</w:t>
            </w:r>
          </w:p>
          <w:p w14:paraId="35DBA542">
            <w:pPr>
              <w:keepNext w:val="0"/>
              <w:keepLines w:val="0"/>
              <w:pageBreakBefore w:val="0"/>
              <w:widowControl/>
              <w:numPr>
                <w:ilvl w:val="0"/>
                <w:numId w:val="6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门禁权限管理</w:t>
            </w:r>
          </w:p>
          <w:p w14:paraId="15AE7A1E">
            <w:pPr>
              <w:keepNext w:val="0"/>
              <w:keepLines w:val="0"/>
              <w:pageBreakBefore w:val="0"/>
              <w:widowControl/>
              <w:numPr>
                <w:ilvl w:val="0"/>
                <w:numId w:val="6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权限组管理</w:t>
            </w:r>
          </w:p>
          <w:p w14:paraId="6B60A3E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支持配置门禁权限信息（人员对于门禁出入权限）</w:t>
            </w:r>
          </w:p>
          <w:p w14:paraId="75B97609">
            <w:pPr>
              <w:keepNext w:val="0"/>
              <w:keepLines w:val="0"/>
              <w:pageBreakBefore w:val="0"/>
              <w:widowControl/>
              <w:numPr>
                <w:ilvl w:val="0"/>
                <w:numId w:val="6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员工权限管理</w:t>
            </w:r>
          </w:p>
          <w:p w14:paraId="075AC08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支持查看员工对应有权限门禁设备信息</w:t>
            </w:r>
          </w:p>
          <w:p w14:paraId="01FD774E">
            <w:pPr>
              <w:keepNext w:val="0"/>
              <w:keepLines w:val="0"/>
              <w:pageBreakBefore w:val="0"/>
              <w:widowControl/>
              <w:numPr>
                <w:ilvl w:val="0"/>
                <w:numId w:val="6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门禁事件明细</w:t>
            </w:r>
          </w:p>
          <w:p w14:paraId="2633C88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支持查看员工门禁出入事件明细</w:t>
            </w:r>
          </w:p>
          <w:p w14:paraId="03BFF4BA">
            <w:pPr>
              <w:keepNext w:val="0"/>
              <w:keepLines w:val="0"/>
              <w:pageBreakBefore w:val="0"/>
              <w:widowControl/>
              <w:numPr>
                <w:ilvl w:val="0"/>
                <w:numId w:val="64"/>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同步事件明细</w:t>
            </w:r>
          </w:p>
          <w:p w14:paraId="484AB68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支持查看员工门禁权限下发同步信息</w:t>
            </w:r>
          </w:p>
          <w:p w14:paraId="157DED8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5.可对员工进行食品安全专业知识的培训和考试。</w:t>
            </w:r>
          </w:p>
        </w:tc>
        <w:tc>
          <w:tcPr>
            <w:tcW w:w="469" w:type="pct"/>
            <w:noWrap w:val="0"/>
            <w:vAlign w:val="center"/>
          </w:tcPr>
          <w:p w14:paraId="7DD42DC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26754EE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78F6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8" w:type="pct"/>
            <w:noWrap w:val="0"/>
            <w:vAlign w:val="center"/>
          </w:tcPr>
          <w:p w14:paraId="01BEC0D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系统管理</w:t>
            </w:r>
          </w:p>
          <w:p w14:paraId="2BD7B02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2C05BB78">
            <w:pPr>
              <w:keepNext w:val="0"/>
              <w:keepLines w:val="0"/>
              <w:pageBreakBefore w:val="0"/>
              <w:widowControl/>
              <w:numPr>
                <w:ilvl w:val="0"/>
                <w:numId w:val="6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用户管理</w:t>
            </w:r>
          </w:p>
          <w:p w14:paraId="08105D0B">
            <w:pPr>
              <w:keepNext w:val="0"/>
              <w:keepLines w:val="0"/>
              <w:pageBreakBefore w:val="0"/>
              <w:widowControl/>
              <w:numPr>
                <w:ilvl w:val="0"/>
                <w:numId w:val="6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支持进行食安指挥系统用户权限开通</w:t>
            </w:r>
          </w:p>
          <w:p w14:paraId="6BFE8576">
            <w:pPr>
              <w:keepNext w:val="0"/>
              <w:keepLines w:val="0"/>
              <w:pageBreakBefore w:val="0"/>
              <w:widowControl/>
              <w:numPr>
                <w:ilvl w:val="0"/>
                <w:numId w:val="66"/>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支持进行数智食堂系统用户开通（店长账号）</w:t>
            </w:r>
          </w:p>
          <w:p w14:paraId="427C97B9">
            <w:pPr>
              <w:keepNext w:val="0"/>
              <w:keepLines w:val="0"/>
              <w:pageBreakBefore w:val="0"/>
              <w:widowControl/>
              <w:numPr>
                <w:ilvl w:val="0"/>
                <w:numId w:val="6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角色管理</w:t>
            </w:r>
          </w:p>
          <w:p w14:paraId="0C0EE4B4">
            <w:pPr>
              <w:keepNext w:val="0"/>
              <w:keepLines w:val="0"/>
              <w:pageBreakBefore w:val="0"/>
              <w:widowControl/>
              <w:numPr>
                <w:ilvl w:val="0"/>
                <w:numId w:val="6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部署时默认下发初始时系统角色-食安指挥系统、数智食堂系统</w:t>
            </w:r>
          </w:p>
          <w:p w14:paraId="59EB3778">
            <w:pPr>
              <w:keepNext w:val="0"/>
              <w:keepLines w:val="0"/>
              <w:pageBreakBefore w:val="0"/>
              <w:widowControl/>
              <w:numPr>
                <w:ilvl w:val="0"/>
                <w:numId w:val="6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支持维护食安指挥系统角色、角色权限</w:t>
            </w:r>
          </w:p>
          <w:p w14:paraId="1862C4D0">
            <w:pPr>
              <w:keepNext w:val="0"/>
              <w:keepLines w:val="0"/>
              <w:pageBreakBefore w:val="0"/>
              <w:widowControl/>
              <w:numPr>
                <w:ilvl w:val="0"/>
                <w:numId w:val="67"/>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支持维护数智食堂系统角色</w:t>
            </w:r>
          </w:p>
          <w:p w14:paraId="10D7FC8D">
            <w:pPr>
              <w:keepNext w:val="0"/>
              <w:keepLines w:val="0"/>
              <w:pageBreakBefore w:val="0"/>
              <w:widowControl/>
              <w:numPr>
                <w:ilvl w:val="0"/>
                <w:numId w:val="6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部门管理</w:t>
            </w:r>
          </w:p>
          <w:p w14:paraId="3D69882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支持维护学校后勤部门信息，并可进行新增、删除、修改，同时可对部门进行关联食堂、关联检查表等操作</w:t>
            </w:r>
          </w:p>
          <w:p w14:paraId="4640CD40">
            <w:pPr>
              <w:keepNext w:val="0"/>
              <w:keepLines w:val="0"/>
              <w:pageBreakBefore w:val="0"/>
              <w:widowControl/>
              <w:numPr>
                <w:ilvl w:val="0"/>
                <w:numId w:val="6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岗位管理</w:t>
            </w:r>
          </w:p>
          <w:p w14:paraId="7DFE113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支持维护学校后勤部门人员岗位，并可进行岗位的增删改导等操作</w:t>
            </w:r>
          </w:p>
          <w:p w14:paraId="7C28C33C">
            <w:pPr>
              <w:keepNext w:val="0"/>
              <w:keepLines w:val="0"/>
              <w:pageBreakBefore w:val="0"/>
              <w:widowControl/>
              <w:numPr>
                <w:ilvl w:val="0"/>
                <w:numId w:val="6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系统信息管理</w:t>
            </w:r>
          </w:p>
          <w:p w14:paraId="6388F79E">
            <w:pPr>
              <w:keepNext w:val="0"/>
              <w:keepLines w:val="0"/>
              <w:pageBreakBefore w:val="0"/>
              <w:widowControl/>
              <w:numPr>
                <w:ilvl w:val="0"/>
                <w:numId w:val="6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支持维护系统LOGO；修改替换</w:t>
            </w:r>
          </w:p>
          <w:p w14:paraId="2D888A0E">
            <w:pPr>
              <w:keepNext w:val="0"/>
              <w:keepLines w:val="0"/>
              <w:pageBreakBefore w:val="0"/>
              <w:widowControl/>
              <w:numPr>
                <w:ilvl w:val="0"/>
                <w:numId w:val="6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支持配置巡检的配置</w:t>
            </w:r>
          </w:p>
          <w:p w14:paraId="09AFD17C">
            <w:pPr>
              <w:keepNext w:val="0"/>
              <w:keepLines w:val="0"/>
              <w:pageBreakBefore w:val="0"/>
              <w:widowControl/>
              <w:numPr>
                <w:ilvl w:val="0"/>
                <w:numId w:val="68"/>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支持食安督查APP端轮播banner设置</w:t>
            </w:r>
          </w:p>
          <w:p w14:paraId="15B2F0EA">
            <w:pPr>
              <w:keepNext w:val="0"/>
              <w:keepLines w:val="0"/>
              <w:pageBreakBefore w:val="0"/>
              <w:widowControl/>
              <w:numPr>
                <w:ilvl w:val="0"/>
                <w:numId w:val="65"/>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修改用户角色；可设置系统功能权限：可导出巡店报表；可导出页面；可查看导出示例；可按检查表、时间和门店进行筛选；可修改门店设备信息：可在门店设备页面查看AI识别摄像机、动火离人摄像机、温湿度摄像机和硬盘录像机的在线率信息。</w:t>
            </w:r>
          </w:p>
        </w:tc>
        <w:tc>
          <w:tcPr>
            <w:tcW w:w="469" w:type="pct"/>
            <w:noWrap w:val="0"/>
            <w:vAlign w:val="center"/>
          </w:tcPr>
          <w:p w14:paraId="1B32855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0BB8E71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70BA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68" w:type="pct"/>
            <w:noWrap w:val="0"/>
            <w:vAlign w:val="center"/>
          </w:tcPr>
          <w:p w14:paraId="3A703C8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系统监控</w:t>
            </w:r>
          </w:p>
          <w:p w14:paraId="4010AB6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p>
        </w:tc>
        <w:tc>
          <w:tcPr>
            <w:tcW w:w="3594" w:type="pct"/>
            <w:noWrap w:val="0"/>
            <w:vAlign w:val="top"/>
          </w:tcPr>
          <w:p w14:paraId="1E8C70F3">
            <w:pPr>
              <w:keepNext w:val="0"/>
              <w:keepLines w:val="0"/>
              <w:pageBreakBefore w:val="0"/>
              <w:widowControl/>
              <w:numPr>
                <w:ilvl w:val="0"/>
                <w:numId w:val="6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在线用户</w:t>
            </w:r>
          </w:p>
          <w:p w14:paraId="379293F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支持查看各系统在线用户信息（含食安监管系统、食安督查APP、数智食堂系统、数智食堂APP）</w:t>
            </w:r>
          </w:p>
          <w:p w14:paraId="3559A174">
            <w:pPr>
              <w:keepNext w:val="0"/>
              <w:keepLines w:val="0"/>
              <w:pageBreakBefore w:val="0"/>
              <w:widowControl/>
              <w:numPr>
                <w:ilvl w:val="0"/>
                <w:numId w:val="6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服务监控（存储空间管理）</w:t>
            </w:r>
          </w:p>
          <w:p w14:paraId="23F04BE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支持查看服务监控信息（扩充各端系统）</w:t>
            </w:r>
          </w:p>
          <w:p w14:paraId="4F443D59">
            <w:pPr>
              <w:keepNext w:val="0"/>
              <w:keepLines w:val="0"/>
              <w:pageBreakBefore w:val="0"/>
              <w:widowControl/>
              <w:numPr>
                <w:ilvl w:val="0"/>
                <w:numId w:val="69"/>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日志管理</w:t>
            </w:r>
          </w:p>
          <w:p w14:paraId="50D5C83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支持查看系统日志信息（扩充各端系统），以便远程排查解决问题</w:t>
            </w:r>
          </w:p>
        </w:tc>
        <w:tc>
          <w:tcPr>
            <w:tcW w:w="469" w:type="pct"/>
            <w:noWrap w:val="0"/>
            <w:vAlign w:val="center"/>
          </w:tcPr>
          <w:p w14:paraId="1D60B94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748E1C4F">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6F2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68" w:type="pct"/>
            <w:noWrap w:val="0"/>
            <w:vAlign w:val="center"/>
          </w:tcPr>
          <w:p w14:paraId="5FBF2A0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运营管理</w:t>
            </w:r>
          </w:p>
        </w:tc>
        <w:tc>
          <w:tcPr>
            <w:tcW w:w="3594" w:type="pct"/>
            <w:noWrap w:val="0"/>
            <w:vAlign w:val="top"/>
          </w:tcPr>
          <w:p w14:paraId="693BC0C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档口分析：通过系统对接或手动上传收集档口数据，做每日盈亏分析，对档口的营收和利润进行月度、年度趋势图分析；分析指标包含但不限于营业收入、食材成本、人工成本、其他成本、毛利率、净利率，支持指定指标做排序分析，连续指定天数不盈利档口系统会自动预警。</w:t>
            </w:r>
          </w:p>
          <w:p w14:paraId="3E3CF29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食堂分析：通过档口数据计算食堂盈亏情况，对食堂营收和利润数据进行日、月、年度汇总分析；对食堂的营收预算金额和去年同期营收金额进行对比分析；分析指标包含但不限于营业收入、食材成本、人工成本、其他成本、毛利率、净利率、大餐占比，支持指定指标做排序分析，连续指定天数不盈利食堂系统会自动预警。</w:t>
            </w:r>
          </w:p>
        </w:tc>
        <w:tc>
          <w:tcPr>
            <w:tcW w:w="469" w:type="pct"/>
            <w:noWrap w:val="0"/>
            <w:vAlign w:val="center"/>
          </w:tcPr>
          <w:p w14:paraId="514EEC1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6C60F3A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6085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68" w:type="pct"/>
            <w:noWrap w:val="0"/>
            <w:vAlign w:val="center"/>
          </w:tcPr>
          <w:p w14:paraId="672E2AC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系统运维</w:t>
            </w:r>
          </w:p>
        </w:tc>
        <w:tc>
          <w:tcPr>
            <w:tcW w:w="3594" w:type="pct"/>
            <w:noWrap w:val="0"/>
            <w:vAlign w:val="top"/>
          </w:tcPr>
          <w:p w14:paraId="55CA1293">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1.服务售后运维，保障全年系统可用，提供免费上门培训。</w:t>
            </w:r>
          </w:p>
          <w:p w14:paraId="4E54ABF8">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2.保证5年免费上门维修维护及系统升级服务。 </w:t>
            </w:r>
          </w:p>
          <w:p w14:paraId="58D0382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3.根据采购人信息化平台建设要求，数智食堂无条件接入采购人信息化平台（以采购人指定时间为准），并承担接入所需的费用。</w:t>
            </w:r>
          </w:p>
        </w:tc>
        <w:tc>
          <w:tcPr>
            <w:tcW w:w="469" w:type="pct"/>
            <w:noWrap w:val="0"/>
            <w:vAlign w:val="center"/>
          </w:tcPr>
          <w:p w14:paraId="3FB963BE">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76D472B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14:paraId="3CCB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68" w:type="pct"/>
            <w:noWrap w:val="0"/>
            <w:vAlign w:val="center"/>
          </w:tcPr>
          <w:p w14:paraId="26E924FD">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kern w:val="0"/>
                <w:sz w:val="24"/>
                <w:szCs w:val="24"/>
                <w:lang w:bidi="ar"/>
              </w:rPr>
            </w:pPr>
            <w:r>
              <w:rPr>
                <w:rFonts w:hint="eastAsia" w:ascii="宋体" w:hAnsi="宋体" w:eastAsia="宋体" w:cs="宋体"/>
                <w:color w:val="auto"/>
                <w:sz w:val="24"/>
                <w:szCs w:val="24"/>
              </w:rPr>
              <w:t>数智食堂监管平台设施设备</w:t>
            </w:r>
          </w:p>
        </w:tc>
        <w:tc>
          <w:tcPr>
            <w:tcW w:w="3594" w:type="pct"/>
            <w:noWrap w:val="0"/>
            <w:vAlign w:val="top"/>
          </w:tcPr>
          <w:p w14:paraId="7FBCC9EA">
            <w:pPr>
              <w:keepNext w:val="0"/>
              <w:keepLines w:val="0"/>
              <w:pageBreakBefore w:val="0"/>
              <w:numPr>
                <w:ilvl w:val="0"/>
                <w:numId w:val="70"/>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数智食堂监管平台大屏设备参数</w:t>
            </w:r>
          </w:p>
          <w:p w14:paraId="0007916D">
            <w:pPr>
              <w:keepNext w:val="0"/>
              <w:keepLines w:val="0"/>
              <w:pageBreakBefore w:val="0"/>
              <w:numPr>
                <w:ilvl w:val="0"/>
                <w:numId w:val="71"/>
              </w:numPr>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3272BA17">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会议平板一体机，系统配置不低于I7+16+512，不低于100英寸4K画质，支持触摸触控、电子白板、无线投屏，附带移动支架、OPS、翻页笔、投屏器、万向轮推车</w:t>
            </w:r>
          </w:p>
          <w:p w14:paraId="2AA0BD46">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2.解码器设备参数</w:t>
            </w:r>
          </w:p>
          <w:p w14:paraId="5997A2A1">
            <w:pPr>
              <w:keepNext w:val="0"/>
              <w:keepLines w:val="0"/>
              <w:pageBreakBefore w:val="0"/>
              <w:numPr>
                <w:ilvl w:val="0"/>
                <w:numId w:val="72"/>
              </w:numPr>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192BAF8B">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支持9路HDMI信号输出；</w:t>
            </w:r>
          </w:p>
          <w:p w14:paraId="5890A3AB">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输出接口最大支持1920×1080@60及以下常规分辨率输出；</w:t>
            </w:r>
          </w:p>
          <w:p w14:paraId="7F77264E">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支持超高超宽自定义分辨率输出设置，水平分辨率最宽可达3840像素，垂直分辨率最高可达3840像素；</w:t>
            </w:r>
          </w:p>
          <w:p w14:paraId="5882AE55">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支持4路HDMI信号输入；</w:t>
            </w:r>
          </w:p>
          <w:p w14:paraId="4B72980B">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输入接口最大支持3840×2160@60及以下常规分辨率采集；</w:t>
            </w:r>
          </w:p>
          <w:p w14:paraId="758528C7">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具备1对语音对讲接口：1个3.5mm音频输入接口和1个3.5mm音频输出接口；</w:t>
            </w:r>
          </w:p>
          <w:p w14:paraId="601779BE">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整机解码H265支持3路32MP@25fps/9路12MP@25fps/14路8MP@25fps/18路6MP@25fps/24路5MP@25fps/29路4MP@25fps/37路3MP@25fps/57路1080p@25fps/192路D1@25fps（H264支持47路1080p@25fps解码能力）；</w:t>
            </w:r>
          </w:p>
          <w:p w14:paraId="2CAD48D8">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支持MPEG2/MPEG4/H.264/H.265/SVAC/MJPEG标准网络视频流解码；</w:t>
            </w:r>
          </w:p>
          <w:p w14:paraId="57384103">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支持QCIF/CIF/2CIF/HD1/D1/960H/720p/1080p/3MP/4MP/5MP/6MP/8MP/12MP/32MP视频解码；</w:t>
            </w:r>
          </w:p>
          <w:p w14:paraId="4A299C41">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支持音频压缩格式：PCM/G711/AAC；</w:t>
            </w:r>
          </w:p>
          <w:p w14:paraId="4E32E928">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支持每屏1/4/6/8/9/16/25/36分割，支持M×N自由分割；</w:t>
            </w:r>
          </w:p>
          <w:p w14:paraId="5A2A1C77">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支持任意开窗、漫游，每屏最大支持36路开窗；</w:t>
            </w:r>
          </w:p>
          <w:p w14:paraId="273EC8B6">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支持电视墙默认底色设置，支持高清底图显示；</w:t>
            </w:r>
          </w:p>
          <w:p w14:paraId="6E1894A9">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支持预案轮巡；</w:t>
            </w:r>
          </w:p>
          <w:p w14:paraId="595BD9AA">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支持多屏融合拼接，跨屏画面毫秒级完美同步；</w:t>
            </w:r>
          </w:p>
          <w:p w14:paraId="6CBDCDD4">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支持在大屏上叠加OSD文字信息，支持位置，字体大小等自定义设置；</w:t>
            </w:r>
          </w:p>
          <w:p w14:paraId="7131EBC5">
            <w:pPr>
              <w:keepNext w:val="0"/>
              <w:keepLines w:val="0"/>
              <w:pageBreakBefore w:val="0"/>
              <w:numPr>
                <w:ilvl w:val="0"/>
                <w:numId w:val="73"/>
              </w:numPr>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支持Onvif，RTSP，GB28181协议接入，支持海康私有/大华私有协议接入；</w:t>
            </w:r>
          </w:p>
          <w:p w14:paraId="7468A35F">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3.服务器设备参数</w:t>
            </w:r>
          </w:p>
          <w:p w14:paraId="7D56047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(1)机架式服务器;</w:t>
            </w:r>
          </w:p>
          <w:p w14:paraId="7495919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(2)处理器、内存和硬盘按需配置，保障系统流畅且长期可用。</w:t>
            </w:r>
          </w:p>
          <w:p w14:paraId="4DE2DAEB">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4.输出设备：具备自动双面打印、自动双面复印和自动双面扫描等功能的彩色激光多功能一体机，要求打印速度不低于打印A4纸每分钟33页，支持无线网络无线打印。</w:t>
            </w:r>
          </w:p>
          <w:p w14:paraId="614BB076">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5.管理电脑设备参数：性能不低于I9/64G/2T固态配置。</w:t>
            </w:r>
          </w:p>
        </w:tc>
        <w:tc>
          <w:tcPr>
            <w:tcW w:w="469" w:type="pct"/>
            <w:noWrap w:val="0"/>
            <w:vAlign w:val="center"/>
          </w:tcPr>
          <w:p w14:paraId="44CAAC7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469" w:type="pct"/>
            <w:noWrap w:val="0"/>
            <w:vAlign w:val="center"/>
          </w:tcPr>
          <w:p w14:paraId="646CF17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r>
    </w:tbl>
    <w:p w14:paraId="62F09D8C">
      <w:pPr>
        <w:autoSpaceDE w:val="0"/>
        <w:autoSpaceDN w:val="0"/>
        <w:adjustRightInd w:val="0"/>
        <w:spacing w:line="480" w:lineRule="exact"/>
        <w:jc w:val="left"/>
        <w:rPr>
          <w:rFonts w:hint="eastAsia" w:ascii="方正仿宋_GBK" w:hAnsi="Times New Roman" w:eastAsia="方正仿宋_GBK" w:cs="Times New Roman"/>
          <w:color w:val="auto"/>
          <w:kern w:val="0"/>
          <w:sz w:val="28"/>
          <w:szCs w:val="28"/>
        </w:rPr>
      </w:pPr>
    </w:p>
    <w:p w14:paraId="23A3E6D8">
      <w:pPr>
        <w:autoSpaceDE w:val="0"/>
        <w:autoSpaceDN w:val="0"/>
        <w:adjustRightInd w:val="0"/>
        <w:spacing w:line="480" w:lineRule="exact"/>
        <w:jc w:val="left"/>
        <w:rPr>
          <w:rFonts w:hint="eastAsia" w:ascii="方正仿宋_GBK" w:hAnsi="Times New Roman" w:eastAsia="方正仿宋_GBK" w:cs="Times New Roman"/>
          <w:color w:val="auto"/>
          <w:kern w:val="0"/>
          <w:sz w:val="28"/>
          <w:szCs w:val="28"/>
        </w:rPr>
      </w:pPr>
    </w:p>
    <w:p w14:paraId="3D1C1D82">
      <w:pPr>
        <w:autoSpaceDE w:val="0"/>
        <w:autoSpaceDN w:val="0"/>
        <w:adjustRightInd w:val="0"/>
        <w:spacing w:line="480" w:lineRule="exact"/>
        <w:jc w:val="center"/>
        <w:rPr>
          <w:rFonts w:ascii="方正仿宋_GBK" w:hAnsi="Times New Roman" w:eastAsia="方正仿宋_GBK" w:cs="Times New Roman"/>
          <w:b/>
          <w:color w:val="auto"/>
          <w:kern w:val="0"/>
          <w:sz w:val="28"/>
          <w:szCs w:val="28"/>
        </w:rPr>
      </w:pPr>
      <w:r>
        <w:rPr>
          <w:rFonts w:hint="eastAsia" w:ascii="方正仿宋_GBK" w:hAnsi="Times New Roman" w:eastAsia="方正仿宋_GBK" w:cs="Times New Roman"/>
          <w:b/>
          <w:color w:val="auto"/>
          <w:kern w:val="0"/>
          <w:sz w:val="28"/>
          <w:szCs w:val="28"/>
        </w:rPr>
        <w:t>表二：数智食堂”食堂数智化设备建设要求</w:t>
      </w:r>
    </w:p>
    <w:tbl>
      <w:tblPr>
        <w:tblStyle w:val="59"/>
        <w:tblW w:w="9666" w:type="dxa"/>
        <w:jc w:val="center"/>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Layout w:type="fixed"/>
        <w:tblCellMar>
          <w:top w:w="0" w:type="dxa"/>
          <w:left w:w="108" w:type="dxa"/>
          <w:bottom w:w="0" w:type="dxa"/>
          <w:right w:w="108" w:type="dxa"/>
        </w:tblCellMar>
      </w:tblPr>
      <w:tblGrid>
        <w:gridCol w:w="747"/>
        <w:gridCol w:w="1200"/>
        <w:gridCol w:w="6114"/>
        <w:gridCol w:w="824"/>
        <w:gridCol w:w="781"/>
      </w:tblGrid>
      <w:tr w14:paraId="6B32AF0E">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1232" w:hRule="atLeast"/>
          <w:jc w:val="center"/>
        </w:trPr>
        <w:tc>
          <w:tcPr>
            <w:tcW w:w="9666"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ACB13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w:t>
            </w:r>
            <w:bookmarkStart w:id="196" w:name="OLE_LINK52"/>
            <w:bookmarkStart w:id="197" w:name="OLE_LINK53"/>
            <w:r>
              <w:rPr>
                <w:rFonts w:hint="eastAsia" w:ascii="宋体" w:hAnsi="宋体" w:eastAsia="宋体" w:cs="宋体"/>
                <w:bCs/>
                <w:color w:val="auto"/>
                <w:sz w:val="24"/>
                <w:szCs w:val="24"/>
              </w:rPr>
              <w:t>数智食堂”食堂数智化设备建设要求（包1、包2、包3、包4和包5）</w:t>
            </w:r>
            <w:bookmarkEnd w:id="196"/>
            <w:bookmarkEnd w:id="197"/>
          </w:p>
        </w:tc>
      </w:tr>
      <w:tr w14:paraId="41D3EA49">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1394"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FB350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B6EC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设备名称</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18E8D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产品技术参数</w:t>
            </w:r>
          </w:p>
          <w:p w14:paraId="6C3CC8F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(参数配置及设施设备配置均为最低要求，如有不完备，按采购人要求实施）</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45403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77F2F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r>
      <w:tr w14:paraId="7BA50A5A">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A2399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1</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E7B96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智能人脸晨检门禁</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CA9671">
            <w:pPr>
              <w:keepNext w:val="0"/>
              <w:keepLines w:val="0"/>
              <w:pageBreakBefore w:val="0"/>
              <w:widowControl/>
              <w:numPr>
                <w:ilvl w:val="0"/>
                <w:numId w:val="7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功能描述：</w:t>
            </w:r>
          </w:p>
          <w:p w14:paraId="05461148">
            <w:pPr>
              <w:keepNext w:val="0"/>
              <w:keepLines w:val="0"/>
              <w:pageBreakBefore w:val="0"/>
              <w:widowControl/>
              <w:numPr>
                <w:ilvl w:val="0"/>
                <w:numId w:val="7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实现每日自动晨检，并对晨检数据实时记录、自动存档，确保有效落实从业人员每日健康管理要求；</w:t>
            </w:r>
          </w:p>
          <w:p w14:paraId="1F744F8B">
            <w:pPr>
              <w:keepNext w:val="0"/>
              <w:keepLines w:val="0"/>
              <w:pageBreakBefore w:val="0"/>
              <w:widowControl/>
              <w:numPr>
                <w:ilvl w:val="0"/>
                <w:numId w:val="7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通过人体无感测温、人脸健康证比对、手部检测识别、智能语音提醒，实现每日员工测温晨检；自动生成晨检、出勤记录；同时进行员工健康证状态提醒，节省人工管理成本，降低食堂人员证照风险，同时解决员工出入管控问题；</w:t>
            </w:r>
          </w:p>
          <w:p w14:paraId="6A410854">
            <w:pPr>
              <w:keepNext w:val="0"/>
              <w:keepLines w:val="0"/>
              <w:pageBreakBefore w:val="0"/>
              <w:widowControl/>
              <w:numPr>
                <w:ilvl w:val="0"/>
                <w:numId w:val="7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自动生成晨检台账在手机APP端、电脑后台端可导出记录生成表格打印纸质晨检台账并最少保存2年数据；</w:t>
            </w:r>
          </w:p>
          <w:p w14:paraId="7611185B">
            <w:pPr>
              <w:keepNext w:val="0"/>
              <w:keepLines w:val="0"/>
              <w:pageBreakBefore w:val="0"/>
              <w:widowControl/>
              <w:numPr>
                <w:ilvl w:val="0"/>
                <w:numId w:val="7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设备参数：</w:t>
            </w:r>
          </w:p>
          <w:p w14:paraId="2FA60ED0">
            <w:pPr>
              <w:keepNext w:val="0"/>
              <w:keepLines w:val="0"/>
              <w:pageBreakBefore w:val="0"/>
              <w:widowControl/>
              <w:numPr>
                <w:ilvl w:val="0"/>
                <w:numId w:val="7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显示参数：</w:t>
            </w:r>
          </w:p>
          <w:p w14:paraId="6C6CA6CF">
            <w:pPr>
              <w:keepNext w:val="0"/>
              <w:keepLines w:val="0"/>
              <w:pageBreakBefore w:val="0"/>
              <w:widowControl/>
              <w:numPr>
                <w:ilvl w:val="0"/>
                <w:numId w:val="7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操作系统：Linux操作系统；</w:t>
            </w:r>
          </w:p>
          <w:p w14:paraId="4120A71D">
            <w:pPr>
              <w:keepNext w:val="0"/>
              <w:keepLines w:val="0"/>
              <w:pageBreakBefore w:val="0"/>
              <w:widowControl/>
              <w:numPr>
                <w:ilvl w:val="0"/>
                <w:numId w:val="7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处理器：不低于双核ARMCortex-A7andRISC-VMCU的性能；</w:t>
            </w:r>
          </w:p>
          <w:p w14:paraId="707323E1">
            <w:pPr>
              <w:keepNext w:val="0"/>
              <w:keepLines w:val="0"/>
              <w:pageBreakBefore w:val="0"/>
              <w:widowControl/>
              <w:numPr>
                <w:ilvl w:val="0"/>
                <w:numId w:val="7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摄像头双目：210万有效像素，1920*1080；</w:t>
            </w:r>
          </w:p>
          <w:p w14:paraId="32D69860">
            <w:pPr>
              <w:keepNext w:val="0"/>
              <w:keepLines w:val="0"/>
              <w:pageBreakBefore w:val="0"/>
              <w:widowControl/>
              <w:numPr>
                <w:ilvl w:val="0"/>
                <w:numId w:val="7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成像器件：1/2.8"；</w:t>
            </w:r>
          </w:p>
          <w:p w14:paraId="409F6FBE">
            <w:pPr>
              <w:keepNext w:val="0"/>
              <w:keepLines w:val="0"/>
              <w:pageBreakBefore w:val="0"/>
              <w:widowControl/>
              <w:numPr>
                <w:ilvl w:val="0"/>
                <w:numId w:val="7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镜头：4.5mm焦距；</w:t>
            </w:r>
          </w:p>
          <w:p w14:paraId="16DAC34F">
            <w:pPr>
              <w:keepNext w:val="0"/>
              <w:keepLines w:val="0"/>
              <w:pageBreakBefore w:val="0"/>
              <w:widowControl/>
              <w:numPr>
                <w:ilvl w:val="0"/>
                <w:numId w:val="7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扬声器：语音播放内容可定制；</w:t>
            </w:r>
          </w:p>
          <w:p w14:paraId="360AB3EF">
            <w:pPr>
              <w:keepNext w:val="0"/>
              <w:keepLines w:val="0"/>
              <w:pageBreakBefore w:val="0"/>
              <w:widowControl/>
              <w:numPr>
                <w:ilvl w:val="0"/>
                <w:numId w:val="7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存储：1GB内存+8GBeMMC。</w:t>
            </w:r>
          </w:p>
          <w:p w14:paraId="0C2F780D">
            <w:pPr>
              <w:keepNext w:val="0"/>
              <w:keepLines w:val="0"/>
              <w:pageBreakBefore w:val="0"/>
              <w:widowControl/>
              <w:numPr>
                <w:ilvl w:val="0"/>
                <w:numId w:val="7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性能参数：</w:t>
            </w:r>
          </w:p>
          <w:p w14:paraId="7C7D4D27">
            <w:pPr>
              <w:keepNext w:val="0"/>
              <w:keepLines w:val="0"/>
              <w:pageBreakBefore w:val="0"/>
              <w:widowControl/>
              <w:numPr>
                <w:ilvl w:val="0"/>
                <w:numId w:val="7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识别高度：1.2~2.3米；</w:t>
            </w:r>
          </w:p>
          <w:p w14:paraId="39804DA2">
            <w:pPr>
              <w:keepNext w:val="0"/>
              <w:keepLines w:val="0"/>
              <w:pageBreakBefore w:val="0"/>
              <w:widowControl/>
              <w:numPr>
                <w:ilvl w:val="0"/>
                <w:numId w:val="7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角度可调：识别距离0.5~1.5米，视镜头可变；</w:t>
            </w:r>
          </w:p>
          <w:p w14:paraId="77BAF3EE">
            <w:pPr>
              <w:keepNext w:val="0"/>
              <w:keepLines w:val="0"/>
              <w:pageBreakBefore w:val="0"/>
              <w:widowControl/>
              <w:numPr>
                <w:ilvl w:val="0"/>
                <w:numId w:val="7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人脸角度：左右30度，上下30度；</w:t>
            </w:r>
          </w:p>
          <w:p w14:paraId="16C7AB31">
            <w:pPr>
              <w:keepNext w:val="0"/>
              <w:keepLines w:val="0"/>
              <w:pageBreakBefore w:val="0"/>
              <w:widowControl/>
              <w:numPr>
                <w:ilvl w:val="0"/>
                <w:numId w:val="7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识别时间：小于0.3秒；</w:t>
            </w:r>
          </w:p>
          <w:p w14:paraId="66F85B53">
            <w:pPr>
              <w:keepNext w:val="0"/>
              <w:keepLines w:val="0"/>
              <w:pageBreakBefore w:val="0"/>
              <w:widowControl/>
              <w:numPr>
                <w:ilvl w:val="0"/>
                <w:numId w:val="7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识别记录容量：69000；</w:t>
            </w:r>
          </w:p>
          <w:p w14:paraId="63FDCCC9">
            <w:pPr>
              <w:keepNext w:val="0"/>
              <w:keepLines w:val="0"/>
              <w:pageBreakBefore w:val="0"/>
              <w:widowControl/>
              <w:numPr>
                <w:ilvl w:val="0"/>
                <w:numId w:val="7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人脸容量：24000张；</w:t>
            </w:r>
          </w:p>
          <w:p w14:paraId="04581411">
            <w:pPr>
              <w:keepNext w:val="0"/>
              <w:keepLines w:val="0"/>
              <w:pageBreakBefore w:val="0"/>
              <w:widowControl/>
              <w:numPr>
                <w:ilvl w:val="0"/>
                <w:numId w:val="7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其他参数：</w:t>
            </w:r>
          </w:p>
          <w:p w14:paraId="25F40E12">
            <w:pPr>
              <w:keepNext w:val="0"/>
              <w:keepLines w:val="0"/>
              <w:pageBreakBefore w:val="0"/>
              <w:widowControl/>
              <w:numPr>
                <w:ilvl w:val="0"/>
                <w:numId w:val="7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工作温度：-20℃-60℃（测温环境温度：+16℃-+40℃）；</w:t>
            </w:r>
          </w:p>
          <w:p w14:paraId="0CC4CD50">
            <w:pPr>
              <w:keepNext w:val="0"/>
              <w:keepLines w:val="0"/>
              <w:pageBreakBefore w:val="0"/>
              <w:widowControl/>
              <w:numPr>
                <w:ilvl w:val="0"/>
                <w:numId w:val="7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工作湿度：0%～90%相对湿度，无冷凝；</w:t>
            </w:r>
          </w:p>
          <w:p w14:paraId="093964EA">
            <w:pPr>
              <w:keepNext w:val="0"/>
              <w:keepLines w:val="0"/>
              <w:pageBreakBefore w:val="0"/>
              <w:widowControl/>
              <w:numPr>
                <w:ilvl w:val="0"/>
                <w:numId w:val="7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设备功率：20W(MAX)；</w:t>
            </w:r>
          </w:p>
          <w:p w14:paraId="092470F0">
            <w:pPr>
              <w:keepNext w:val="0"/>
              <w:keepLines w:val="0"/>
              <w:pageBreakBefore w:val="0"/>
              <w:widowControl/>
              <w:numPr>
                <w:ilvl w:val="0"/>
                <w:numId w:val="7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盐雾等级：Rp6级以上；</w:t>
            </w:r>
          </w:p>
          <w:p w14:paraId="08935FCE">
            <w:pPr>
              <w:keepNext w:val="0"/>
              <w:keepLines w:val="0"/>
              <w:pageBreakBefore w:val="0"/>
              <w:widowControl/>
              <w:numPr>
                <w:ilvl w:val="0"/>
                <w:numId w:val="7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ESD：接触±6KV，空气±8KV；</w:t>
            </w:r>
          </w:p>
          <w:p w14:paraId="4D6C5600">
            <w:pPr>
              <w:keepNext w:val="0"/>
              <w:keepLines w:val="0"/>
              <w:pageBreakBefore w:val="0"/>
              <w:widowControl/>
              <w:numPr>
                <w:ilvl w:val="0"/>
                <w:numId w:val="7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供电：DC12V/2A；</w:t>
            </w:r>
          </w:p>
          <w:p w14:paraId="0D1FC756">
            <w:pPr>
              <w:keepNext w:val="0"/>
              <w:keepLines w:val="0"/>
              <w:pageBreakBefore w:val="0"/>
              <w:widowControl/>
              <w:numPr>
                <w:ilvl w:val="0"/>
                <w:numId w:val="7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防护等级：IP42；</w:t>
            </w:r>
          </w:p>
          <w:p w14:paraId="6EF38CBC">
            <w:pPr>
              <w:keepNext w:val="0"/>
              <w:keepLines w:val="0"/>
              <w:pageBreakBefore w:val="0"/>
              <w:widowControl/>
              <w:numPr>
                <w:ilvl w:val="0"/>
                <w:numId w:val="7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屏幕规格：8寸高清IPS屏，分辨率1280*800；</w:t>
            </w:r>
          </w:p>
          <w:p w14:paraId="03AFA66E">
            <w:pPr>
              <w:keepNext w:val="0"/>
              <w:keepLines w:val="0"/>
              <w:pageBreakBefore w:val="0"/>
              <w:widowControl/>
              <w:numPr>
                <w:ilvl w:val="0"/>
                <w:numId w:val="7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设备尺寸：不低于261.97（长）*133（宽）*87.34（厚）mm；</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2A34E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561EB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5B842092">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C9CE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2</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A01F6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离人监管预警</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152994">
            <w:pPr>
              <w:keepNext w:val="0"/>
              <w:keepLines w:val="0"/>
              <w:pageBreakBefore w:val="0"/>
              <w:widowControl/>
              <w:numPr>
                <w:ilvl w:val="0"/>
                <w:numId w:val="8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功能描述：</w:t>
            </w:r>
          </w:p>
          <w:p w14:paraId="6DA53724">
            <w:pPr>
              <w:keepNext w:val="0"/>
              <w:keepLines w:val="0"/>
              <w:pageBreakBefore w:val="0"/>
              <w:widowControl/>
              <w:numPr>
                <w:ilvl w:val="0"/>
                <w:numId w:val="8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识别灶台中心温度和区域人员侦测，如灶台温度超过150度人员离开30秒即刻现场报警，同时摄像头拍照记录现场情况并上传数据；</w:t>
            </w:r>
          </w:p>
          <w:p w14:paraId="1D583FDB">
            <w:pPr>
              <w:keepNext w:val="0"/>
              <w:keepLines w:val="0"/>
              <w:pageBreakBefore w:val="0"/>
              <w:widowControl/>
              <w:numPr>
                <w:ilvl w:val="0"/>
                <w:numId w:val="8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温度和人员离开时间可自定义设置；</w:t>
            </w:r>
          </w:p>
          <w:p w14:paraId="123ECB7D">
            <w:pPr>
              <w:keepNext w:val="0"/>
              <w:keepLines w:val="0"/>
              <w:pageBreakBefore w:val="0"/>
              <w:widowControl/>
              <w:numPr>
                <w:ilvl w:val="0"/>
                <w:numId w:val="8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摄像头支持定制语音报警；</w:t>
            </w:r>
          </w:p>
          <w:p w14:paraId="05980216">
            <w:pPr>
              <w:keepNext w:val="0"/>
              <w:keepLines w:val="0"/>
              <w:pageBreakBefore w:val="0"/>
              <w:widowControl/>
              <w:numPr>
                <w:ilvl w:val="0"/>
                <w:numId w:val="8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摄像头支持联动声光报警装置；</w:t>
            </w:r>
          </w:p>
          <w:p w14:paraId="02848229">
            <w:pPr>
              <w:keepNext w:val="0"/>
              <w:keepLines w:val="0"/>
              <w:pageBreakBefore w:val="0"/>
              <w:widowControl/>
              <w:numPr>
                <w:ilvl w:val="0"/>
                <w:numId w:val="8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设备参数：</w:t>
            </w:r>
          </w:p>
          <w:p w14:paraId="38BD4D2B">
            <w:pPr>
              <w:keepNext w:val="0"/>
              <w:keepLines w:val="0"/>
              <w:pageBreakBefore w:val="0"/>
              <w:widowControl/>
              <w:numPr>
                <w:ilvl w:val="0"/>
                <w:numId w:val="8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基本参数：</w:t>
            </w:r>
          </w:p>
          <w:p w14:paraId="7F20DC2E">
            <w:pPr>
              <w:keepNext w:val="0"/>
              <w:keepLines w:val="0"/>
              <w:pageBreakBefore w:val="0"/>
              <w:widowControl/>
              <w:numPr>
                <w:ilvl w:val="0"/>
                <w:numId w:val="8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主板：算力不低于1.0Tops，内存不低于512MB，闪存不低于8GBEMMC；</w:t>
            </w:r>
          </w:p>
          <w:p w14:paraId="745A26A9">
            <w:pPr>
              <w:keepNext w:val="0"/>
              <w:keepLines w:val="0"/>
              <w:pageBreakBefore w:val="0"/>
              <w:widowControl/>
              <w:numPr>
                <w:ilvl w:val="0"/>
                <w:numId w:val="8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探测器类型：氧化钒非制冷红外焦平面探测器；</w:t>
            </w:r>
          </w:p>
          <w:p w14:paraId="1D45D469">
            <w:pPr>
              <w:keepNext w:val="0"/>
              <w:keepLines w:val="0"/>
              <w:pageBreakBefore w:val="0"/>
              <w:widowControl/>
              <w:numPr>
                <w:ilvl w:val="0"/>
                <w:numId w:val="8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成像器件：400万像素1/3CMOS，F1.6光圈，超低照度，星光级；</w:t>
            </w:r>
          </w:p>
          <w:p w14:paraId="292213CD">
            <w:pPr>
              <w:keepNext w:val="0"/>
              <w:keepLines w:val="0"/>
              <w:pageBreakBefore w:val="0"/>
              <w:widowControl/>
              <w:numPr>
                <w:ilvl w:val="0"/>
                <w:numId w:val="8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有效像素：4MP有效像素（2560*1440）；</w:t>
            </w:r>
          </w:p>
          <w:p w14:paraId="5D8EE90A">
            <w:pPr>
              <w:keepNext w:val="0"/>
              <w:keepLines w:val="0"/>
              <w:pageBreakBefore w:val="0"/>
              <w:widowControl/>
              <w:numPr>
                <w:ilvl w:val="0"/>
                <w:numId w:val="8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镜头类型：定焦；</w:t>
            </w:r>
          </w:p>
          <w:p w14:paraId="29F38891">
            <w:pPr>
              <w:keepNext w:val="0"/>
              <w:keepLines w:val="0"/>
              <w:pageBreakBefore w:val="0"/>
              <w:widowControl/>
              <w:numPr>
                <w:ilvl w:val="0"/>
                <w:numId w:val="8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焦距：6mm；</w:t>
            </w:r>
          </w:p>
          <w:p w14:paraId="44E8C403">
            <w:pPr>
              <w:keepNext w:val="0"/>
              <w:keepLines w:val="0"/>
              <w:pageBreakBefore w:val="0"/>
              <w:widowControl/>
              <w:numPr>
                <w:ilvl w:val="0"/>
                <w:numId w:val="8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补光：IR*4，白光LED*4；</w:t>
            </w:r>
          </w:p>
          <w:p w14:paraId="0E48956D">
            <w:pPr>
              <w:keepNext w:val="0"/>
              <w:keepLines w:val="0"/>
              <w:pageBreakBefore w:val="0"/>
              <w:widowControl/>
              <w:numPr>
                <w:ilvl w:val="0"/>
                <w:numId w:val="8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光谱范围：8-14μm；</w:t>
            </w:r>
          </w:p>
          <w:p w14:paraId="0B8586DB">
            <w:pPr>
              <w:keepNext w:val="0"/>
              <w:keepLines w:val="0"/>
              <w:pageBreakBefore w:val="0"/>
              <w:widowControl/>
              <w:numPr>
                <w:ilvl w:val="0"/>
                <w:numId w:val="8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原始分辨率：256×192；</w:t>
            </w:r>
          </w:p>
          <w:p w14:paraId="7ACEFA3F">
            <w:pPr>
              <w:keepNext w:val="0"/>
              <w:keepLines w:val="0"/>
              <w:pageBreakBefore w:val="0"/>
              <w:widowControl/>
              <w:numPr>
                <w:ilvl w:val="0"/>
                <w:numId w:val="8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功能参数：</w:t>
            </w:r>
          </w:p>
          <w:p w14:paraId="1691488B">
            <w:pPr>
              <w:keepNext w:val="0"/>
              <w:keepLines w:val="0"/>
              <w:pageBreakBefore w:val="0"/>
              <w:widowControl/>
              <w:numPr>
                <w:ilvl w:val="0"/>
                <w:numId w:val="8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实时高温检测：实时全屏测温，最高温、最低温、平均温；</w:t>
            </w:r>
          </w:p>
          <w:p w14:paraId="16432CAD">
            <w:pPr>
              <w:keepNext w:val="0"/>
              <w:keepLines w:val="0"/>
              <w:pageBreakBefore w:val="0"/>
              <w:widowControl/>
              <w:numPr>
                <w:ilvl w:val="0"/>
                <w:numId w:val="8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自定义测温绘制：支持自定义20个点、线、面和区域测温，区间测温对比；</w:t>
            </w:r>
          </w:p>
          <w:p w14:paraId="166F60F3">
            <w:pPr>
              <w:keepNext w:val="0"/>
              <w:keepLines w:val="0"/>
              <w:pageBreakBefore w:val="0"/>
              <w:widowControl/>
              <w:numPr>
                <w:ilvl w:val="0"/>
                <w:numId w:val="8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高温报警：高温异常语音报警、白光灯报警；</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4FC4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B028E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48BD9855">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A0970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3</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17F05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智能AI留样秤</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111100">
            <w:pPr>
              <w:keepNext w:val="0"/>
              <w:keepLines w:val="0"/>
              <w:pageBreakBefore w:val="0"/>
              <w:widowControl/>
              <w:numPr>
                <w:ilvl w:val="0"/>
                <w:numId w:val="8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功能描述：</w:t>
            </w:r>
          </w:p>
          <w:p w14:paraId="6DA67A8A">
            <w:pPr>
              <w:keepNext w:val="0"/>
              <w:keepLines w:val="0"/>
              <w:pageBreakBefore w:val="0"/>
              <w:widowControl/>
              <w:numPr>
                <w:ilvl w:val="0"/>
                <w:numId w:val="8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实现智能AI菜品名称自动识别功能，同时拍照系统留存保证留样真实性并称重显示克重，如克重不满足条件不允许打印标签留样；</w:t>
            </w:r>
          </w:p>
          <w:p w14:paraId="0A5B4AAF">
            <w:pPr>
              <w:keepNext w:val="0"/>
              <w:keepLines w:val="0"/>
              <w:pageBreakBefore w:val="0"/>
              <w:widowControl/>
              <w:numPr>
                <w:ilvl w:val="0"/>
                <w:numId w:val="8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实现留样标签自动生成打印展示留样菜品名称、克重、档口名称、留样员、留样时间；</w:t>
            </w:r>
          </w:p>
          <w:p w14:paraId="3E50C261">
            <w:pPr>
              <w:keepNext w:val="0"/>
              <w:keepLines w:val="0"/>
              <w:pageBreakBefore w:val="0"/>
              <w:widowControl/>
              <w:numPr>
                <w:ilvl w:val="0"/>
                <w:numId w:val="86"/>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自动生成留样台账在手机APP端、电脑后台端可导出记录生成表格打印纸质留样台账并最少保存2年数据；</w:t>
            </w:r>
          </w:p>
          <w:p w14:paraId="309F4359">
            <w:pPr>
              <w:keepNext w:val="0"/>
              <w:keepLines w:val="0"/>
              <w:pageBreakBefore w:val="0"/>
              <w:widowControl/>
              <w:numPr>
                <w:ilvl w:val="0"/>
                <w:numId w:val="8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设备参数：</w:t>
            </w:r>
          </w:p>
          <w:p w14:paraId="6E2CAB5E">
            <w:pPr>
              <w:keepNext w:val="0"/>
              <w:keepLines w:val="0"/>
              <w:pageBreakBefore w:val="0"/>
              <w:widowControl/>
              <w:numPr>
                <w:ilvl w:val="0"/>
                <w:numId w:val="8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基本参数：</w:t>
            </w:r>
          </w:p>
          <w:p w14:paraId="6CD38A99">
            <w:pPr>
              <w:keepNext w:val="0"/>
              <w:keepLines w:val="0"/>
              <w:pageBreakBefore w:val="0"/>
              <w:widowControl/>
              <w:numPr>
                <w:ilvl w:val="0"/>
                <w:numId w:val="8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摄像头：800万或以上摄像头带补光灯；</w:t>
            </w:r>
          </w:p>
          <w:p w14:paraId="62690B72">
            <w:pPr>
              <w:keepNext w:val="0"/>
              <w:keepLines w:val="0"/>
              <w:pageBreakBefore w:val="0"/>
              <w:widowControl/>
              <w:numPr>
                <w:ilvl w:val="0"/>
                <w:numId w:val="8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摄像头像素：800万USB摄像头，分辨率3246*2448；</w:t>
            </w:r>
          </w:p>
          <w:p w14:paraId="2FAF46B8">
            <w:pPr>
              <w:keepNext w:val="0"/>
              <w:keepLines w:val="0"/>
              <w:pageBreakBefore w:val="0"/>
              <w:widowControl/>
              <w:numPr>
                <w:ilvl w:val="0"/>
                <w:numId w:val="88"/>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主屏15.6寸1920*1080分辨率，液晶带电容触控屏；</w:t>
            </w:r>
          </w:p>
          <w:p w14:paraId="0943ED7F">
            <w:pPr>
              <w:keepNext w:val="0"/>
              <w:keepLines w:val="0"/>
              <w:pageBreakBefore w:val="0"/>
              <w:widowControl/>
              <w:numPr>
                <w:ilvl w:val="0"/>
                <w:numId w:val="8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性能参数：</w:t>
            </w:r>
          </w:p>
          <w:p w14:paraId="07988854">
            <w:pPr>
              <w:keepNext w:val="0"/>
              <w:keepLines w:val="0"/>
              <w:pageBreakBefore w:val="0"/>
              <w:widowControl/>
              <w:numPr>
                <w:ilvl w:val="0"/>
                <w:numId w:val="8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主机内核：不低于四核64位A55处理器2.0GHz、2GB内存+32GBEMMCWIFI的性能；</w:t>
            </w:r>
          </w:p>
          <w:p w14:paraId="611711FB">
            <w:pPr>
              <w:keepNext w:val="0"/>
              <w:keepLines w:val="0"/>
              <w:pageBreakBefore w:val="0"/>
              <w:widowControl/>
              <w:numPr>
                <w:ilvl w:val="0"/>
                <w:numId w:val="8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操作系统：Android；</w:t>
            </w:r>
          </w:p>
          <w:p w14:paraId="1F8C4A00">
            <w:pPr>
              <w:keepNext w:val="0"/>
              <w:keepLines w:val="0"/>
              <w:pageBreakBefore w:val="0"/>
              <w:widowControl/>
              <w:numPr>
                <w:ilvl w:val="0"/>
                <w:numId w:val="8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功能参数：</w:t>
            </w:r>
          </w:p>
          <w:p w14:paraId="74EAB992">
            <w:pPr>
              <w:keepNext w:val="0"/>
              <w:keepLines w:val="0"/>
              <w:pageBreakBefore w:val="0"/>
              <w:widowControl/>
              <w:numPr>
                <w:ilvl w:val="0"/>
                <w:numId w:val="9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最大量程：Max=15kg；</w:t>
            </w:r>
          </w:p>
          <w:p w14:paraId="40C237F0">
            <w:pPr>
              <w:keepNext w:val="0"/>
              <w:keepLines w:val="0"/>
              <w:pageBreakBefore w:val="0"/>
              <w:widowControl/>
              <w:numPr>
                <w:ilvl w:val="0"/>
                <w:numId w:val="9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分度数：3000；</w:t>
            </w:r>
          </w:p>
          <w:p w14:paraId="15CD0791">
            <w:pPr>
              <w:keepNext w:val="0"/>
              <w:keepLines w:val="0"/>
              <w:pageBreakBefore w:val="0"/>
              <w:widowControl/>
              <w:numPr>
                <w:ilvl w:val="0"/>
                <w:numId w:val="9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分度值：5g；</w:t>
            </w:r>
          </w:p>
          <w:p w14:paraId="3B8D2EB0">
            <w:pPr>
              <w:keepNext w:val="0"/>
              <w:keepLines w:val="0"/>
              <w:pageBreakBefore w:val="0"/>
              <w:widowControl/>
              <w:numPr>
                <w:ilvl w:val="0"/>
                <w:numId w:val="9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最小称量：100g；</w:t>
            </w:r>
          </w:p>
          <w:p w14:paraId="2E41CF0B">
            <w:pPr>
              <w:keepNext w:val="0"/>
              <w:keepLines w:val="0"/>
              <w:pageBreakBefore w:val="0"/>
              <w:widowControl/>
              <w:numPr>
                <w:ilvl w:val="0"/>
                <w:numId w:val="8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其他参数:</w:t>
            </w:r>
          </w:p>
          <w:p w14:paraId="529BECFC">
            <w:pPr>
              <w:keepNext w:val="0"/>
              <w:keepLines w:val="0"/>
              <w:pageBreakBefore w:val="0"/>
              <w:widowControl/>
              <w:numPr>
                <w:ilvl w:val="0"/>
                <w:numId w:val="9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计重秤显：62mm*8mm可视LED5位重量显示RS232串口通讯；</w:t>
            </w:r>
          </w:p>
          <w:p w14:paraId="27D65B1B">
            <w:pPr>
              <w:keepNext w:val="0"/>
              <w:keepLines w:val="0"/>
              <w:pageBreakBefore w:val="0"/>
              <w:widowControl/>
              <w:numPr>
                <w:ilvl w:val="0"/>
                <w:numId w:val="9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四按键：秤体开关、设置、置零、去皮；</w:t>
            </w:r>
          </w:p>
          <w:p w14:paraId="436BCBC8">
            <w:pPr>
              <w:keepNext w:val="0"/>
              <w:keepLines w:val="0"/>
              <w:pageBreakBefore w:val="0"/>
              <w:widowControl/>
              <w:numPr>
                <w:ilvl w:val="0"/>
                <w:numId w:val="9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内置打印机：内置58mm以下宽度标签打印；</w:t>
            </w:r>
          </w:p>
          <w:p w14:paraId="0F3659AB">
            <w:pPr>
              <w:keepNext w:val="0"/>
              <w:keepLines w:val="0"/>
              <w:pageBreakBefore w:val="0"/>
              <w:widowControl/>
              <w:numPr>
                <w:ilvl w:val="0"/>
                <w:numId w:val="9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打印留样票据支持自定义格式，可更改留样票据上的各个类目；</w:t>
            </w:r>
          </w:p>
          <w:p w14:paraId="16B8D123">
            <w:pPr>
              <w:keepNext w:val="0"/>
              <w:keepLines w:val="0"/>
              <w:pageBreakBefore w:val="0"/>
              <w:widowControl/>
              <w:numPr>
                <w:ilvl w:val="0"/>
                <w:numId w:val="9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可在一个画面下0.5秒内同时识别10个菜品目标。</w:t>
            </w:r>
          </w:p>
          <w:p w14:paraId="511F1F39">
            <w:pPr>
              <w:keepNext w:val="0"/>
              <w:keepLines w:val="0"/>
              <w:pageBreakBefore w:val="0"/>
              <w:widowControl/>
              <w:numPr>
                <w:ilvl w:val="0"/>
                <w:numId w:val="9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支持同时检测多个样品，还具备去皮功能，能够精确计算每个菜品的净重，实现高效的重量管理和分析。</w:t>
            </w:r>
          </w:p>
          <w:p w14:paraId="6A354EB3">
            <w:pPr>
              <w:keepNext w:val="0"/>
              <w:keepLines w:val="0"/>
              <w:pageBreakBefore w:val="0"/>
              <w:widowControl/>
              <w:numPr>
                <w:ilvl w:val="0"/>
                <w:numId w:val="9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单机留存菜品库标准比对图片2000张以上。</w:t>
            </w:r>
          </w:p>
          <w:p w14:paraId="39CFE134">
            <w:pPr>
              <w:keepNext w:val="0"/>
              <w:keepLines w:val="0"/>
              <w:pageBreakBefore w:val="0"/>
              <w:widowControl/>
              <w:numPr>
                <w:ilvl w:val="0"/>
                <w:numId w:val="9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打印留样票据支持自定义格式，可更改留样票据上的各个类目。</w:t>
            </w:r>
          </w:p>
          <w:p w14:paraId="10ADD63F">
            <w:pPr>
              <w:keepNext w:val="0"/>
              <w:keepLines w:val="0"/>
              <w:pageBreakBefore w:val="0"/>
              <w:widowControl/>
              <w:numPr>
                <w:ilvl w:val="0"/>
                <w:numId w:val="9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留样台账支持自动生成，且保持5年以上。</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6A94A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ECBB6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258FDFBB">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31572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4</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E257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仓库物联监管套装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C8020C">
            <w:pPr>
              <w:keepNext w:val="0"/>
              <w:keepLines w:val="0"/>
              <w:pageBreakBefore w:val="0"/>
              <w:widowControl/>
              <w:numPr>
                <w:ilvl w:val="0"/>
                <w:numId w:val="9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功能描述：</w:t>
            </w:r>
          </w:p>
          <w:p w14:paraId="6F07E43B">
            <w:pPr>
              <w:keepNext w:val="0"/>
              <w:keepLines w:val="0"/>
              <w:pageBreakBefore w:val="0"/>
              <w:widowControl/>
              <w:numPr>
                <w:ilvl w:val="0"/>
                <w:numId w:val="9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挡鼠板未闭合超过预设时间可声光报警；</w:t>
            </w:r>
          </w:p>
          <w:p w14:paraId="019D5124">
            <w:pPr>
              <w:keepNext w:val="0"/>
              <w:keepLines w:val="0"/>
              <w:pageBreakBefore w:val="0"/>
              <w:widowControl/>
              <w:numPr>
                <w:ilvl w:val="0"/>
                <w:numId w:val="9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食材隔墙离地未规范达标，红外感应装置现场声光报警；</w:t>
            </w:r>
          </w:p>
          <w:p w14:paraId="7E6D8733">
            <w:pPr>
              <w:keepNext w:val="0"/>
              <w:keepLines w:val="0"/>
              <w:pageBreakBefore w:val="0"/>
              <w:widowControl/>
              <w:numPr>
                <w:ilvl w:val="0"/>
                <w:numId w:val="9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仓库温湿度超标现场声光报警；</w:t>
            </w:r>
          </w:p>
          <w:p w14:paraId="1F77AD8A">
            <w:pPr>
              <w:keepNext w:val="0"/>
              <w:keepLines w:val="0"/>
              <w:pageBreakBefore w:val="0"/>
              <w:widowControl/>
              <w:numPr>
                <w:ilvl w:val="0"/>
                <w:numId w:val="9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支持后台查看仓库设备状态数据、物联预警事件数据；</w:t>
            </w:r>
          </w:p>
          <w:p w14:paraId="78AF98FD">
            <w:pPr>
              <w:keepNext w:val="0"/>
              <w:keepLines w:val="0"/>
              <w:pageBreakBefore w:val="0"/>
              <w:widowControl/>
              <w:numPr>
                <w:ilvl w:val="0"/>
                <w:numId w:val="9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各类设备状态或报警数据可在大屏端显示；</w:t>
            </w:r>
          </w:p>
          <w:p w14:paraId="234CA761">
            <w:pPr>
              <w:keepNext w:val="0"/>
              <w:keepLines w:val="0"/>
              <w:pageBreakBefore w:val="0"/>
              <w:widowControl/>
              <w:numPr>
                <w:ilvl w:val="0"/>
                <w:numId w:val="9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物联中控屏设备参数：</w:t>
            </w:r>
          </w:p>
          <w:p w14:paraId="1DCDBAA6">
            <w:pPr>
              <w:keepNext w:val="0"/>
              <w:keepLines w:val="0"/>
              <w:pageBreakBefore w:val="0"/>
              <w:numPr>
                <w:ilvl w:val="0"/>
                <w:numId w:val="94"/>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68442C6D">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外壳：前置钢化玻璃+塑胶外壳；</w:t>
            </w:r>
          </w:p>
          <w:p w14:paraId="74EECAB7">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保护面板：钢化玻璃；</w:t>
            </w:r>
          </w:p>
          <w:p w14:paraId="2337B64A">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尺寸：不低于10.1寸；</w:t>
            </w:r>
          </w:p>
          <w:p w14:paraId="3B766D74">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屏幕比例：16:9；</w:t>
            </w:r>
          </w:p>
          <w:p w14:paraId="1AD95118">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摄像头像素：100W；</w:t>
            </w:r>
          </w:p>
          <w:p w14:paraId="17E133A8">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像素间距：0.17925×0.17925mm；</w:t>
            </w:r>
          </w:p>
          <w:p w14:paraId="2971B023">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亮度：350cd/m²可视角度85/85/85/85（左/右/上/下)；</w:t>
            </w:r>
          </w:p>
          <w:p w14:paraId="59A58ED8">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对比度：1000:1；</w:t>
            </w:r>
          </w:p>
          <w:p w14:paraId="49E70469">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颜色数：16.7M；</w:t>
            </w:r>
          </w:p>
          <w:p w14:paraId="7518CAD8">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灯管寿命：超过50000小时；</w:t>
            </w:r>
          </w:p>
          <w:p w14:paraId="6D0113F7">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操作系统：Android7.1.2；</w:t>
            </w:r>
          </w:p>
          <w:p w14:paraId="21F7FF39">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CPU：RK3288，四核；</w:t>
            </w:r>
          </w:p>
          <w:p w14:paraId="10960CDB">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CPU主频：1.8GHz；</w:t>
            </w:r>
          </w:p>
          <w:p w14:paraId="00174B9C">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内存：DDR32G；</w:t>
            </w:r>
          </w:p>
          <w:p w14:paraId="735092E3">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内置存储容量：EMMC8G；</w:t>
            </w:r>
          </w:p>
          <w:p w14:paraId="6B785D90">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喇叭：8Ω2W；</w:t>
            </w:r>
          </w:p>
          <w:p w14:paraId="04E0CECD">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网络：支持WiFi、BT；</w:t>
            </w:r>
          </w:p>
          <w:p w14:paraId="2B2D4A97">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接口：I/O:2*USB，可扩展2*USB；</w:t>
            </w:r>
          </w:p>
          <w:p w14:paraId="6EF61E7C">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工作环境温度：0～50摄氏度；</w:t>
            </w:r>
          </w:p>
          <w:p w14:paraId="6DB5BABD">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触摸精度：±2mm；</w:t>
            </w:r>
          </w:p>
          <w:p w14:paraId="0B5D7EA5">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响应时间：25ms~30ms；</w:t>
            </w:r>
          </w:p>
          <w:p w14:paraId="0F354770">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可识别物体：手指或者专用触摸笔；</w:t>
            </w:r>
          </w:p>
          <w:p w14:paraId="242D9C51">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透明度：≥85％±2％；</w:t>
            </w:r>
          </w:p>
          <w:p w14:paraId="1216B836">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温度范围：工作温度：-10℃~60℃；</w:t>
            </w:r>
          </w:p>
          <w:p w14:paraId="36218423">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供电方式：外置12V/2A适配器；</w:t>
            </w:r>
          </w:p>
          <w:p w14:paraId="59C9802D">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整机功率：15W；</w:t>
            </w:r>
          </w:p>
          <w:p w14:paraId="4AE553B2">
            <w:pPr>
              <w:keepNext w:val="0"/>
              <w:keepLines w:val="0"/>
              <w:pageBreakBefore w:val="0"/>
              <w:widowControl/>
              <w:numPr>
                <w:ilvl w:val="0"/>
                <w:numId w:val="9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安装方式：壁挂式；</w:t>
            </w:r>
          </w:p>
          <w:p w14:paraId="334BDD3B">
            <w:pPr>
              <w:keepNext w:val="0"/>
              <w:keepLines w:val="0"/>
              <w:pageBreakBefore w:val="0"/>
              <w:widowControl/>
              <w:numPr>
                <w:ilvl w:val="0"/>
                <w:numId w:val="9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IO通讯模块设备参数：</w:t>
            </w:r>
          </w:p>
          <w:p w14:paraId="07C4849A">
            <w:pPr>
              <w:keepNext w:val="0"/>
              <w:keepLines w:val="0"/>
              <w:pageBreakBefore w:val="0"/>
              <w:numPr>
                <w:ilvl w:val="0"/>
                <w:numId w:val="9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392A7CA0">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4路继电器控制输出，触点容量250VAC10A/DC30V10A；</w:t>
            </w:r>
          </w:p>
          <w:p w14:paraId="2716755F">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4路数字量输入，隔离输入，抗浪涌等级1500V，有源无源均支持；</w:t>
            </w:r>
          </w:p>
          <w:p w14:paraId="2B0A094B">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1路RS485接口，支持连接485接口Modbus协议仪表或传感器；</w:t>
            </w:r>
          </w:p>
          <w:p w14:paraId="1757D281">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以太网通讯接口，10/100M自适应；</w:t>
            </w:r>
          </w:p>
          <w:p w14:paraId="5E03C1CE">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支持MQTT通讯，参数可配置；</w:t>
            </w:r>
          </w:p>
          <w:p w14:paraId="057354E0">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通信波特率，bps：1200～115200bps；</w:t>
            </w:r>
          </w:p>
          <w:p w14:paraId="2FDFB3C2">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通信协议ModbusTCP；</w:t>
            </w:r>
          </w:p>
          <w:p w14:paraId="08076945">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工作电压范围DC7-40V宽压；静态工作电流≤100ma；支持定点/星期/时段控制，可设置定时规则不少于100条；</w:t>
            </w:r>
          </w:p>
          <w:p w14:paraId="6DB5DC6A">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支持自定义设置四路继电器输出之间互锁联动；规则不少于70条；</w:t>
            </w:r>
          </w:p>
          <w:p w14:paraId="2F08ED86">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支持数字量输入联动控制输出，可一路输入联动多路输出，也可多路输入联动一路输出；规则不少于70条；</w:t>
            </w:r>
          </w:p>
          <w:p w14:paraId="191B4CCE">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支持自定义传感器上下限，区间阈值联动控制一路或多路输出；规则不少于70条；</w:t>
            </w:r>
          </w:p>
          <w:p w14:paraId="0D403E75">
            <w:pPr>
              <w:keepNext w:val="0"/>
              <w:keepLines w:val="0"/>
              <w:pageBreakBefore w:val="0"/>
              <w:widowControl/>
              <w:numPr>
                <w:ilvl w:val="0"/>
                <w:numId w:val="9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工作环境温度-40～80℃，环境湿度为0～95%无凝露；</w:t>
            </w:r>
          </w:p>
          <w:p w14:paraId="337901D0">
            <w:pPr>
              <w:keepNext w:val="0"/>
              <w:keepLines w:val="0"/>
              <w:pageBreakBefore w:val="0"/>
              <w:widowControl/>
              <w:numPr>
                <w:ilvl w:val="0"/>
                <w:numId w:val="9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温湿度探测器（485版）设备参数：</w:t>
            </w:r>
          </w:p>
          <w:p w14:paraId="3992C82B">
            <w:pPr>
              <w:keepNext w:val="0"/>
              <w:keepLines w:val="0"/>
              <w:pageBreakBefore w:val="0"/>
              <w:numPr>
                <w:ilvl w:val="0"/>
                <w:numId w:val="9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468AD391">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精度湿度：±3%RH(60%RH，25℃)；</w:t>
            </w:r>
          </w:p>
          <w:p w14:paraId="249372A7">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温度：±0.5℃（25℃）；</w:t>
            </w:r>
          </w:p>
          <w:p w14:paraId="1BC9D2F5">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探测器电路工作温度：-40℃~+60℃，0%RH~80%RH；</w:t>
            </w:r>
          </w:p>
          <w:p w14:paraId="39C52560">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探头工作温度：-40℃~+120℃，默认-40℃~+80℃；</w:t>
            </w:r>
          </w:p>
          <w:p w14:paraId="3885D58A">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探头工作湿度：0%RH-100%RH；</w:t>
            </w:r>
          </w:p>
          <w:p w14:paraId="7C00424B">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温度显示分辨率：0.1℃；</w:t>
            </w:r>
          </w:p>
          <w:p w14:paraId="062804C2">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湿度显示分辨率：0.1%RH；</w:t>
            </w:r>
          </w:p>
          <w:p w14:paraId="0DC7EEC7">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温湿度刷新时间：1S；</w:t>
            </w:r>
          </w:p>
          <w:p w14:paraId="249E11EC">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直流供电（默认）：DC10-30V；</w:t>
            </w:r>
          </w:p>
          <w:p w14:paraId="4E35C818">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最大功耗：0.1W；</w:t>
            </w:r>
          </w:p>
          <w:p w14:paraId="743DC86B">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输出信号：485(Modbus协议）；</w:t>
            </w:r>
          </w:p>
          <w:p w14:paraId="7E8E8012">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安装方式：壁挂式；</w:t>
            </w:r>
          </w:p>
          <w:p w14:paraId="3CE4DDE8">
            <w:pPr>
              <w:keepNext w:val="0"/>
              <w:keepLines w:val="0"/>
              <w:pageBreakBefore w:val="0"/>
              <w:widowControl/>
              <w:numPr>
                <w:ilvl w:val="0"/>
                <w:numId w:val="99"/>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尺寸：不低于110×85×44mm；</w:t>
            </w:r>
          </w:p>
          <w:p w14:paraId="45734E0E">
            <w:pPr>
              <w:keepNext w:val="0"/>
              <w:keepLines w:val="0"/>
              <w:pageBreakBefore w:val="0"/>
              <w:widowControl/>
              <w:numPr>
                <w:ilvl w:val="0"/>
                <w:numId w:val="9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挡鼠板门磁设备参数：</w:t>
            </w:r>
          </w:p>
          <w:p w14:paraId="7DE6FC88">
            <w:pPr>
              <w:keepNext w:val="0"/>
              <w:keepLines w:val="0"/>
              <w:pageBreakBefore w:val="0"/>
              <w:numPr>
                <w:ilvl w:val="0"/>
                <w:numId w:val="100"/>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4B3F2599">
            <w:pPr>
              <w:keepNext w:val="0"/>
              <w:keepLines w:val="0"/>
              <w:pageBreakBefore w:val="0"/>
              <w:widowControl/>
              <w:numPr>
                <w:ilvl w:val="0"/>
                <w:numId w:val="10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感应距离：25-35MM；</w:t>
            </w:r>
          </w:p>
          <w:p w14:paraId="04AAAA57">
            <w:pPr>
              <w:keepNext w:val="0"/>
              <w:keepLines w:val="0"/>
              <w:pageBreakBefore w:val="0"/>
              <w:widowControl/>
              <w:numPr>
                <w:ilvl w:val="0"/>
                <w:numId w:val="10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孔距离：33MM；</w:t>
            </w:r>
          </w:p>
          <w:p w14:paraId="7A166FAD">
            <w:pPr>
              <w:keepNext w:val="0"/>
              <w:keepLines w:val="0"/>
              <w:pageBreakBefore w:val="0"/>
              <w:widowControl/>
              <w:numPr>
                <w:ilvl w:val="0"/>
                <w:numId w:val="10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开关形式：常闭；</w:t>
            </w:r>
          </w:p>
          <w:p w14:paraId="29B4EA87">
            <w:pPr>
              <w:keepNext w:val="0"/>
              <w:keepLines w:val="0"/>
              <w:pageBreakBefore w:val="0"/>
              <w:widowControl/>
              <w:numPr>
                <w:ilvl w:val="0"/>
                <w:numId w:val="10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参数：最大功率10W，最高电压100V，最大电流0.5A；</w:t>
            </w:r>
          </w:p>
          <w:p w14:paraId="574276AF">
            <w:pPr>
              <w:keepNext w:val="0"/>
              <w:keepLines w:val="0"/>
              <w:pageBreakBefore w:val="0"/>
              <w:widowControl/>
              <w:numPr>
                <w:ilvl w:val="0"/>
                <w:numId w:val="10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外壳材质：锌合金，银灰电镀；</w:t>
            </w:r>
          </w:p>
          <w:p w14:paraId="3B9E6393">
            <w:pPr>
              <w:keepNext w:val="0"/>
              <w:keepLines w:val="0"/>
              <w:pageBreakBefore w:val="0"/>
              <w:widowControl/>
              <w:numPr>
                <w:ilvl w:val="0"/>
                <w:numId w:val="92"/>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智能防潮光栅（1M）设备参数：</w:t>
            </w:r>
          </w:p>
          <w:p w14:paraId="6082A925">
            <w:pPr>
              <w:keepNext w:val="0"/>
              <w:keepLines w:val="0"/>
              <w:pageBreakBefore w:val="0"/>
              <w:numPr>
                <w:ilvl w:val="0"/>
                <w:numId w:val="10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40CD8E96">
            <w:pPr>
              <w:keepNext w:val="0"/>
              <w:keepLines w:val="0"/>
              <w:pageBreakBefore w:val="0"/>
              <w:widowControl/>
              <w:numPr>
                <w:ilvl w:val="0"/>
                <w:numId w:val="10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警戒距离：同步工作0-100米，异步工作10-80米；</w:t>
            </w:r>
          </w:p>
          <w:p w14:paraId="5BD30AA5">
            <w:pPr>
              <w:keepNext w:val="0"/>
              <w:keepLines w:val="0"/>
              <w:pageBreakBefore w:val="0"/>
              <w:widowControl/>
              <w:numPr>
                <w:ilvl w:val="0"/>
                <w:numId w:val="10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光束：2/4/6/8/10/12光束；</w:t>
            </w:r>
          </w:p>
          <w:p w14:paraId="1812D156">
            <w:pPr>
              <w:keepNext w:val="0"/>
              <w:keepLines w:val="0"/>
              <w:pageBreakBefore w:val="0"/>
              <w:widowControl/>
              <w:numPr>
                <w:ilvl w:val="0"/>
                <w:numId w:val="10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消耗电流：50-120mA；</w:t>
            </w:r>
          </w:p>
          <w:p w14:paraId="4FBDB79C">
            <w:pPr>
              <w:keepNext w:val="0"/>
              <w:keepLines w:val="0"/>
              <w:pageBreakBefore w:val="0"/>
              <w:widowControl/>
              <w:numPr>
                <w:ilvl w:val="0"/>
                <w:numId w:val="10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电源电压：DC12一18V；</w:t>
            </w:r>
          </w:p>
          <w:p w14:paraId="050E6BF5">
            <w:pPr>
              <w:keepNext w:val="0"/>
              <w:keepLines w:val="0"/>
              <w:pageBreakBefore w:val="0"/>
              <w:widowControl/>
              <w:numPr>
                <w:ilvl w:val="0"/>
                <w:numId w:val="10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环境温度：-30℃一+70℃；</w:t>
            </w:r>
          </w:p>
          <w:p w14:paraId="65555A9B">
            <w:pPr>
              <w:keepNext w:val="0"/>
              <w:keepLines w:val="0"/>
              <w:pageBreakBefore w:val="0"/>
              <w:widowControl/>
              <w:numPr>
                <w:ilvl w:val="0"/>
                <w:numId w:val="10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报警输出：常开常闭可选（出厂默认常闭）；接点容盘：30V2A；</w:t>
            </w:r>
          </w:p>
          <w:p w14:paraId="0304935A">
            <w:pPr>
              <w:keepNext w:val="0"/>
              <w:keepLines w:val="0"/>
              <w:pageBreakBefore w:val="0"/>
              <w:widowControl/>
              <w:numPr>
                <w:ilvl w:val="0"/>
                <w:numId w:val="10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反应速度：≤40ms；</w:t>
            </w:r>
          </w:p>
          <w:p w14:paraId="6B3F8C07">
            <w:pPr>
              <w:keepNext w:val="0"/>
              <w:keepLines w:val="0"/>
              <w:pageBreakBefore w:val="0"/>
              <w:widowControl/>
              <w:numPr>
                <w:ilvl w:val="0"/>
                <w:numId w:val="10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报警持续时间：≥1S；</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2CEA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B3660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66A6E771">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80"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EF3A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 xml:space="preserve"> 5</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6EDF2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备餐间消毒网关套装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0F9CEE">
            <w:pPr>
              <w:keepNext w:val="0"/>
              <w:keepLines w:val="0"/>
              <w:pageBreakBefore w:val="0"/>
              <w:widowControl/>
              <w:numPr>
                <w:ilvl w:val="0"/>
                <w:numId w:val="104"/>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功能描述：</w:t>
            </w:r>
          </w:p>
          <w:p w14:paraId="28D775CF">
            <w:pPr>
              <w:keepNext w:val="0"/>
              <w:keepLines w:val="0"/>
              <w:pageBreakBefore w:val="0"/>
              <w:widowControl/>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支持设定多个规则实现定时开启、关闭紫外线灯，进行消毒操作；</w:t>
            </w:r>
          </w:p>
          <w:p w14:paraId="29C539DE">
            <w:pPr>
              <w:keepNext w:val="0"/>
              <w:keepLines w:val="0"/>
              <w:pageBreakBefore w:val="0"/>
              <w:widowControl/>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支持远程控制，开启关闭紫外线灯；</w:t>
            </w:r>
          </w:p>
          <w:p w14:paraId="216E7588">
            <w:pPr>
              <w:keepNext w:val="0"/>
              <w:keepLines w:val="0"/>
              <w:pageBreakBefore w:val="0"/>
              <w:widowControl/>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支持实现自动感应人员进入并关闭紫外线灯，避免人员伤害；</w:t>
            </w:r>
          </w:p>
          <w:p w14:paraId="72CDEB7E">
            <w:pPr>
              <w:keepNext w:val="0"/>
              <w:keepLines w:val="0"/>
              <w:pageBreakBefore w:val="0"/>
              <w:widowControl/>
              <w:numPr>
                <w:ilvl w:val="0"/>
                <w:numId w:val="105"/>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自动生成消毒台账在手机APP端、电脑后台端可导出记录生成表格打印纸质消毒台账并最少保存2年数据；</w:t>
            </w:r>
          </w:p>
          <w:p w14:paraId="5F7D4C35">
            <w:pPr>
              <w:keepNext w:val="0"/>
              <w:keepLines w:val="0"/>
              <w:pageBreakBefore w:val="0"/>
              <w:widowControl/>
              <w:numPr>
                <w:ilvl w:val="0"/>
                <w:numId w:val="104"/>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物联中控屏设备参数：</w:t>
            </w:r>
          </w:p>
          <w:p w14:paraId="7CFAC297">
            <w:pPr>
              <w:keepNext w:val="0"/>
              <w:keepLines w:val="0"/>
              <w:pageBreakBefore w:val="0"/>
              <w:numPr>
                <w:ilvl w:val="0"/>
                <w:numId w:val="10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2DACFE5D">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外壳：前置钢化玻璃+塑胶外壳；</w:t>
            </w:r>
          </w:p>
          <w:p w14:paraId="50076D26">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保护面板：钢化玻璃；</w:t>
            </w:r>
          </w:p>
          <w:p w14:paraId="68B9950B">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尺寸：不低于10.1寸；</w:t>
            </w:r>
          </w:p>
          <w:p w14:paraId="63026A32">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屏幕比例：16:9；</w:t>
            </w:r>
          </w:p>
          <w:p w14:paraId="2D9E89C6">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摄像头像素：100W；</w:t>
            </w:r>
          </w:p>
          <w:p w14:paraId="110D917F">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像素间距：0.17925×0.17925mm；</w:t>
            </w:r>
          </w:p>
          <w:p w14:paraId="511C68AD">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亮度：350cd/m²可视角度85/85/85/85（左/右/上/下）；</w:t>
            </w:r>
          </w:p>
          <w:p w14:paraId="4506A7DB">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对比度：1000:1；</w:t>
            </w:r>
          </w:p>
          <w:p w14:paraId="5537734C">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颜色数：16.7M；</w:t>
            </w:r>
          </w:p>
          <w:p w14:paraId="7A5398A4">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灯管寿命：超过50000小时；</w:t>
            </w:r>
          </w:p>
          <w:p w14:paraId="7E9E9A0E">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操作系统：Android7.1.2；</w:t>
            </w:r>
          </w:p>
          <w:p w14:paraId="4B2849C1">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CPU：RK3288，四核；</w:t>
            </w:r>
          </w:p>
          <w:p w14:paraId="7E7E7B6A">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CPU主频：1.8GHz；</w:t>
            </w:r>
          </w:p>
          <w:p w14:paraId="444EC7F4">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内存：DDR32G；</w:t>
            </w:r>
          </w:p>
          <w:p w14:paraId="3FF2C52C">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内置存储容量：EMMC8G；</w:t>
            </w:r>
          </w:p>
          <w:p w14:paraId="38B9B8E9">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喇叭：8Ω2W；</w:t>
            </w:r>
          </w:p>
          <w:p w14:paraId="0E513E02">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网络：支持WiFi、BT；</w:t>
            </w:r>
          </w:p>
          <w:p w14:paraId="47E4BE00">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接口：I/O:2*USB，可扩展2*USB；</w:t>
            </w:r>
          </w:p>
          <w:p w14:paraId="01D87D6F">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工作环境温度：0～50摄氏度；</w:t>
            </w:r>
          </w:p>
          <w:p w14:paraId="7B034A6A">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触摸精度：±2mm；</w:t>
            </w:r>
          </w:p>
          <w:p w14:paraId="457FFDFE">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响应时间：25ms~30ms；</w:t>
            </w:r>
          </w:p>
          <w:p w14:paraId="2B24C950">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可识别物体：手指或者专用触摸笔；</w:t>
            </w:r>
          </w:p>
          <w:p w14:paraId="65204405">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透明度：≥85％±2％；</w:t>
            </w:r>
          </w:p>
          <w:p w14:paraId="18AD9600">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温度范围：工作温度：-10℃~60℃；</w:t>
            </w:r>
          </w:p>
          <w:p w14:paraId="79781CC5">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供电方式：外置12V/2A适配器；</w:t>
            </w:r>
          </w:p>
          <w:p w14:paraId="169DDD6E">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整机功率：15W；</w:t>
            </w:r>
          </w:p>
          <w:p w14:paraId="3C0F3BCA">
            <w:pPr>
              <w:keepNext w:val="0"/>
              <w:keepLines w:val="0"/>
              <w:pageBreakBefore w:val="0"/>
              <w:widowControl/>
              <w:numPr>
                <w:ilvl w:val="0"/>
                <w:numId w:val="10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安装方式：壁挂式；</w:t>
            </w:r>
          </w:p>
          <w:p w14:paraId="7B069FC5">
            <w:pPr>
              <w:keepNext w:val="0"/>
              <w:keepLines w:val="0"/>
              <w:pageBreakBefore w:val="0"/>
              <w:widowControl/>
              <w:numPr>
                <w:ilvl w:val="0"/>
                <w:numId w:val="104"/>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IO通讯模块设备参数：</w:t>
            </w:r>
          </w:p>
          <w:p w14:paraId="6A4B3BC4">
            <w:pPr>
              <w:keepNext w:val="0"/>
              <w:keepLines w:val="0"/>
              <w:pageBreakBefore w:val="0"/>
              <w:numPr>
                <w:ilvl w:val="0"/>
                <w:numId w:val="10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2596EB35">
            <w:pPr>
              <w:keepNext w:val="0"/>
              <w:keepLines w:val="0"/>
              <w:pageBreakBefore w:val="0"/>
              <w:widowControl/>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2路继电器控制输出，触点容250VAC10A/DC30V10A；</w:t>
            </w:r>
          </w:p>
          <w:p w14:paraId="5CD45B14">
            <w:pPr>
              <w:keepNext w:val="0"/>
              <w:keepLines w:val="0"/>
              <w:pageBreakBefore w:val="0"/>
              <w:widowControl/>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2路数字量输入，隔离输入，抗浪涌等级1500V，有源无源均支持；</w:t>
            </w:r>
          </w:p>
          <w:p w14:paraId="70E285B1">
            <w:pPr>
              <w:keepNext w:val="0"/>
              <w:keepLines w:val="0"/>
              <w:pageBreakBefore w:val="0"/>
              <w:widowControl/>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以太网通讯接口，10/100M自适应；</w:t>
            </w:r>
          </w:p>
          <w:p w14:paraId="0CF0F957">
            <w:pPr>
              <w:keepNext w:val="0"/>
              <w:keepLines w:val="0"/>
              <w:pageBreakBefore w:val="0"/>
              <w:widowControl/>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支持MQTT通讯，参数可配置；</w:t>
            </w:r>
          </w:p>
          <w:p w14:paraId="52D7D78A">
            <w:pPr>
              <w:keepNext w:val="0"/>
              <w:keepLines w:val="0"/>
              <w:pageBreakBefore w:val="0"/>
              <w:widowControl/>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通信波特率，bps：1200～115200bps；</w:t>
            </w:r>
          </w:p>
          <w:p w14:paraId="6A3A5CB4">
            <w:pPr>
              <w:keepNext w:val="0"/>
              <w:keepLines w:val="0"/>
              <w:pageBreakBefore w:val="0"/>
              <w:widowControl/>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通信协议ModbusTCP；</w:t>
            </w:r>
          </w:p>
          <w:p w14:paraId="47DA8A70">
            <w:pPr>
              <w:keepNext w:val="0"/>
              <w:keepLines w:val="0"/>
              <w:pageBreakBefore w:val="0"/>
              <w:widowControl/>
              <w:numPr>
                <w:ilvl w:val="0"/>
                <w:numId w:val="109"/>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工作电压范围DC7-40V宽压；静态工作电流≤100ma；</w:t>
            </w:r>
          </w:p>
          <w:p w14:paraId="3083A79F">
            <w:pPr>
              <w:keepNext w:val="0"/>
              <w:keepLines w:val="0"/>
              <w:pageBreakBefore w:val="0"/>
              <w:widowControl/>
              <w:numPr>
                <w:ilvl w:val="0"/>
                <w:numId w:val="10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中间继电器（220V）设备参数：</w:t>
            </w:r>
          </w:p>
          <w:p w14:paraId="3F9D88B5">
            <w:pPr>
              <w:keepNext w:val="0"/>
              <w:keepLines w:val="0"/>
              <w:pageBreakBefore w:val="0"/>
              <w:numPr>
                <w:ilvl w:val="0"/>
                <w:numId w:val="110"/>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45F68662">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额定电流：5A/10A；</w:t>
            </w:r>
          </w:p>
          <w:p w14:paraId="2253D256">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额定频率：50Hz/60Hz；</w:t>
            </w:r>
          </w:p>
          <w:p w14:paraId="3BAE81DA">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引脚：细脚、宽脚；</w:t>
            </w:r>
          </w:p>
          <w:p w14:paraId="5F4186DD">
            <w:pPr>
              <w:keepNext w:val="0"/>
              <w:keepLines w:val="0"/>
              <w:pageBreakBefore w:val="0"/>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触点形式：二开二闭；</w:t>
            </w:r>
          </w:p>
          <w:p w14:paraId="50708DCB">
            <w:pPr>
              <w:keepNext w:val="0"/>
              <w:keepLines w:val="0"/>
              <w:pageBreakBefore w:val="0"/>
              <w:widowControl/>
              <w:numPr>
                <w:ilvl w:val="0"/>
                <w:numId w:val="11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电压规格：交流AC:12、24、36、48、110、220；</w:t>
            </w:r>
          </w:p>
          <w:p w14:paraId="27306E0C">
            <w:pPr>
              <w:keepNext w:val="0"/>
              <w:keepLines w:val="0"/>
              <w:pageBreakBefore w:val="0"/>
              <w:widowControl/>
              <w:numPr>
                <w:ilvl w:val="0"/>
                <w:numId w:val="10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人体感应器设备参数：</w:t>
            </w:r>
          </w:p>
          <w:p w14:paraId="31E88EEE">
            <w:pPr>
              <w:keepNext w:val="0"/>
              <w:keepLines w:val="0"/>
              <w:pageBreakBefore w:val="0"/>
              <w:numPr>
                <w:ilvl w:val="0"/>
                <w:numId w:val="11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4B592446">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感应原理：红外线感应；</w:t>
            </w:r>
          </w:p>
          <w:p w14:paraId="6FB44995">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感应范围：3—5m；</w:t>
            </w:r>
          </w:p>
          <w:p w14:paraId="2DC3095C">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负载功率：10W；</w:t>
            </w:r>
          </w:p>
          <w:p w14:paraId="2777914E">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延时关闭时间：50±10s；</w:t>
            </w:r>
          </w:p>
          <w:p w14:paraId="312BC406">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颜色：雅白色；</w:t>
            </w:r>
          </w:p>
          <w:p w14:paraId="15BB75A5">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工作电压：220（V）；</w:t>
            </w:r>
          </w:p>
          <w:p w14:paraId="5B0FBFF2">
            <w:pPr>
              <w:keepNext w:val="0"/>
              <w:keepLines w:val="0"/>
              <w:pageBreakBefore w:val="0"/>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3C额定电压范围：440V以上；</w:t>
            </w:r>
          </w:p>
          <w:p w14:paraId="2813C707">
            <w:pPr>
              <w:keepNext w:val="0"/>
              <w:keepLines w:val="0"/>
              <w:pageBreakBefore w:val="0"/>
              <w:widowControl/>
              <w:numPr>
                <w:ilvl w:val="0"/>
                <w:numId w:val="11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可联动继电器检测人员经过关闭紫外线消毒灯；</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1CCF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FBDE7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1BB140AF">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0B1C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502BA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AI行为识别摄像机</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59970F">
            <w:pPr>
              <w:keepNext w:val="0"/>
              <w:keepLines w:val="0"/>
              <w:pageBreakBefore w:val="0"/>
              <w:numPr>
                <w:ilvl w:val="0"/>
                <w:numId w:val="11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1F1F062C">
            <w:pPr>
              <w:keepNext w:val="0"/>
              <w:keepLines w:val="0"/>
              <w:pageBreakBefore w:val="0"/>
              <w:numPr>
                <w:ilvl w:val="0"/>
                <w:numId w:val="11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支持口罩、工服、工帽三白预警抓拍并现场定制语音实施报警；</w:t>
            </w:r>
          </w:p>
          <w:p w14:paraId="27178396">
            <w:pPr>
              <w:keepNext w:val="0"/>
              <w:keepLines w:val="0"/>
              <w:pageBreakBefore w:val="0"/>
              <w:numPr>
                <w:ilvl w:val="0"/>
                <w:numId w:val="11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支持特定颜色工服、工帽识别预警；</w:t>
            </w:r>
          </w:p>
          <w:p w14:paraId="4A391B10">
            <w:pPr>
              <w:keepNext w:val="0"/>
              <w:keepLines w:val="0"/>
              <w:pageBreakBefore w:val="0"/>
              <w:numPr>
                <w:ilvl w:val="0"/>
                <w:numId w:val="11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AI行为识别摄像机设备</w:t>
            </w:r>
            <w:r>
              <w:rPr>
                <w:rFonts w:hint="eastAsia" w:ascii="宋体" w:hAnsi="宋体" w:eastAsia="宋体" w:cs="宋体"/>
                <w:color w:val="auto"/>
                <w:sz w:val="24"/>
                <w:szCs w:val="24"/>
              </w:rPr>
              <w:t>参数：</w:t>
            </w:r>
          </w:p>
          <w:p w14:paraId="41A104C2">
            <w:pPr>
              <w:keepNext w:val="0"/>
              <w:keepLines w:val="0"/>
              <w:pageBreakBefore w:val="0"/>
              <w:numPr>
                <w:ilvl w:val="0"/>
                <w:numId w:val="11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02691980">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主板性能：算力2.0Tops,内存：8Gbit,闪存：8GBEMMC；</w:t>
            </w:r>
          </w:p>
          <w:p w14:paraId="31C6912E">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传感器类型：1/3"CMOS；</w:t>
            </w:r>
          </w:p>
          <w:p w14:paraId="238D0B37">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镜头类型：定焦；</w:t>
            </w:r>
          </w:p>
          <w:p w14:paraId="40FD78BD">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视场角：（H）47.6°(D)59.4°；</w:t>
            </w:r>
          </w:p>
          <w:p w14:paraId="435B53B2">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光圈：F1.6；</w:t>
            </w:r>
          </w:p>
          <w:p w14:paraId="5E4EE39E">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焦距：6mm；</w:t>
            </w:r>
          </w:p>
          <w:p w14:paraId="3B2FBA66">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红外灯：最大补光距离40米；</w:t>
            </w:r>
          </w:p>
          <w:p w14:paraId="0B542205">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白光灯：最大补光距离10米；</w:t>
            </w:r>
          </w:p>
          <w:p w14:paraId="55D3C9BA">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灯光控制：自动/手动，亮度可调；</w:t>
            </w:r>
          </w:p>
          <w:p w14:paraId="4FB31901">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图像设置：亮度、对比度、饱和度、锐度；</w:t>
            </w:r>
          </w:p>
          <w:p w14:paraId="2FEAD0EC">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最低照度：0.001Lux（彩色模式）,0.001Lux（黑白模式）,0Lux（补光灯开启）；</w:t>
            </w:r>
          </w:p>
          <w:p w14:paraId="3BD56048">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白平衡：自动/手动；</w:t>
            </w:r>
          </w:p>
          <w:p w14:paraId="1FDB9906">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强光抑制：支持；</w:t>
            </w:r>
          </w:p>
          <w:p w14:paraId="56DF9EDB">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背光补偿；支持；</w:t>
            </w:r>
          </w:p>
          <w:p w14:paraId="178DB66F">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降噪：支持2D/3D数字降噪；</w:t>
            </w:r>
          </w:p>
          <w:p w14:paraId="75AB0A9D">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宽动态：支持；</w:t>
            </w:r>
          </w:p>
          <w:p w14:paraId="250FCCCD">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信噪比：≥56db；</w:t>
            </w:r>
          </w:p>
          <w:p w14:paraId="0CA13131">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增益控制：自动/快门优先/增益优先/手动；</w:t>
            </w:r>
          </w:p>
          <w:p w14:paraId="23755D59">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视频压缩标准：H.265、H.264、H.264H、H.264B、MJPEG；</w:t>
            </w:r>
          </w:p>
          <w:p w14:paraId="7AA7186B">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分辨率：码流一：2560x14401920x10801280*720；码流二：1960*544704x576640*360；</w:t>
            </w:r>
          </w:p>
          <w:p w14:paraId="148C9E44">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视频制式PAL(25fps)/NTSC(30fps)；</w:t>
            </w:r>
          </w:p>
          <w:p w14:paraId="298F3865">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码率控制：CBR/VBR；</w:t>
            </w:r>
          </w:p>
          <w:p w14:paraId="643892DD">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默认码流：4096kbps(2560×1440)；</w:t>
            </w:r>
          </w:p>
          <w:p w14:paraId="1948CAD6">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码率调节范围：主、辅30Kbps~16Mbps连续可调；</w:t>
            </w:r>
          </w:p>
          <w:p w14:paraId="1BD1CEBB">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音频压缩标准：G.711A,G.711U,G.726,AAC；</w:t>
            </w:r>
          </w:p>
          <w:p w14:paraId="6DEDA3C8">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网络协议：HTTP,TCP,RTSP,RTP,UDP,RTCP,SMTP,FTP,DHCP,DNS,DDNS,PPPoE,IPv4/v6,UPnP,NTP；</w:t>
            </w:r>
          </w:p>
          <w:p w14:paraId="2E08FE97">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协议：支持Onvif,GB28181,GA/T1400,MQTT；</w:t>
            </w:r>
          </w:p>
          <w:p w14:paraId="4CDDB908">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5.功能特性参数：</w:t>
            </w:r>
          </w:p>
          <w:p w14:paraId="7E8D4084">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通用行为分析：区域入侵,绊线入侵；</w:t>
            </w:r>
          </w:p>
          <w:p w14:paraId="5C33C1AE">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报警功能：声光报警,隐私遮挡报警,移动侦测报警,网络故障报警,语音播报；</w:t>
            </w:r>
          </w:p>
          <w:p w14:paraId="664C4C5D">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录像模式：手动录像,视频事件检测录像,定时录像,报警录像；</w:t>
            </w:r>
          </w:p>
          <w:p w14:paraId="1B111BEB">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OSD信息叠加时间,通道标题,设备名称,支持自定义；</w:t>
            </w:r>
          </w:p>
          <w:p w14:paraId="4B5AB570">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日夜模式：白天、夜晚,支持定时转换,手动转换,自动转换；</w:t>
            </w:r>
          </w:p>
          <w:p w14:paraId="3C70E636">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隐私遮蔽：支持4个区域设置；</w:t>
            </w:r>
          </w:p>
          <w:p w14:paraId="4BD4F09D">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镜像：支持90°/180°图像翻转；</w:t>
            </w:r>
          </w:p>
          <w:p w14:paraId="278D840C">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ROI：支持；</w:t>
            </w:r>
          </w:p>
          <w:p w14:paraId="05E14E0C">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检测类型：厨师帽，厨师服，猫、狗，鼠，抽烟，打电话，口罩检测；</w:t>
            </w:r>
          </w:p>
          <w:p w14:paraId="2184FA88">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检测区域：支持自定义；</w:t>
            </w:r>
          </w:p>
          <w:p w14:paraId="50561399">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抓拍模式：支持离开后抓拍、实时抓拍、间隔抓拍、实时抓拍+离开后抓拍、实时抓拍+间隔抓拍；</w:t>
            </w:r>
          </w:p>
          <w:p w14:paraId="7ED24E2E">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检测范围：支持最小/最大检测目标可调；</w:t>
            </w:r>
          </w:p>
          <w:p w14:paraId="312FE4A9">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图片类型：目标图,全景图；</w:t>
            </w:r>
          </w:p>
          <w:p w14:paraId="6E5E0465">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图片格式：JPG；</w:t>
            </w:r>
          </w:p>
          <w:p w14:paraId="2163602C">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网络接口：1个RJ45，10/100M自适应以太网口，支持PoE供电；</w:t>
            </w:r>
          </w:p>
          <w:p w14:paraId="0F2949E8">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电源接口：DC12V(-15%~+10%)；</w:t>
            </w:r>
          </w:p>
          <w:p w14:paraId="240A3412">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报警接口：1进1出；</w:t>
            </w:r>
          </w:p>
          <w:p w14:paraId="47B6FD2B">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音频接口；1路音频输入/1路音频输出（RCA头），内置MIC/扬声器；</w:t>
            </w:r>
          </w:p>
          <w:p w14:paraId="6E330D20">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SD卡接口：最大容量256GB；</w:t>
            </w:r>
          </w:p>
          <w:p w14:paraId="7D1E6AED">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RS485：预留；</w:t>
            </w:r>
          </w:p>
          <w:p w14:paraId="23AD66FB">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复位：软件复位，硬件复位；</w:t>
            </w:r>
          </w:p>
          <w:p w14:paraId="7780D38B">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安装方式：壁装，吊装；</w:t>
            </w:r>
          </w:p>
          <w:p w14:paraId="21721181">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工作电压：DC12V(-15%~+10%)/PoE(802.3af选配）；</w:t>
            </w:r>
          </w:p>
          <w:p w14:paraId="0AE9C8A9">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功耗&lt;8W；</w:t>
            </w:r>
          </w:p>
          <w:p w14:paraId="4150E874">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工作温度：-30℃-+60℃；</w:t>
            </w:r>
          </w:p>
          <w:p w14:paraId="71E43574">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工作湿度：0%~95%RH（无凝结）；</w:t>
            </w:r>
          </w:p>
          <w:p w14:paraId="22335493">
            <w:pPr>
              <w:keepNext w:val="0"/>
              <w:keepLines w:val="0"/>
              <w:pageBreakBefore w:val="0"/>
              <w:numPr>
                <w:ilvl w:val="0"/>
                <w:numId w:val="11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防护等级：IP66；</w:t>
            </w:r>
          </w:p>
          <w:p w14:paraId="7FD9D859">
            <w:pPr>
              <w:keepNext w:val="0"/>
              <w:keepLines w:val="0"/>
              <w:pageBreakBefore w:val="0"/>
              <w:numPr>
                <w:ilvl w:val="0"/>
                <w:numId w:val="11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音柱设备设备参数：</w:t>
            </w:r>
          </w:p>
          <w:p w14:paraId="0AC16DE6">
            <w:pPr>
              <w:keepNext w:val="0"/>
              <w:keepLines w:val="0"/>
              <w:pageBreakBefore w:val="0"/>
              <w:numPr>
                <w:ilvl w:val="0"/>
                <w:numId w:val="11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322FF8A9">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机身采用纯铝合金打造，防水性能强，可以直接在户外使用；</w:t>
            </w:r>
          </w:p>
          <w:p w14:paraId="0EE81A88">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内置高效率全频带单元、高灵敏度、声音清晰明亮；</w:t>
            </w:r>
          </w:p>
          <w:p w14:paraId="044A8BC4">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采用进口功放电路、性能高效、低失真、低损耗；</w:t>
            </w:r>
          </w:p>
          <w:p w14:paraId="6AB46884">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具有1路非平衡信号输入、插拔式端子；</w:t>
            </w:r>
          </w:p>
          <w:p w14:paraId="7E2B9227">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具有1组短路控制线，控制内存6首歌曲，内置16M音频存储空间，可以通过外置USB接口擦除拷贝6首音乐，通过拨码开关选择预设音乐信号，通过触发播放预设语音节目；</w:t>
            </w:r>
          </w:p>
          <w:p w14:paraId="37F74695">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适合于室外背景音乐场所、壁挂式安装；</w:t>
            </w:r>
          </w:p>
          <w:p w14:paraId="30B8FC63">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额定功率：20W；</w:t>
            </w:r>
          </w:p>
          <w:p w14:paraId="129F1030">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线路输入：10kohms(Ω)300Mv非平衡信号；</w:t>
            </w:r>
          </w:p>
          <w:p w14:paraId="1FFF9D64">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频响：100Hz-18KHz（±3dB）；</w:t>
            </w:r>
          </w:p>
          <w:p w14:paraId="79A330FC">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非线性失真THD：&lt;1%at1kHz，1/3额定输出功率；</w:t>
            </w:r>
          </w:p>
          <w:p w14:paraId="11C8D5FD">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信噪比S/N：&gt;70dB；</w:t>
            </w:r>
          </w:p>
          <w:p w14:paraId="73ED94B9">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喇叭单元：4"防水全频单元*1；2"高音*1保护：内置贴片保险丝；</w:t>
            </w:r>
          </w:p>
          <w:p w14:paraId="6B2432BF">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安装形式：支架式安装；</w:t>
            </w:r>
          </w:p>
          <w:p w14:paraId="697CD31D">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供电电压：AC220V/50Hz；</w:t>
            </w:r>
          </w:p>
          <w:p w14:paraId="01DA193D">
            <w:pPr>
              <w:keepNext w:val="0"/>
              <w:keepLines w:val="0"/>
              <w:pageBreakBefore w:val="0"/>
              <w:numPr>
                <w:ilvl w:val="0"/>
                <w:numId w:val="11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外壳尺寸：</w:t>
            </w:r>
            <w:r>
              <w:rPr>
                <w:rFonts w:hint="eastAsia" w:ascii="宋体" w:hAnsi="宋体" w:eastAsia="宋体" w:cs="宋体"/>
                <w:color w:val="auto"/>
                <w:kern w:val="0"/>
                <w:sz w:val="24"/>
                <w:szCs w:val="24"/>
                <w:lang w:bidi="ar"/>
              </w:rPr>
              <w:t>不低于</w:t>
            </w:r>
            <w:r>
              <w:rPr>
                <w:rFonts w:hint="eastAsia" w:ascii="宋体" w:hAnsi="宋体" w:eastAsia="宋体" w:cs="宋体"/>
                <w:color w:val="auto"/>
                <w:sz w:val="24"/>
                <w:szCs w:val="24"/>
              </w:rPr>
              <w:t>小于150×96×336mm；</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23636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0E748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6F6E89CA">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4F648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4D689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AI盒子</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BDB7FCD">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669BDEE8">
            <w:pPr>
              <w:keepNext w:val="0"/>
              <w:keepLines w:val="0"/>
              <w:pageBreakBefore w:val="0"/>
              <w:widowControl/>
              <w:numPr>
                <w:ilvl w:val="0"/>
                <w:numId w:val="12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实现有害生物抓拍并上传系统预警；</w:t>
            </w:r>
          </w:p>
          <w:p w14:paraId="08EF7FDD">
            <w:pPr>
              <w:keepNext w:val="0"/>
              <w:keepLines w:val="0"/>
              <w:pageBreakBefore w:val="0"/>
              <w:widowControl/>
              <w:numPr>
                <w:ilvl w:val="0"/>
                <w:numId w:val="12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支持利旧普通摄像头做识别分析；</w:t>
            </w:r>
          </w:p>
          <w:p w14:paraId="45ACA9C7">
            <w:pPr>
              <w:keepNext w:val="0"/>
              <w:keepLines w:val="0"/>
              <w:pageBreakBefore w:val="0"/>
              <w:widowControl/>
              <w:numPr>
                <w:ilvl w:val="0"/>
                <w:numId w:val="121"/>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支持口罩、工服、工帽三白预警抓拍；</w:t>
            </w:r>
          </w:p>
          <w:p w14:paraId="1D85B96D">
            <w:pPr>
              <w:keepNext w:val="0"/>
              <w:keepLines w:val="0"/>
              <w:pageBreakBefore w:val="0"/>
              <w:numPr>
                <w:ilvl w:val="0"/>
                <w:numId w:val="12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设备参数：</w:t>
            </w:r>
          </w:p>
          <w:p w14:paraId="4CCAC241">
            <w:pPr>
              <w:keepNext w:val="0"/>
              <w:keepLines w:val="0"/>
              <w:pageBreakBefore w:val="0"/>
              <w:numPr>
                <w:ilvl w:val="0"/>
                <w:numId w:val="12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基本参数：</w:t>
            </w:r>
          </w:p>
          <w:p w14:paraId="7099B275">
            <w:pPr>
              <w:keepNext w:val="0"/>
              <w:keepLines w:val="0"/>
              <w:pageBreakBefore w:val="0"/>
              <w:widowControl/>
              <w:numPr>
                <w:ilvl w:val="0"/>
                <w:numId w:val="12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处理器：六核处理器，双Cortex-A72+四Cortex-A53大小核CPU结构，频率不低于1.8GHz；</w:t>
            </w:r>
          </w:p>
          <w:p w14:paraId="79DEE917">
            <w:pPr>
              <w:keepNext w:val="0"/>
              <w:keepLines w:val="0"/>
              <w:pageBreakBefore w:val="0"/>
              <w:widowControl/>
              <w:numPr>
                <w:ilvl w:val="0"/>
                <w:numId w:val="123"/>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GPU：四核GPU，支持OpenGLES1.1/2.0/3.0/3.1，OpenVG1.1，OpenCL；</w:t>
            </w:r>
          </w:p>
          <w:p w14:paraId="7260622E">
            <w:pPr>
              <w:keepNext w:val="0"/>
              <w:keepLines w:val="0"/>
              <w:pageBreakBefore w:val="0"/>
              <w:numPr>
                <w:ilvl w:val="0"/>
                <w:numId w:val="12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接口参数：</w:t>
            </w:r>
          </w:p>
          <w:p w14:paraId="3747B0AE">
            <w:pPr>
              <w:keepNext w:val="0"/>
              <w:keepLines w:val="0"/>
              <w:pageBreakBefore w:val="0"/>
              <w:widowControl/>
              <w:numPr>
                <w:ilvl w:val="0"/>
                <w:numId w:val="12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USB接口：USBx2；</w:t>
            </w:r>
          </w:p>
          <w:p w14:paraId="61826A2C">
            <w:pPr>
              <w:keepNext w:val="0"/>
              <w:keepLines w:val="0"/>
              <w:pageBreakBefore w:val="0"/>
              <w:widowControl/>
              <w:numPr>
                <w:ilvl w:val="0"/>
                <w:numId w:val="124"/>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物联网接口：支持1个RS485；</w:t>
            </w:r>
          </w:p>
          <w:p w14:paraId="206C19F1">
            <w:pPr>
              <w:keepNext w:val="0"/>
              <w:keepLines w:val="0"/>
              <w:pageBreakBefore w:val="0"/>
              <w:numPr>
                <w:ilvl w:val="0"/>
                <w:numId w:val="12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其他参数：</w:t>
            </w:r>
          </w:p>
          <w:p w14:paraId="02A2713E">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DX11，支持AFBC（帧缓冲压缩）；</w:t>
            </w:r>
          </w:p>
          <w:p w14:paraId="031EEEEE">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内存与flash：4G内存、64G芯片存储；</w:t>
            </w:r>
          </w:p>
          <w:p w14:paraId="439ADA1F">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存储：内置监控级硬盘，最大支持16TB；</w:t>
            </w:r>
          </w:p>
          <w:p w14:paraId="099F3969">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报警输入输出：GPIO口：2进1出，可接开关量报警探头和联动输出电路控制设备；</w:t>
            </w:r>
          </w:p>
          <w:p w14:paraId="25C00E97">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音频输入输出：RCA接口1进1出，外部MIC插孔（3.5MM）1个；</w:t>
            </w:r>
          </w:p>
          <w:p w14:paraId="2FDAC7C9">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视频输出：HDMIx1；</w:t>
            </w:r>
          </w:p>
          <w:p w14:paraId="3CD5153E">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WiFi/4G/5G:WiFi/4G/5G；</w:t>
            </w:r>
          </w:p>
          <w:p w14:paraId="3A9F245E">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工作湿度：≤90%；</w:t>
            </w:r>
          </w:p>
          <w:p w14:paraId="56EFCD2D">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工作温度：-10℃~+50℃；</w:t>
            </w:r>
          </w:p>
          <w:p w14:paraId="24F86428">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电源：DC12V5A；</w:t>
            </w:r>
          </w:p>
          <w:p w14:paraId="00E47335">
            <w:pPr>
              <w:keepNext w:val="0"/>
              <w:keepLines w:val="0"/>
              <w:pageBreakBefore w:val="0"/>
              <w:widowControl/>
              <w:numPr>
                <w:ilvl w:val="0"/>
                <w:numId w:val="125"/>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尺寸：</w:t>
            </w:r>
            <w:r>
              <w:rPr>
                <w:rFonts w:hint="eastAsia" w:ascii="宋体" w:hAnsi="宋体" w:eastAsia="宋体" w:cs="宋体"/>
                <w:color w:val="auto"/>
                <w:kern w:val="0"/>
                <w:sz w:val="24"/>
                <w:szCs w:val="24"/>
                <w:lang w:bidi="ar"/>
              </w:rPr>
              <w:t>不低于</w:t>
            </w:r>
            <w:r>
              <w:rPr>
                <w:rFonts w:hint="eastAsia" w:ascii="宋体" w:hAnsi="宋体" w:eastAsia="宋体" w:cs="宋体"/>
                <w:color w:val="auto"/>
                <w:sz w:val="24"/>
                <w:szCs w:val="24"/>
              </w:rPr>
              <w:t>320mm×214mm×40mm（长宽高）；</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0BF51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BBB9E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198E0E78">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EFF6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40DE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数据驾驶舱</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DF753D">
            <w:pPr>
              <w:keepNext w:val="0"/>
              <w:keepLines w:val="0"/>
              <w:pageBreakBefore w:val="0"/>
              <w:numPr>
                <w:ilvl w:val="0"/>
                <w:numId w:val="12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166B3F86">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食堂信息公示：食堂证件、经营范围；</w:t>
            </w:r>
          </w:p>
          <w:p w14:paraId="20144699">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人员健康安全：食堂人员安全：食堂基础信息、出勤晨检、着装行为监管、人员健康安全、烹饪行为监管、意见与反馈等六个维护公示；</w:t>
            </w:r>
          </w:p>
          <w:p w14:paraId="25F70A13">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菜品、存储环境、添加剂、供货商、农残、留样等六个维度公示；</w:t>
            </w:r>
          </w:p>
          <w:p w14:paraId="5E83C8CE">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智能监管状态公示：设备状态公示；</w:t>
            </w:r>
          </w:p>
          <w:p w14:paraId="49D74DCD">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食堂日管控执行进度公示；</w:t>
            </w:r>
          </w:p>
          <w:p w14:paraId="4D5392F5">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食堂留样公示：留样记录、图片、冰箱状态；</w:t>
            </w:r>
          </w:p>
          <w:p w14:paraId="50B1F085">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后厨食安监管：数智场景数据公示；</w:t>
            </w:r>
          </w:p>
          <w:p w14:paraId="73C69CF6">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消毒台账公示：环境消毒、餐饮具消毒台账公示；</w:t>
            </w:r>
          </w:p>
          <w:p w14:paraId="066E1F0A">
            <w:pPr>
              <w:keepNext w:val="0"/>
              <w:keepLines w:val="0"/>
              <w:pageBreakBefore w:val="0"/>
              <w:numPr>
                <w:ilvl w:val="0"/>
                <w:numId w:val="12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意见与反馈公示：负责人联系方式公示</w:t>
            </w:r>
          </w:p>
          <w:p w14:paraId="721D5B4B">
            <w:pPr>
              <w:keepNext w:val="0"/>
              <w:keepLines w:val="0"/>
              <w:pageBreakBefore w:val="0"/>
              <w:numPr>
                <w:ilvl w:val="0"/>
                <w:numId w:val="12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数据驾驶舱方案：</w:t>
            </w:r>
          </w:p>
          <w:p w14:paraId="3787A6B3">
            <w:pPr>
              <w:keepNext w:val="0"/>
              <w:keepLines w:val="0"/>
              <w:pageBreakBefore w:val="0"/>
              <w:numPr>
                <w:ilvl w:val="0"/>
                <w:numId w:val="12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支持显示出勤信息公示：出勤统计，测温统计，出勤明细，测温明细；</w:t>
            </w:r>
          </w:p>
          <w:p w14:paraId="45C6E060">
            <w:pPr>
              <w:keepNext w:val="0"/>
              <w:keepLines w:val="0"/>
              <w:pageBreakBefore w:val="0"/>
              <w:numPr>
                <w:ilvl w:val="0"/>
                <w:numId w:val="12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支持显示食堂证照信息公示：食堂评分，服务许可证，员工健康证；</w:t>
            </w:r>
          </w:p>
          <w:p w14:paraId="1040841C">
            <w:pPr>
              <w:keepNext w:val="0"/>
              <w:keepLines w:val="0"/>
              <w:pageBreakBefore w:val="0"/>
              <w:numPr>
                <w:ilvl w:val="0"/>
                <w:numId w:val="12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支持显示数智管控公示：备餐间空气紫外线消毒状态，餐饮具消毒状态，刀具砧板消毒状态，仓库挡鼠板、红外光栅工作状态，自动灭火工作状态，后厨人员行为管控状态；</w:t>
            </w:r>
          </w:p>
          <w:p w14:paraId="0AFC9FC5">
            <w:pPr>
              <w:keepNext w:val="0"/>
              <w:keepLines w:val="0"/>
              <w:pageBreakBefore w:val="0"/>
              <w:numPr>
                <w:ilvl w:val="0"/>
                <w:numId w:val="12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支持显示食堂留样公示：食堂留样信息；</w:t>
            </w:r>
          </w:p>
          <w:p w14:paraId="41A4EBD9">
            <w:pPr>
              <w:keepNext w:val="0"/>
              <w:keepLines w:val="0"/>
              <w:pageBreakBefore w:val="0"/>
              <w:numPr>
                <w:ilvl w:val="0"/>
                <w:numId w:val="12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支持显示食堂交流公示：食客建议信息，食堂服务提升回复信息，营业时间，食堂负责人信息；</w:t>
            </w:r>
          </w:p>
          <w:p w14:paraId="2F74BF51">
            <w:pPr>
              <w:keepNext w:val="0"/>
              <w:keepLines w:val="0"/>
              <w:pageBreakBefore w:val="0"/>
              <w:numPr>
                <w:ilvl w:val="0"/>
                <w:numId w:val="12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支持显示食堂检测公示：农药残留检测信息，添加剂使用检测信息；</w:t>
            </w:r>
          </w:p>
          <w:p w14:paraId="5ABE1E4A">
            <w:pPr>
              <w:keepNext w:val="0"/>
              <w:keepLines w:val="0"/>
              <w:pageBreakBefore w:val="0"/>
              <w:numPr>
                <w:ilvl w:val="0"/>
                <w:numId w:val="12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支持显示环境公示：用餐大厅温湿度，主食/副食仓库温湿度，备餐间温湿度，食堂主要区域视频播放（明厨亮灶）；</w:t>
            </w:r>
          </w:p>
          <w:p w14:paraId="46BD0D52">
            <w:pPr>
              <w:keepNext w:val="0"/>
              <w:keepLines w:val="0"/>
              <w:pageBreakBefore w:val="0"/>
              <w:numPr>
                <w:ilvl w:val="0"/>
                <w:numId w:val="12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75寸屏幕设备参数：</w:t>
            </w:r>
          </w:p>
          <w:p w14:paraId="5E80F7F9">
            <w:pPr>
              <w:keepNext w:val="0"/>
              <w:keepLines w:val="0"/>
              <w:pageBreakBefore w:val="0"/>
              <w:numPr>
                <w:ilvl w:val="0"/>
                <w:numId w:val="11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7E006CCF">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背光类型：LED；</w:t>
            </w:r>
          </w:p>
          <w:p w14:paraId="5154BDC8">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屏幕分辨率：3840（H）*2160（V）；</w:t>
            </w:r>
          </w:p>
          <w:p w14:paraId="2CC07A68">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视角：178°；</w:t>
            </w:r>
          </w:p>
          <w:p w14:paraId="5585727B">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颜色：66.8m；</w:t>
            </w:r>
          </w:p>
          <w:p w14:paraId="3A2158EC">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亮度：350（cd/m2）10±；</w:t>
            </w:r>
          </w:p>
          <w:p w14:paraId="2EE9D257">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对比度：4000:1；</w:t>
            </w:r>
          </w:p>
          <w:p w14:paraId="204ABBAE">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响应时间：6ms；</w:t>
            </w:r>
          </w:p>
          <w:p w14:paraId="6517F429">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高清视频输入（HDMI）端口：二组；</w:t>
            </w:r>
          </w:p>
          <w:p w14:paraId="67059296">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模拟信号输入（RF）端口：一组；</w:t>
            </w:r>
          </w:p>
          <w:p w14:paraId="0BA3806D">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标准视频输入（AV）端口：二组；</w:t>
            </w:r>
          </w:p>
          <w:p w14:paraId="4C78C0E4">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音频输出（EARPHONE　OUT）端口：一组；</w:t>
            </w:r>
          </w:p>
          <w:p w14:paraId="739CEA3D">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运行内存：1G，机身内存8G；</w:t>
            </w:r>
          </w:p>
          <w:p w14:paraId="497CB3C3">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多媒体（USB3.0）端口：一组；</w:t>
            </w:r>
          </w:p>
          <w:p w14:paraId="674426AF">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电视系统：安卓系统</w:t>
            </w:r>
            <w:r>
              <w:rPr>
                <w:rFonts w:hint="eastAsia" w:ascii="宋体" w:hAnsi="宋体" w:eastAsia="宋体" w:cs="宋体"/>
                <w:color w:val="auto"/>
                <w:sz w:val="24"/>
                <w:szCs w:val="24"/>
              </w:rPr>
              <w:tab/>
            </w:r>
            <w:r>
              <w:rPr>
                <w:rFonts w:hint="eastAsia" w:ascii="宋体" w:hAnsi="宋体" w:eastAsia="宋体" w:cs="宋体"/>
                <w:color w:val="auto"/>
                <w:sz w:val="24"/>
                <w:szCs w:val="24"/>
              </w:rPr>
              <w:t>9；</w:t>
            </w:r>
          </w:p>
          <w:p w14:paraId="4DEF4671">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图像制式：PAL/NTSC/SECAM；</w:t>
            </w:r>
          </w:p>
          <w:p w14:paraId="791DEC4C">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声音制式：DK/I/BG；</w:t>
            </w:r>
          </w:p>
          <w:p w14:paraId="52263B7A">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喇叭类型：内置喇叭高低音；</w:t>
            </w:r>
          </w:p>
          <w:p w14:paraId="743C0F7B">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喇叭功率：8Ω10W；</w:t>
            </w:r>
          </w:p>
          <w:p w14:paraId="40204AB7">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相对湿度：≤80%；</w:t>
            </w:r>
          </w:p>
          <w:p w14:paraId="64F9E2FA">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存储湿度：-10～60℃；</w:t>
            </w:r>
          </w:p>
          <w:p w14:paraId="2DB3E726">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使用湿度：0～40℃；</w:t>
            </w:r>
          </w:p>
          <w:p w14:paraId="40EC80BE">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输入电压：交流电110～240V50/60Hz；</w:t>
            </w:r>
          </w:p>
          <w:p w14:paraId="459E6EB1">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功耗：280W；</w:t>
            </w:r>
          </w:p>
          <w:p w14:paraId="42446E50">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中国能效标识等级：3级；</w:t>
            </w:r>
          </w:p>
          <w:p w14:paraId="2E56B1DD">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电源规格：三合一电源（主板+背光+电源）；</w:t>
            </w:r>
          </w:p>
          <w:p w14:paraId="1617EFBC">
            <w:pPr>
              <w:keepNext w:val="0"/>
              <w:keepLines w:val="0"/>
              <w:pageBreakBefore w:val="0"/>
              <w:numPr>
                <w:ilvl w:val="0"/>
                <w:numId w:val="12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待机功率：＜0.5W；</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BF687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0FA12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71E3F93E">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B572B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E998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食安服务终端</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4A2442">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1BCE88FC">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可进行食堂菜品宣传、电子台账、明厨亮灶视频展示，可进行评价点评；</w:t>
            </w:r>
          </w:p>
          <w:p w14:paraId="45B7E0ED">
            <w:pPr>
              <w:keepNext w:val="0"/>
              <w:keepLines w:val="0"/>
              <w:pageBreakBefore w:val="0"/>
              <w:numPr>
                <w:ilvl w:val="0"/>
                <w:numId w:val="13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用餐人员用餐反馈意见收集，统一渠道收集/答复食堂信息；</w:t>
            </w:r>
          </w:p>
          <w:p w14:paraId="25AD06A9">
            <w:pPr>
              <w:keepNext w:val="0"/>
              <w:keepLines w:val="0"/>
              <w:pageBreakBefore w:val="0"/>
              <w:numPr>
                <w:ilvl w:val="0"/>
                <w:numId w:val="13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设备参数</w:t>
            </w:r>
          </w:p>
          <w:p w14:paraId="43871C34">
            <w:pPr>
              <w:keepNext w:val="0"/>
              <w:keepLines w:val="0"/>
              <w:pageBreakBefore w:val="0"/>
              <w:numPr>
                <w:ilvl w:val="0"/>
                <w:numId w:val="13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显示/触摸参数：</w:t>
            </w:r>
          </w:p>
          <w:p w14:paraId="386A210B">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液晶等级：全新A+品牌液晶面板</w:t>
            </w:r>
          </w:p>
          <w:p w14:paraId="27291A99">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液晶尺寸：不小于43英寸；</w:t>
            </w:r>
          </w:p>
          <w:p w14:paraId="6755245A">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背光类型：E-LED；</w:t>
            </w:r>
          </w:p>
          <w:p w14:paraId="4530148F">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分辨率：1920*1080；</w:t>
            </w:r>
          </w:p>
          <w:p w14:paraId="281DAD4D">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显示亮度：≥350cd；</w:t>
            </w:r>
          </w:p>
          <w:p w14:paraId="037B6A76">
            <w:pPr>
              <w:keepNext w:val="0"/>
              <w:keepLines w:val="0"/>
              <w:pageBreakBefore w:val="0"/>
              <w:numPr>
                <w:ilvl w:val="0"/>
                <w:numId w:val="13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触摸方案：电容G+G；</w:t>
            </w:r>
          </w:p>
          <w:p w14:paraId="51B78AE8">
            <w:pPr>
              <w:keepNext w:val="0"/>
              <w:keepLines w:val="0"/>
              <w:pageBreakBefore w:val="0"/>
              <w:numPr>
                <w:ilvl w:val="0"/>
                <w:numId w:val="13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系统参数：</w:t>
            </w:r>
          </w:p>
          <w:p w14:paraId="6BACCC03">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CPU：四核，主频不低于2.0GHz；</w:t>
            </w:r>
          </w:p>
          <w:p w14:paraId="1D447AF5">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内存：2+16GB；</w:t>
            </w:r>
          </w:p>
          <w:p w14:paraId="32229204">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NPU：支持1Tops算力；</w:t>
            </w:r>
          </w:p>
          <w:p w14:paraId="792C834A">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操作系统：安卓11；</w:t>
            </w:r>
          </w:p>
          <w:p w14:paraId="10809998">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网络通讯：以太网+WiFi；</w:t>
            </w:r>
          </w:p>
          <w:p w14:paraId="7EFA792E">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音频功放：内置2路8欧5瓦优质喇叭；</w:t>
            </w:r>
          </w:p>
          <w:p w14:paraId="30668267">
            <w:pPr>
              <w:keepNext w:val="0"/>
              <w:keepLines w:val="0"/>
              <w:pageBreakBefore w:val="0"/>
              <w:numPr>
                <w:ilvl w:val="0"/>
                <w:numId w:val="13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开关设备：支持定时开关、遥控开关、通电自启等方式开关机；</w:t>
            </w:r>
          </w:p>
          <w:p w14:paraId="2D1C31D5">
            <w:pPr>
              <w:keepNext w:val="0"/>
              <w:keepLines w:val="0"/>
              <w:pageBreakBefore w:val="0"/>
              <w:numPr>
                <w:ilvl w:val="0"/>
                <w:numId w:val="13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机身参数：</w:t>
            </w:r>
          </w:p>
          <w:p w14:paraId="3D40E8A9">
            <w:pPr>
              <w:keepNext w:val="0"/>
              <w:keepLines w:val="0"/>
              <w:pageBreakBefore w:val="0"/>
              <w:numPr>
                <w:ilvl w:val="0"/>
                <w:numId w:val="13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边框材质：铝型材（氧化拉丝工艺）；</w:t>
            </w:r>
          </w:p>
          <w:p w14:paraId="7922D697">
            <w:pPr>
              <w:keepNext w:val="0"/>
              <w:keepLines w:val="0"/>
              <w:pageBreakBefore w:val="0"/>
              <w:numPr>
                <w:ilvl w:val="0"/>
                <w:numId w:val="13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机身材质：镀锌板（金属喷涂工艺）；</w:t>
            </w:r>
          </w:p>
          <w:p w14:paraId="18F62BED">
            <w:pPr>
              <w:keepNext w:val="0"/>
              <w:keepLines w:val="0"/>
              <w:pageBreakBefore w:val="0"/>
              <w:numPr>
                <w:ilvl w:val="0"/>
                <w:numId w:val="13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表面材质：钢化玻璃（物理钢化工艺）；</w:t>
            </w:r>
          </w:p>
          <w:p w14:paraId="7D99B172">
            <w:pPr>
              <w:keepNext w:val="0"/>
              <w:keepLines w:val="0"/>
              <w:pageBreakBefore w:val="0"/>
              <w:numPr>
                <w:ilvl w:val="0"/>
                <w:numId w:val="13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机身尺寸：不大于981.6*569.6*64mm；</w:t>
            </w:r>
          </w:p>
          <w:p w14:paraId="3C77594A">
            <w:pPr>
              <w:keepNext w:val="0"/>
              <w:keepLines w:val="0"/>
              <w:pageBreakBefore w:val="0"/>
              <w:numPr>
                <w:ilvl w:val="0"/>
                <w:numId w:val="13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底座参数：</w:t>
            </w:r>
          </w:p>
          <w:p w14:paraId="24CFCCEB">
            <w:pPr>
              <w:keepNext w:val="0"/>
              <w:keepLines w:val="0"/>
              <w:pageBreakBefore w:val="0"/>
              <w:numPr>
                <w:ilvl w:val="0"/>
                <w:numId w:val="13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材质：镀锌板；</w:t>
            </w:r>
          </w:p>
          <w:p w14:paraId="36AE18A5">
            <w:pPr>
              <w:keepNext w:val="0"/>
              <w:keepLines w:val="0"/>
              <w:pageBreakBefore w:val="0"/>
              <w:numPr>
                <w:ilvl w:val="0"/>
                <w:numId w:val="13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安装孔位：400*200mm；</w:t>
            </w:r>
          </w:p>
          <w:p w14:paraId="160EC85D">
            <w:pPr>
              <w:keepNext w:val="0"/>
              <w:keepLines w:val="0"/>
              <w:pageBreakBefore w:val="0"/>
              <w:numPr>
                <w:ilvl w:val="0"/>
                <w:numId w:val="13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底座重量：8KG；</w:t>
            </w:r>
          </w:p>
          <w:p w14:paraId="510DA244">
            <w:pPr>
              <w:keepNext w:val="0"/>
              <w:keepLines w:val="0"/>
              <w:pageBreakBefore w:val="0"/>
              <w:numPr>
                <w:ilvl w:val="0"/>
                <w:numId w:val="13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配件：调节脚杯*4个；</w:t>
            </w:r>
          </w:p>
          <w:p w14:paraId="19A9947E">
            <w:pPr>
              <w:keepNext w:val="0"/>
              <w:keepLines w:val="0"/>
              <w:pageBreakBefore w:val="0"/>
              <w:numPr>
                <w:ilvl w:val="0"/>
                <w:numId w:val="13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M8螺丝*4颗；</w:t>
            </w:r>
          </w:p>
          <w:p w14:paraId="404A9105">
            <w:pPr>
              <w:keepNext w:val="0"/>
              <w:keepLines w:val="0"/>
              <w:pageBreakBefore w:val="0"/>
              <w:numPr>
                <w:ilvl w:val="0"/>
                <w:numId w:val="13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电气性能：</w:t>
            </w:r>
          </w:p>
          <w:p w14:paraId="278A9217">
            <w:pPr>
              <w:keepNext w:val="0"/>
              <w:keepLines w:val="0"/>
              <w:pageBreakBefore w:val="0"/>
              <w:numPr>
                <w:ilvl w:val="0"/>
                <w:numId w:val="13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输入电压：AC110-220V；</w:t>
            </w:r>
          </w:p>
          <w:p w14:paraId="0432BFB8">
            <w:pPr>
              <w:keepNext w:val="0"/>
              <w:keepLines w:val="0"/>
              <w:pageBreakBefore w:val="0"/>
              <w:numPr>
                <w:ilvl w:val="0"/>
                <w:numId w:val="13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待机功率：≦1W；</w:t>
            </w:r>
          </w:p>
          <w:p w14:paraId="062F16F5">
            <w:pPr>
              <w:keepNext w:val="0"/>
              <w:keepLines w:val="0"/>
              <w:pageBreakBefore w:val="0"/>
              <w:numPr>
                <w:ilvl w:val="0"/>
                <w:numId w:val="13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额定功率：≦55W；</w:t>
            </w:r>
          </w:p>
          <w:p w14:paraId="6BB3D177">
            <w:pPr>
              <w:keepNext w:val="0"/>
              <w:keepLines w:val="0"/>
              <w:pageBreakBefore w:val="0"/>
              <w:numPr>
                <w:ilvl w:val="0"/>
                <w:numId w:val="13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存储环境：温度‐5℃~60℃/湿度10%RH~90%RH；</w:t>
            </w:r>
          </w:p>
          <w:p w14:paraId="5796631E">
            <w:pPr>
              <w:keepNext w:val="0"/>
              <w:keepLines w:val="0"/>
              <w:pageBreakBefore w:val="0"/>
              <w:numPr>
                <w:ilvl w:val="0"/>
                <w:numId w:val="13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工作环境：温度‐0℃~55℃/湿度10%RH~90%RH；</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0DD01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5D4A7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54F94030">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33307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E034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智能溯源收货秤</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70103C">
            <w:pPr>
              <w:keepNext w:val="0"/>
              <w:keepLines w:val="0"/>
              <w:pageBreakBefore w:val="0"/>
              <w:numPr>
                <w:ilvl w:val="0"/>
                <w:numId w:val="13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0170E6D9">
            <w:pPr>
              <w:keepNext w:val="0"/>
              <w:keepLines w:val="0"/>
              <w:pageBreakBefore w:val="0"/>
              <w:numPr>
                <w:ilvl w:val="0"/>
                <w:numId w:val="13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快速验货登记、票证拍照、快捷验收，生成台账；</w:t>
            </w:r>
          </w:p>
          <w:p w14:paraId="46C23D62">
            <w:pPr>
              <w:keepNext w:val="0"/>
              <w:keepLines w:val="0"/>
              <w:pageBreakBefore w:val="0"/>
              <w:numPr>
                <w:ilvl w:val="0"/>
                <w:numId w:val="13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快速出库登记、领料，并自动生成台账；</w:t>
            </w:r>
          </w:p>
          <w:p w14:paraId="588AAE63">
            <w:pPr>
              <w:keepNext w:val="0"/>
              <w:keepLines w:val="0"/>
              <w:pageBreakBefore w:val="0"/>
              <w:numPr>
                <w:ilvl w:val="0"/>
                <w:numId w:val="13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进行现有库存明细查询；</w:t>
            </w:r>
          </w:p>
          <w:p w14:paraId="144B7BD9">
            <w:pPr>
              <w:keepNext w:val="0"/>
              <w:keepLines w:val="0"/>
              <w:pageBreakBefore w:val="0"/>
              <w:numPr>
                <w:ilvl w:val="0"/>
                <w:numId w:val="13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设备参数：</w:t>
            </w:r>
          </w:p>
          <w:p w14:paraId="1BAB6617">
            <w:pPr>
              <w:keepNext w:val="0"/>
              <w:keepLines w:val="0"/>
              <w:pageBreakBefore w:val="0"/>
              <w:numPr>
                <w:ilvl w:val="0"/>
                <w:numId w:val="140"/>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364432D0">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主板：不低于armrk3568的性能；</w:t>
            </w:r>
          </w:p>
          <w:p w14:paraId="7DC3106B">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操作系统：安卓；</w:t>
            </w:r>
          </w:p>
          <w:p w14:paraId="4A285AF7">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内存：4G+32G；</w:t>
            </w:r>
          </w:p>
          <w:p w14:paraId="316E6442">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网络：以太网wifi；</w:t>
            </w:r>
          </w:p>
          <w:p w14:paraId="1C3F2867">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屏幕：14.1寸电容屏；1280*800；</w:t>
            </w:r>
          </w:p>
          <w:p w14:paraId="4EEF361C">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最大量程：150KG；</w:t>
            </w:r>
          </w:p>
          <w:p w14:paraId="472D48C7">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分度数：3000；</w:t>
            </w:r>
          </w:p>
          <w:p w14:paraId="0718BB32">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分度值：50g；</w:t>
            </w:r>
          </w:p>
          <w:p w14:paraId="64392E00">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最小量程：1000g；</w:t>
            </w:r>
          </w:p>
          <w:p w14:paraId="4831216D">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秤台尺寸：不低于400mm*500mm；</w:t>
            </w:r>
          </w:p>
          <w:p w14:paraId="27C58853">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电源充电器</w:t>
            </w:r>
            <w:r>
              <w:rPr>
                <w:rFonts w:hint="eastAsia" w:ascii="宋体" w:hAnsi="宋体" w:eastAsia="宋体" w:cs="宋体"/>
                <w:color w:val="auto"/>
                <w:sz w:val="24"/>
                <w:szCs w:val="24"/>
              </w:rPr>
              <w:tab/>
            </w:r>
            <w:r>
              <w:rPr>
                <w:rFonts w:hint="eastAsia" w:ascii="宋体" w:hAnsi="宋体" w:eastAsia="宋体" w:cs="宋体"/>
                <w:color w:val="auto"/>
                <w:sz w:val="24"/>
                <w:szCs w:val="24"/>
              </w:rPr>
              <w:t>输入AC220V,输出DC12.6V/5A；</w:t>
            </w:r>
          </w:p>
          <w:p w14:paraId="4F6BCBA5">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环境湿度：0～90%空气湿度，无冷凝；</w:t>
            </w:r>
          </w:p>
          <w:p w14:paraId="6879C195">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电池：12V10000mAh锂电池组，常温非打印状态下，可正常工作约10—12小时；</w:t>
            </w:r>
          </w:p>
          <w:p w14:paraId="6106EC27">
            <w:pPr>
              <w:keepNext w:val="0"/>
              <w:keepLines w:val="0"/>
              <w:pageBreakBefore w:val="0"/>
              <w:numPr>
                <w:ilvl w:val="0"/>
                <w:numId w:val="14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摄像头：800万像素；</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8268A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2D5C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7F17D951">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B6D0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2D37F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餐饮具消毒监管</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EC0331">
            <w:pPr>
              <w:keepNext w:val="0"/>
              <w:keepLines w:val="0"/>
              <w:pageBreakBefore w:val="0"/>
              <w:numPr>
                <w:ilvl w:val="0"/>
                <w:numId w:val="14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功能描述：</w:t>
            </w:r>
          </w:p>
          <w:p w14:paraId="273528BF">
            <w:pPr>
              <w:keepNext w:val="0"/>
              <w:keepLines w:val="0"/>
              <w:pageBreakBefore w:val="0"/>
              <w:numPr>
                <w:ilvl w:val="0"/>
                <w:numId w:val="143"/>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支持现场实时监测，数据实时统计，系统远程预警；</w:t>
            </w:r>
          </w:p>
          <w:p w14:paraId="541DC243">
            <w:pPr>
              <w:keepNext w:val="0"/>
              <w:keepLines w:val="0"/>
              <w:pageBreakBefore w:val="0"/>
              <w:numPr>
                <w:ilvl w:val="0"/>
                <w:numId w:val="14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智能空开设备参数：</w:t>
            </w:r>
          </w:p>
          <w:p w14:paraId="1B292589">
            <w:pPr>
              <w:keepNext w:val="0"/>
              <w:keepLines w:val="0"/>
              <w:pageBreakBefore w:val="0"/>
              <w:numPr>
                <w:ilvl w:val="0"/>
                <w:numId w:val="144"/>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3E08AD1E">
            <w:pPr>
              <w:keepNext w:val="0"/>
              <w:keepLines w:val="0"/>
              <w:pageBreakBefore w:val="0"/>
              <w:numPr>
                <w:ilvl w:val="0"/>
                <w:numId w:val="14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环境温度：-15℃～40℃;空气相对湿度：≤95%（不凝露）</w:t>
            </w:r>
          </w:p>
          <w:p w14:paraId="7C4065EC">
            <w:pPr>
              <w:keepNext w:val="0"/>
              <w:keepLines w:val="0"/>
              <w:pageBreakBefore w:val="0"/>
              <w:numPr>
                <w:ilvl w:val="0"/>
                <w:numId w:val="14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海拔≤2000m;污染等级：2级;无显著振动和冲击的地方</w:t>
            </w:r>
          </w:p>
          <w:p w14:paraId="32A3C55D">
            <w:pPr>
              <w:keepNext w:val="0"/>
              <w:keepLines w:val="0"/>
              <w:pageBreakBefore w:val="0"/>
              <w:numPr>
                <w:ilvl w:val="0"/>
                <w:numId w:val="14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输入电压：AC100V～250V。额定输出电压：DC12V。额定输出电流MAXDC2A。</w:t>
            </w:r>
          </w:p>
          <w:p w14:paraId="342CD690">
            <w:pPr>
              <w:keepNext w:val="0"/>
              <w:keepLines w:val="0"/>
              <w:pageBreakBefore w:val="0"/>
              <w:numPr>
                <w:ilvl w:val="0"/>
                <w:numId w:val="14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防雷击浪涌保护，最大泄放电流：20kA。安装方式：导轨卡口。</w:t>
            </w:r>
          </w:p>
          <w:p w14:paraId="5FB18809">
            <w:pPr>
              <w:keepNext w:val="0"/>
              <w:keepLines w:val="0"/>
              <w:pageBreakBefore w:val="0"/>
              <w:numPr>
                <w:ilvl w:val="0"/>
                <w:numId w:val="14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电源模组设备参数：、</w:t>
            </w:r>
          </w:p>
          <w:p w14:paraId="79B6B8E8">
            <w:pPr>
              <w:keepNext w:val="0"/>
              <w:keepLines w:val="0"/>
              <w:pageBreakBefore w:val="0"/>
              <w:numPr>
                <w:ilvl w:val="0"/>
                <w:numId w:val="14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20650BB0">
            <w:pPr>
              <w:keepNext w:val="0"/>
              <w:keepLines w:val="0"/>
              <w:pageBreakBefore w:val="0"/>
              <w:numPr>
                <w:ilvl w:val="0"/>
                <w:numId w:val="14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外形尺寸不高于94*35*70mm（尺寸公差：±1mm）;安装占位2P;安装方式导轨卡扣安装</w:t>
            </w:r>
          </w:p>
          <w:p w14:paraId="7CEB913C">
            <w:pPr>
              <w:keepNext w:val="0"/>
              <w:keepLines w:val="0"/>
              <w:pageBreakBefore w:val="0"/>
              <w:numPr>
                <w:ilvl w:val="0"/>
                <w:numId w:val="14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重量≈220g;允许线径MAX25mm;AC输入2*25mm;2接地端子25mm</w:t>
            </w:r>
          </w:p>
          <w:p w14:paraId="1A054A81">
            <w:pPr>
              <w:keepNext w:val="0"/>
              <w:keepLines w:val="0"/>
              <w:pageBreakBefore w:val="0"/>
              <w:numPr>
                <w:ilvl w:val="0"/>
                <w:numId w:val="14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2DC输出6PIN针端子;电源指示灯红色+绿色;工作电压AC100VtoAC250V，输出电压DC12V;输出电流MAX2000mA</w:t>
            </w:r>
          </w:p>
          <w:p w14:paraId="3A5343AB">
            <w:pPr>
              <w:keepNext w:val="0"/>
              <w:keepLines w:val="0"/>
              <w:pageBreakBefore w:val="0"/>
              <w:numPr>
                <w:ilvl w:val="0"/>
                <w:numId w:val="14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静态功耗0.5W;工作温度-5to+45℃;额定泄放电流10kA;最大泄放电流20KA</w:t>
            </w:r>
          </w:p>
          <w:p w14:paraId="2E8A266C">
            <w:pPr>
              <w:keepNext w:val="0"/>
              <w:keepLines w:val="0"/>
              <w:pageBreakBefore w:val="0"/>
              <w:numPr>
                <w:ilvl w:val="0"/>
                <w:numId w:val="14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通讯模组设备参数：</w:t>
            </w:r>
          </w:p>
          <w:p w14:paraId="54EF2A45">
            <w:pPr>
              <w:keepNext w:val="0"/>
              <w:keepLines w:val="0"/>
              <w:pageBreakBefore w:val="0"/>
              <w:numPr>
                <w:ilvl w:val="0"/>
                <w:numId w:val="14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083E8A0F">
            <w:pPr>
              <w:keepNext w:val="0"/>
              <w:keepLines w:val="0"/>
              <w:pageBreakBefore w:val="0"/>
              <w:numPr>
                <w:ilvl w:val="0"/>
                <w:numId w:val="14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工作电压DC12V;功率消耗&lt;2W;工作温度-20~70℃存储温度-40~75℃;相对湿度5%~95%（无冷凝）</w:t>
            </w:r>
          </w:p>
          <w:p w14:paraId="191E6FC4">
            <w:pPr>
              <w:keepNext w:val="0"/>
              <w:keepLines w:val="0"/>
              <w:pageBreakBefore w:val="0"/>
              <w:numPr>
                <w:ilvl w:val="0"/>
                <w:numId w:val="14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外形尺寸不高于109*72*18mm;安装占位1P;安装方式35mm导轨安装;重量≈85g</w:t>
            </w:r>
          </w:p>
          <w:p w14:paraId="6D441466">
            <w:pPr>
              <w:keepNext w:val="0"/>
              <w:keepLines w:val="0"/>
              <w:pageBreakBefore w:val="0"/>
              <w:numPr>
                <w:ilvl w:val="0"/>
                <w:numId w:val="14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6PIN数据口模组互联通讯接口，采用6PIN针连接;天线接口SMA;BUS蓝色;NET蓝色;SYS红色</w:t>
            </w:r>
          </w:p>
          <w:p w14:paraId="59628D90">
            <w:pPr>
              <w:keepNext w:val="0"/>
              <w:keepLines w:val="0"/>
              <w:pageBreakBefore w:val="0"/>
              <w:numPr>
                <w:ilvl w:val="0"/>
                <w:numId w:val="14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联动模块设备参数：</w:t>
            </w:r>
          </w:p>
          <w:p w14:paraId="5371F212">
            <w:pPr>
              <w:keepNext w:val="0"/>
              <w:keepLines w:val="0"/>
              <w:pageBreakBefore w:val="0"/>
              <w:numPr>
                <w:ilvl w:val="0"/>
                <w:numId w:val="150"/>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043D4BDF">
            <w:pPr>
              <w:keepNext w:val="0"/>
              <w:keepLines w:val="0"/>
              <w:pageBreakBefore w:val="0"/>
              <w:numPr>
                <w:ilvl w:val="0"/>
                <w:numId w:val="15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工作电压DC12V;功率消耗1.5W;输出数;4个开关量继电器输出端子;4个数字量OC输出端子（光耦的输入输出只能2选1）</w:t>
            </w:r>
          </w:p>
          <w:p w14:paraId="65F39BFA">
            <w:pPr>
              <w:keepNext w:val="0"/>
              <w:keepLines w:val="0"/>
              <w:pageBreakBefore w:val="0"/>
              <w:numPr>
                <w:ilvl w:val="0"/>
                <w:numId w:val="15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输出类型;开关量继电器输出：支持最大负载能力：125VAC/0.5A，持最大承受电压250VAC。各自独立，默认常开状态</w:t>
            </w:r>
          </w:p>
          <w:p w14:paraId="3A1D7530">
            <w:pPr>
              <w:keepNext w:val="0"/>
              <w:keepLines w:val="0"/>
              <w:pageBreakBefore w:val="0"/>
              <w:numPr>
                <w:ilvl w:val="0"/>
                <w:numId w:val="15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报警输出时闭合;数字量OC输出：支持最大24V电压接入;输入数4个开关量输入端子（光耦的输入输出只能2选1）;输入类型开关量（内置电源，干接点输入）</w:t>
            </w:r>
          </w:p>
          <w:p w14:paraId="1F437D8F">
            <w:pPr>
              <w:keepNext w:val="0"/>
              <w:keepLines w:val="0"/>
              <w:pageBreakBefore w:val="0"/>
              <w:numPr>
                <w:ilvl w:val="0"/>
                <w:numId w:val="15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尺寸不高于94*70*18mm（尺寸公差：±1mm）;安装占位1P;安装方式导轨安装;工作温度-15to+60℃</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6E8E6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BC31D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5BD686CA">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81537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F86C6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智能人脸留样冰箱</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8F8DEB">
            <w:pPr>
              <w:keepNext w:val="0"/>
              <w:keepLines w:val="0"/>
              <w:pageBreakBefore w:val="0"/>
              <w:numPr>
                <w:ilvl w:val="0"/>
                <w:numId w:val="1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7EEC3287">
            <w:pPr>
              <w:keepNext w:val="0"/>
              <w:keepLines w:val="0"/>
              <w:pageBreakBefore w:val="0"/>
              <w:numPr>
                <w:ilvl w:val="0"/>
                <w:numId w:val="15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专人专用（人脸识别开门）、自动除霜；</w:t>
            </w:r>
          </w:p>
          <w:p w14:paraId="7838345D">
            <w:pPr>
              <w:keepNext w:val="0"/>
              <w:keepLines w:val="0"/>
              <w:pageBreakBefore w:val="0"/>
              <w:numPr>
                <w:ilvl w:val="0"/>
                <w:numId w:val="15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自动存档，记录人员、时间，方便回溯；</w:t>
            </w:r>
          </w:p>
          <w:p w14:paraId="5C4BA308">
            <w:pPr>
              <w:keepNext w:val="0"/>
              <w:keepLines w:val="0"/>
              <w:pageBreakBefore w:val="0"/>
              <w:numPr>
                <w:ilvl w:val="0"/>
                <w:numId w:val="15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设备参数：</w:t>
            </w:r>
          </w:p>
          <w:p w14:paraId="36C9C69A">
            <w:pPr>
              <w:keepNext w:val="0"/>
              <w:keepLines w:val="0"/>
              <w:pageBreakBefore w:val="0"/>
              <w:numPr>
                <w:ilvl w:val="0"/>
                <w:numId w:val="15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7E55EBE9">
            <w:pPr>
              <w:keepNext w:val="0"/>
              <w:keepLines w:val="0"/>
              <w:pageBreakBefore w:val="0"/>
              <w:numPr>
                <w:ilvl w:val="0"/>
                <w:numId w:val="15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外观尺寸：不低于高X宽X厚=1980X1100X630mm；</w:t>
            </w:r>
          </w:p>
          <w:p w14:paraId="242CDB8E">
            <w:pPr>
              <w:keepNext w:val="0"/>
              <w:keepLines w:val="0"/>
              <w:pageBreakBefore w:val="0"/>
              <w:numPr>
                <w:ilvl w:val="0"/>
                <w:numId w:val="15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制冷温度范围：0到18度；</w:t>
            </w:r>
          </w:p>
          <w:p w14:paraId="05C436AB">
            <w:pPr>
              <w:keepNext w:val="0"/>
              <w:keepLines w:val="0"/>
              <w:pageBreakBefore w:val="0"/>
              <w:numPr>
                <w:ilvl w:val="0"/>
                <w:numId w:val="15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自动除霜：具有自动除霜功能，确保蒸发器不结冰；</w:t>
            </w:r>
          </w:p>
          <w:p w14:paraId="183907C4">
            <w:pPr>
              <w:keepNext w:val="0"/>
              <w:keepLines w:val="0"/>
              <w:pageBreakBefore w:val="0"/>
              <w:numPr>
                <w:ilvl w:val="0"/>
                <w:numId w:val="15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灯光控制：内部两壁具有照明LED灯管。顶部广告牌有灯光照明；</w:t>
            </w:r>
          </w:p>
          <w:p w14:paraId="43513E7B">
            <w:pPr>
              <w:keepNext w:val="0"/>
              <w:keepLines w:val="0"/>
              <w:pageBreakBefore w:val="0"/>
              <w:numPr>
                <w:ilvl w:val="0"/>
                <w:numId w:val="15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门禁系统：</w:t>
            </w:r>
          </w:p>
          <w:p w14:paraId="3D708D4F">
            <w:pPr>
              <w:keepNext w:val="0"/>
              <w:keepLines w:val="0"/>
              <w:pageBreakBefore w:val="0"/>
              <w:numPr>
                <w:ilvl w:val="0"/>
                <w:numId w:val="15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摄像头安装高度：摄像头安装位置离地面在140cm到150cm之间；</w:t>
            </w:r>
          </w:p>
          <w:p w14:paraId="5021EEF2">
            <w:pPr>
              <w:keepNext w:val="0"/>
              <w:keepLines w:val="0"/>
              <w:pageBreakBefore w:val="0"/>
              <w:numPr>
                <w:ilvl w:val="0"/>
                <w:numId w:val="15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人脸识别要求：具有双目立体人脸识别功能，具有较强的安全性；</w:t>
            </w:r>
          </w:p>
          <w:p w14:paraId="6383F985">
            <w:pPr>
              <w:keepNext w:val="0"/>
              <w:keepLines w:val="0"/>
              <w:pageBreakBefore w:val="0"/>
              <w:numPr>
                <w:ilvl w:val="0"/>
                <w:numId w:val="15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人脸数据设定：可以设定不少于100张预置人脸；</w:t>
            </w:r>
          </w:p>
          <w:p w14:paraId="280CB1A7">
            <w:pPr>
              <w:keepNext w:val="0"/>
              <w:keepLines w:val="0"/>
              <w:pageBreakBefore w:val="0"/>
              <w:numPr>
                <w:ilvl w:val="0"/>
                <w:numId w:val="15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玻璃门锁：每个柜门都有独立门锁，并可通过门禁系统控制，刷脸开门。6秒落锁；</w:t>
            </w:r>
          </w:p>
          <w:p w14:paraId="4A6A6639">
            <w:pPr>
              <w:keepNext w:val="0"/>
              <w:keepLines w:val="0"/>
              <w:pageBreakBefore w:val="0"/>
              <w:numPr>
                <w:ilvl w:val="0"/>
                <w:numId w:val="15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开门数据：门禁系统具有数据接口，可以把人员数据和开关门记录数据上传到远程服务器；</w:t>
            </w:r>
          </w:p>
          <w:p w14:paraId="3F1DFB8E">
            <w:pPr>
              <w:keepNext w:val="0"/>
              <w:keepLines w:val="0"/>
              <w:pageBreakBefore w:val="0"/>
              <w:numPr>
                <w:ilvl w:val="0"/>
                <w:numId w:val="15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性能指标：</w:t>
            </w:r>
          </w:p>
          <w:p w14:paraId="3442660E">
            <w:pPr>
              <w:keepNext w:val="0"/>
              <w:keepLines w:val="0"/>
              <w:pageBreakBefore w:val="0"/>
              <w:numPr>
                <w:ilvl w:val="0"/>
                <w:numId w:val="15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降温速度：环境温度30度时，制冷启动后，内部从环境温度降温到5度，不多于20分钟；</w:t>
            </w:r>
          </w:p>
          <w:p w14:paraId="3C7B55AD">
            <w:pPr>
              <w:keepNext w:val="0"/>
              <w:keepLines w:val="0"/>
              <w:pageBreakBefore w:val="0"/>
              <w:numPr>
                <w:ilvl w:val="0"/>
                <w:numId w:val="15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人脸识别准确率：识别率高于95%，误识别率低于万分之一；</w:t>
            </w:r>
          </w:p>
          <w:p w14:paraId="03E1B01E">
            <w:pPr>
              <w:keepNext w:val="0"/>
              <w:keepLines w:val="0"/>
              <w:pageBreakBefore w:val="0"/>
              <w:numPr>
                <w:ilvl w:val="0"/>
                <w:numId w:val="15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落锁要求：人脸识别成功，开锁。开锁后6秒内柜门没有打开即重新上锁；</w:t>
            </w:r>
          </w:p>
          <w:p w14:paraId="31227865">
            <w:pPr>
              <w:keepNext w:val="0"/>
              <w:keepLines w:val="0"/>
              <w:pageBreakBefore w:val="0"/>
              <w:numPr>
                <w:ilvl w:val="0"/>
                <w:numId w:val="15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门禁抗干扰能力：门禁在接地良好情况下，不出现触控不灵情况；</w:t>
            </w:r>
          </w:p>
          <w:p w14:paraId="0EFD9601">
            <w:pPr>
              <w:keepNext w:val="0"/>
              <w:keepLines w:val="0"/>
              <w:pageBreakBefore w:val="0"/>
              <w:numPr>
                <w:ilvl w:val="0"/>
                <w:numId w:val="157"/>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耗电量：环境温度30度时，设定温度为5度，24小时耗电量小于4.5KWH；</w:t>
            </w:r>
          </w:p>
          <w:p w14:paraId="4A7DE14F">
            <w:pPr>
              <w:keepNext w:val="0"/>
              <w:keepLines w:val="0"/>
              <w:pageBreakBefore w:val="0"/>
              <w:numPr>
                <w:ilvl w:val="0"/>
                <w:numId w:val="15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运行环境</w:t>
            </w:r>
          </w:p>
          <w:p w14:paraId="4C3A1F7E">
            <w:pPr>
              <w:keepNext w:val="0"/>
              <w:keepLines w:val="0"/>
              <w:pageBreakBefore w:val="0"/>
              <w:numPr>
                <w:ilvl w:val="0"/>
                <w:numId w:val="1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环境温度：0到40度；</w:t>
            </w:r>
          </w:p>
          <w:p w14:paraId="7B6770D4">
            <w:pPr>
              <w:keepNext w:val="0"/>
              <w:keepLines w:val="0"/>
              <w:pageBreakBefore w:val="0"/>
              <w:numPr>
                <w:ilvl w:val="0"/>
                <w:numId w:val="1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环境湿度：20%到95%；</w:t>
            </w:r>
          </w:p>
          <w:p w14:paraId="40DEC765">
            <w:pPr>
              <w:keepNext w:val="0"/>
              <w:keepLines w:val="0"/>
              <w:pageBreakBefore w:val="0"/>
              <w:numPr>
                <w:ilvl w:val="0"/>
                <w:numId w:val="1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海拔高度：&lt;2000米；</w:t>
            </w:r>
          </w:p>
          <w:p w14:paraId="24D2B899">
            <w:pPr>
              <w:keepNext w:val="0"/>
              <w:keepLines w:val="0"/>
              <w:pageBreakBefore w:val="0"/>
              <w:numPr>
                <w:ilvl w:val="0"/>
                <w:numId w:val="15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供电系统：电压220V，频率50Hz；</w:t>
            </w:r>
          </w:p>
          <w:p w14:paraId="4B2132BF">
            <w:pPr>
              <w:keepNext w:val="0"/>
              <w:keepLines w:val="0"/>
              <w:pageBreakBefore w:val="0"/>
              <w:numPr>
                <w:ilvl w:val="0"/>
                <w:numId w:val="15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支持查询开门留样事件，留样事件支持自动生成，且保持5年以上；</w:t>
            </w:r>
          </w:p>
          <w:p w14:paraId="66B160A8">
            <w:pPr>
              <w:keepNext w:val="0"/>
              <w:keepLines w:val="0"/>
              <w:pageBreakBefore w:val="0"/>
              <w:numPr>
                <w:ilvl w:val="0"/>
                <w:numId w:val="15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支持留样区域及权限设定，可限定留样冰箱用于档口留样还是大餐留样；</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B1191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0DD1D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48330BC0">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30C9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5D996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多功能食品安全检测仪</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084B01">
            <w:pPr>
              <w:keepNext w:val="0"/>
              <w:keepLines w:val="0"/>
              <w:pageBreakBefore w:val="0"/>
              <w:numPr>
                <w:ilvl w:val="0"/>
                <w:numId w:val="15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455B1464">
            <w:pPr>
              <w:keepNext w:val="0"/>
              <w:keepLines w:val="0"/>
              <w:pageBreakBefore w:val="0"/>
              <w:numPr>
                <w:ilvl w:val="0"/>
                <w:numId w:val="16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对多种食材进行定性定量检测，输出检测报告；</w:t>
            </w:r>
          </w:p>
          <w:p w14:paraId="06DC2FF0">
            <w:pPr>
              <w:keepNext w:val="0"/>
              <w:keepLines w:val="0"/>
              <w:pageBreakBefore w:val="0"/>
              <w:numPr>
                <w:ilvl w:val="0"/>
                <w:numId w:val="15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设备参数：</w:t>
            </w:r>
          </w:p>
          <w:p w14:paraId="1522371A">
            <w:pPr>
              <w:keepNext w:val="0"/>
              <w:keepLines w:val="0"/>
              <w:pageBreakBefore w:val="0"/>
              <w:numPr>
                <w:ilvl w:val="0"/>
                <w:numId w:val="16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357EE751">
            <w:pPr>
              <w:keepNext w:val="0"/>
              <w:keepLines w:val="0"/>
              <w:pageBreakBefore w:val="0"/>
              <w:numPr>
                <w:ilvl w:val="0"/>
                <w:numId w:val="16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显示方式：支持不低于7英寸液晶触摸屏显示；</w:t>
            </w:r>
          </w:p>
          <w:p w14:paraId="3EB33F5F">
            <w:pPr>
              <w:keepNext w:val="0"/>
              <w:keepLines w:val="0"/>
              <w:pageBreakBefore w:val="0"/>
              <w:numPr>
                <w:ilvl w:val="0"/>
                <w:numId w:val="16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供电方式：交直流两用，直流12V供电；</w:t>
            </w:r>
          </w:p>
          <w:p w14:paraId="7DCE95F5">
            <w:pPr>
              <w:keepNext w:val="0"/>
              <w:keepLines w:val="0"/>
              <w:pageBreakBefore w:val="0"/>
              <w:numPr>
                <w:ilvl w:val="0"/>
                <w:numId w:val="16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采样方式：不间断进样，连续检测；</w:t>
            </w:r>
          </w:p>
          <w:p w14:paraId="3EE21432">
            <w:pPr>
              <w:keepNext w:val="0"/>
              <w:keepLines w:val="0"/>
              <w:pageBreakBefore w:val="0"/>
              <w:numPr>
                <w:ilvl w:val="0"/>
                <w:numId w:val="16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检测内容：非食用化学物质、滥用食品添加剂、农药残留、兽药残留、重金属、病害肉、营养强化剂、抗生素类残留、激素类残留、真菌毒素类残留、化学类残留；</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D562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601C9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175A93E1">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169B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14</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D4958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客流量智能人员统计摄像头</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49051F">
            <w:pPr>
              <w:keepNext w:val="0"/>
              <w:keepLines w:val="0"/>
              <w:pageBreakBefore w:val="0"/>
              <w:numPr>
                <w:ilvl w:val="0"/>
                <w:numId w:val="16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5CE872EC">
            <w:pPr>
              <w:keepNext w:val="0"/>
              <w:keepLines w:val="0"/>
              <w:pageBreakBefore w:val="0"/>
              <w:numPr>
                <w:ilvl w:val="0"/>
                <w:numId w:val="16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支持进行每日食堂客流统计：人员留存、今日客流量、昨日客流、新增、近七天客流量趋势、日客流时间对比、档口热度；</w:t>
            </w:r>
          </w:p>
          <w:p w14:paraId="696F28BE">
            <w:pPr>
              <w:keepNext w:val="0"/>
              <w:keepLines w:val="0"/>
              <w:pageBreakBefore w:val="0"/>
              <w:numPr>
                <w:ilvl w:val="0"/>
                <w:numId w:val="16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支持食堂档口候餐热度监管：档口候餐人员统计、日候餐人数趋势、档口抓拍、热门档口排行；</w:t>
            </w:r>
          </w:p>
          <w:p w14:paraId="1F13AB3C">
            <w:pPr>
              <w:keepNext w:val="0"/>
              <w:keepLines w:val="0"/>
              <w:pageBreakBefore w:val="0"/>
              <w:numPr>
                <w:ilvl w:val="0"/>
                <w:numId w:val="16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设备参数：</w:t>
            </w:r>
          </w:p>
          <w:p w14:paraId="043020A9">
            <w:pPr>
              <w:keepNext w:val="0"/>
              <w:keepLines w:val="0"/>
              <w:pageBreakBefore w:val="0"/>
              <w:numPr>
                <w:ilvl w:val="0"/>
                <w:numId w:val="165"/>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1F09FFFA">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同时预览路数：最多20路；</w:t>
            </w:r>
          </w:p>
          <w:p w14:paraId="434743CA">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网络存储：支持MicrQSR/MicrQSRHC/MicrQSDXC卡（最大256GB）断网本地存储及断网续传，NAS(NFS,SMB/CIFS均支持），配合海康黑卡支持SD卡加密及SD卡状态检测；</w:t>
            </w:r>
          </w:p>
          <w:p w14:paraId="232B91A5">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用户管理：最多32个用户，可分3级用户权限管理：管理员，操作员，普通用户；</w:t>
            </w:r>
          </w:p>
          <w:p w14:paraId="06DA09B2">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网络协议：TCP/IP，ICMP，HTTP，HTTPS，FTP，DHCP，DNS，DDNS，RTP，RTSP，RTCP，PPPoE，NTP，UPnP，SMTP，SNMP，IGMP，802.1X，QoS，IPv6，UDP，Bonjour，WebSocket，WebSockets；</w:t>
            </w:r>
          </w:p>
          <w:p w14:paraId="1A817D4C">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接口协议（API）：开放型网络视频接口，ISAPI，GB28181，SDK，ISUP5.0；</w:t>
            </w:r>
          </w:p>
          <w:p w14:paraId="17ECA22B">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浏览器：使用插件预览：IE11；</w:t>
            </w:r>
          </w:p>
          <w:p w14:paraId="5C6F4354">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无插件预览：Safari12+；</w:t>
            </w:r>
          </w:p>
          <w:p w14:paraId="59CB9D82">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使用本地服务预览：Chrome57.0+，Firefox52.0+；</w:t>
            </w:r>
          </w:p>
          <w:p w14:paraId="7E619498">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不建议使用：Safari11+，edge；</w:t>
            </w:r>
          </w:p>
          <w:p w14:paraId="42136BC2">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网络：1个RJ4510M/100M自适应以太网口；</w:t>
            </w:r>
          </w:p>
          <w:p w14:paraId="46ADD1E0">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SD卡扩展：内置；MicroSD/MicroSDHC/MicroSDXC插槽，最大支持256GB；</w:t>
            </w:r>
          </w:p>
          <w:p w14:paraId="46D5B7A1">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音频：1路输入（Linein），1路输出（Lineout），接口类型open裸线，2个内置麦克风，1个内置喇叭；</w:t>
            </w:r>
          </w:p>
          <w:p w14:paraId="6B61E779">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报警：1路输入，1路输出（报警输入支持开关量，报警输出最大支持DC12V，30mA），接口类型open裸线；</w:t>
            </w:r>
          </w:p>
          <w:p w14:paraId="5DB87CAC">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RS-485:1个RS-485接口，半双工模式，支持自适应HIKVISION，PELCO-P和PELCO-D协议，接口类型open裸线；</w:t>
            </w:r>
          </w:p>
          <w:p w14:paraId="2EB923D7">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复位：支持；</w:t>
            </w:r>
          </w:p>
          <w:p w14:paraId="3866CA92">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电源输出：DC12V，100mA，接口类型端子座；</w:t>
            </w:r>
          </w:p>
          <w:p w14:paraId="3E343FB3">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接口类型：外甩线；</w:t>
            </w:r>
          </w:p>
          <w:p w14:paraId="6F8C15BB">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存储温湿度</w:t>
            </w:r>
            <w:r>
              <w:rPr>
                <w:rFonts w:hint="eastAsia" w:ascii="宋体" w:hAnsi="宋体" w:eastAsia="宋体" w:cs="宋体"/>
                <w:color w:val="auto"/>
                <w:sz w:val="24"/>
                <w:szCs w:val="24"/>
              </w:rPr>
              <w:tab/>
            </w:r>
            <w:r>
              <w:rPr>
                <w:rFonts w:hint="eastAsia" w:ascii="宋体" w:hAnsi="宋体" w:eastAsia="宋体" w:cs="宋体"/>
                <w:color w:val="auto"/>
                <w:sz w:val="24"/>
                <w:szCs w:val="24"/>
              </w:rPr>
              <w:t>-30℃~60℃，湿度小于95%（无凝结）；</w:t>
            </w:r>
          </w:p>
          <w:p w14:paraId="7FEB3A76">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启动和工作温湿度：-30℃~60℃，湿度小于95%（无凝结）；</w:t>
            </w:r>
          </w:p>
          <w:p w14:paraId="019C5831">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电流及功耗：DC：12V，0.9A，最大功耗：10.8W；</w:t>
            </w:r>
          </w:p>
          <w:p w14:paraId="28ADE618">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PoE：802.3at，42.5V～57V，0.32A～0.24A，最大功耗：13.5W；</w:t>
            </w:r>
          </w:p>
          <w:p w14:paraId="47DBC688">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供电方式：DC：12V±20%，支持防反接保护；</w:t>
            </w:r>
          </w:p>
          <w:p w14:paraId="4BBE490A">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PoE:802.3at，Type2，Class4；</w:t>
            </w:r>
          </w:p>
          <w:p w14:paraId="184E6CED">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电源接口类型：3芯接口；</w:t>
            </w:r>
          </w:p>
          <w:p w14:paraId="098BCFE5">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线缆长度：35cm；</w:t>
            </w:r>
          </w:p>
          <w:p w14:paraId="0E00F5D1">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通用功能：一键恢复，心跳，镜像，密码保护，视频遮盖，水印技术，IP地址过滤；</w:t>
            </w:r>
          </w:p>
          <w:p w14:paraId="0ABB3AA5">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恢复出厂设置：支持RESET按键，客户端或浏览器恢复；</w:t>
            </w:r>
          </w:p>
          <w:p w14:paraId="35AC7EF1">
            <w:pPr>
              <w:keepNext w:val="0"/>
              <w:keepLines w:val="0"/>
              <w:pageBreakBefore w:val="0"/>
              <w:numPr>
                <w:ilvl w:val="0"/>
                <w:numId w:val="16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在线升级：支持；</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3F198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06B94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4426AD7E">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D663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672E6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陌生人识别摄像机</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CB16DF">
            <w:pPr>
              <w:keepNext w:val="0"/>
              <w:keepLines w:val="0"/>
              <w:pageBreakBefore w:val="0"/>
              <w:numPr>
                <w:ilvl w:val="0"/>
                <w:numId w:val="16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0257EF3E">
            <w:pPr>
              <w:keepNext w:val="0"/>
              <w:keepLines w:val="0"/>
              <w:pageBreakBefore w:val="0"/>
              <w:numPr>
                <w:ilvl w:val="0"/>
                <w:numId w:val="16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支持识别非食堂人员，进行风险上报，本地提醒；</w:t>
            </w:r>
          </w:p>
          <w:p w14:paraId="3346FF25">
            <w:pPr>
              <w:keepNext w:val="0"/>
              <w:keepLines w:val="0"/>
              <w:pageBreakBefore w:val="0"/>
              <w:numPr>
                <w:ilvl w:val="0"/>
                <w:numId w:val="16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陌生人识别摄像机设备参数:</w:t>
            </w:r>
          </w:p>
          <w:p w14:paraId="572913F9">
            <w:pPr>
              <w:keepNext w:val="0"/>
              <w:keepLines w:val="0"/>
              <w:pageBreakBefore w:val="0"/>
              <w:numPr>
                <w:ilvl w:val="0"/>
                <w:numId w:val="16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35C51483">
            <w:pPr>
              <w:keepNext w:val="0"/>
              <w:keepLines w:val="0"/>
              <w:pageBreakBefore w:val="0"/>
              <w:numPr>
                <w:ilvl w:val="0"/>
                <w:numId w:val="17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主板性能：不低于算力 1.0Tops、内存:8Gbit、闪存8GBEMMC的性能；</w:t>
            </w:r>
          </w:p>
          <w:p w14:paraId="09202386">
            <w:pPr>
              <w:keepNext w:val="0"/>
              <w:keepLines w:val="0"/>
              <w:pageBreakBefore w:val="0"/>
              <w:numPr>
                <w:ilvl w:val="0"/>
                <w:numId w:val="17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传感器类型：1/3"CMOS；</w:t>
            </w:r>
          </w:p>
          <w:p w14:paraId="48A23434">
            <w:pPr>
              <w:keepNext w:val="0"/>
              <w:keepLines w:val="0"/>
              <w:pageBreakBefore w:val="0"/>
              <w:numPr>
                <w:ilvl w:val="0"/>
                <w:numId w:val="17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镜头类型：电动变焦；</w:t>
            </w:r>
          </w:p>
          <w:p w14:paraId="6EC6A3BB">
            <w:pPr>
              <w:keepNext w:val="0"/>
              <w:keepLines w:val="0"/>
              <w:pageBreakBefore w:val="0"/>
              <w:numPr>
                <w:ilvl w:val="0"/>
                <w:numId w:val="17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视场角：(H)103.4°- 29.3°；(V)54.3°- 16.5°；(D)124.2°- 33.6°；</w:t>
            </w:r>
          </w:p>
          <w:p w14:paraId="2A1153B7">
            <w:pPr>
              <w:keepNext w:val="0"/>
              <w:keepLines w:val="0"/>
              <w:pageBreakBefore w:val="0"/>
              <w:numPr>
                <w:ilvl w:val="0"/>
                <w:numId w:val="17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光圈：1.6-3.3士10%；</w:t>
            </w:r>
          </w:p>
          <w:p w14:paraId="17E0D692">
            <w:pPr>
              <w:keepNext w:val="0"/>
              <w:keepLines w:val="0"/>
              <w:pageBreakBefore w:val="0"/>
              <w:numPr>
                <w:ilvl w:val="0"/>
                <w:numId w:val="17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焦距：2.8-12mm；</w:t>
            </w:r>
          </w:p>
          <w:p w14:paraId="38373DCE">
            <w:pPr>
              <w:keepNext w:val="0"/>
              <w:keepLines w:val="0"/>
              <w:pageBreakBefore w:val="0"/>
              <w:numPr>
                <w:ilvl w:val="0"/>
                <w:numId w:val="170"/>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自动聚焦：支持；</w:t>
            </w:r>
          </w:p>
          <w:p w14:paraId="63466EBD">
            <w:pPr>
              <w:keepNext w:val="0"/>
              <w:keepLines w:val="0"/>
              <w:pageBreakBefore w:val="0"/>
              <w:numPr>
                <w:ilvl w:val="0"/>
                <w:numId w:val="16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网络特性：</w:t>
            </w:r>
          </w:p>
          <w:p w14:paraId="53B6A411">
            <w:pPr>
              <w:keepNext w:val="0"/>
              <w:keepLines w:val="0"/>
              <w:pageBreakBefore w:val="0"/>
              <w:numPr>
                <w:ilvl w:val="0"/>
                <w:numId w:val="17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网络协议：HTTP, TCP, RTSP, RTP, UDP, RTCP, SMTP, FTP, DHCP, DNS, DDNSPPPoE, IPv4/v6, UPnP, NTP；</w:t>
            </w:r>
          </w:p>
          <w:p w14:paraId="5DAAD024">
            <w:pPr>
              <w:keepNext w:val="0"/>
              <w:keepLines w:val="0"/>
              <w:pageBreakBefore w:val="0"/>
              <w:numPr>
                <w:ilvl w:val="0"/>
                <w:numId w:val="17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协议：Onvif,GB28181,GA/T1400,MQTT, HTTP；</w:t>
            </w:r>
          </w:p>
          <w:p w14:paraId="40C46EF7">
            <w:pPr>
              <w:keepNext w:val="0"/>
              <w:keepLines w:val="0"/>
              <w:pageBreakBefore w:val="0"/>
              <w:numPr>
                <w:ilvl w:val="0"/>
                <w:numId w:val="16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功能参数：</w:t>
            </w:r>
          </w:p>
          <w:p w14:paraId="005C4333">
            <w:pPr>
              <w:keepNext w:val="0"/>
              <w:keepLines w:val="0"/>
              <w:pageBreakBefore w:val="0"/>
              <w:numPr>
                <w:ilvl w:val="0"/>
                <w:numId w:val="1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通用行为分析：区域入侵,绊线入侵，人数统计；</w:t>
            </w:r>
          </w:p>
          <w:p w14:paraId="6548F505">
            <w:pPr>
              <w:keepNext w:val="0"/>
              <w:keepLines w:val="0"/>
              <w:pageBreakBefore w:val="0"/>
              <w:numPr>
                <w:ilvl w:val="0"/>
                <w:numId w:val="1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报警功能：声光报警,隐私遮挡报警,移动侦测报警,网络故障报警,语音播报；</w:t>
            </w:r>
          </w:p>
          <w:p w14:paraId="4D27D95B">
            <w:pPr>
              <w:keepNext w:val="0"/>
              <w:keepLines w:val="0"/>
              <w:pageBreakBefore w:val="0"/>
              <w:numPr>
                <w:ilvl w:val="0"/>
                <w:numId w:val="1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录像模式：手动录像,视频事件检测录像，定时录像,报警录像；</w:t>
            </w:r>
          </w:p>
          <w:p w14:paraId="0E9DD7D4">
            <w:pPr>
              <w:keepNext w:val="0"/>
              <w:keepLines w:val="0"/>
              <w:pageBreakBefore w:val="0"/>
              <w:numPr>
                <w:ilvl w:val="0"/>
                <w:numId w:val="1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OSD信息叠加：时间,通道标题，设备名称，支持自定义；</w:t>
            </w:r>
          </w:p>
          <w:p w14:paraId="3550BB77">
            <w:pPr>
              <w:keepNext w:val="0"/>
              <w:keepLines w:val="0"/>
              <w:pageBreakBefore w:val="0"/>
              <w:numPr>
                <w:ilvl w:val="0"/>
                <w:numId w:val="1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日夜模式：白天、夜晚,支持定时转换,手动转换，自动转换；</w:t>
            </w:r>
          </w:p>
          <w:p w14:paraId="2A9185DA">
            <w:pPr>
              <w:keepNext w:val="0"/>
              <w:keepLines w:val="0"/>
              <w:pageBreakBefore w:val="0"/>
              <w:numPr>
                <w:ilvl w:val="0"/>
                <w:numId w:val="1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隐 私 遮 蔽：支持4个区域设置；</w:t>
            </w:r>
          </w:p>
          <w:p w14:paraId="70258D32">
            <w:pPr>
              <w:keepNext w:val="0"/>
              <w:keepLines w:val="0"/>
              <w:pageBreakBefore w:val="0"/>
              <w:numPr>
                <w:ilvl w:val="0"/>
                <w:numId w:val="1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镜像：支持 90°/180°图像翻转；</w:t>
            </w:r>
          </w:p>
          <w:p w14:paraId="07100BB8">
            <w:pPr>
              <w:keepNext w:val="0"/>
              <w:keepLines w:val="0"/>
              <w:pageBreakBefore w:val="0"/>
              <w:numPr>
                <w:ilvl w:val="0"/>
                <w:numId w:val="17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ROI：支持；</w:t>
            </w:r>
          </w:p>
          <w:p w14:paraId="6E4D46A7">
            <w:pPr>
              <w:keepNext w:val="0"/>
              <w:keepLines w:val="0"/>
              <w:pageBreakBefore w:val="0"/>
              <w:numPr>
                <w:ilvl w:val="0"/>
                <w:numId w:val="16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接口参数：</w:t>
            </w:r>
          </w:p>
          <w:p w14:paraId="01B6B24D">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网络接口：1个RJ45，10/100M 自适应以太网口；</w:t>
            </w:r>
          </w:p>
          <w:p w14:paraId="547FC477">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电源接口：DC12V /2A(-15%~+10%)；</w:t>
            </w:r>
          </w:p>
          <w:p w14:paraId="0BCCE3BF">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报警接口：1进1出；</w:t>
            </w:r>
          </w:p>
          <w:p w14:paraId="11E5D746">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音频接口：路音频输入/1路音频输出(RCA 头)，内置 MIC/扬声器；</w:t>
            </w:r>
          </w:p>
          <w:p w14:paraId="22CA852B">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SD 卡接口：最大容量 256GB；</w:t>
            </w:r>
          </w:p>
          <w:p w14:paraId="0AB2FA26">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工作电压：DC12V /2A(-15%~+10%)；</w:t>
            </w:r>
          </w:p>
          <w:p w14:paraId="36A017B2">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功耗：&lt;8W；</w:t>
            </w:r>
          </w:p>
          <w:p w14:paraId="452B8329">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工作温度：-30℃-+60℃；</w:t>
            </w:r>
          </w:p>
          <w:p w14:paraId="10B44B89">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工作湿度：0%~95% RH(无凝结)；</w:t>
            </w:r>
          </w:p>
          <w:p w14:paraId="4F33DDA6">
            <w:pPr>
              <w:keepNext w:val="0"/>
              <w:keepLines w:val="0"/>
              <w:pageBreakBefore w:val="0"/>
              <w:numPr>
                <w:ilvl w:val="0"/>
                <w:numId w:val="17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防护等级：IP66；</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F405E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C1A0A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1DFE73D9">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3B13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14A7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冷库摄像头</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EBC74B">
            <w:pPr>
              <w:keepNext w:val="0"/>
              <w:keepLines w:val="0"/>
              <w:pageBreakBefore w:val="0"/>
              <w:numPr>
                <w:ilvl w:val="0"/>
                <w:numId w:val="1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311A9105">
            <w:pPr>
              <w:keepNext w:val="0"/>
              <w:keepLines w:val="0"/>
              <w:pageBreakBefore w:val="0"/>
              <w:numPr>
                <w:ilvl w:val="0"/>
                <w:numId w:val="17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支持本地场景展示、冷库内部画面、语音预警提醒(温度状态、冷库门状态、人员选留)；</w:t>
            </w:r>
          </w:p>
          <w:p w14:paraId="01B653F4">
            <w:pPr>
              <w:keepNext w:val="0"/>
              <w:keepLines w:val="0"/>
              <w:pageBreakBefore w:val="0"/>
              <w:numPr>
                <w:ilvl w:val="0"/>
                <w:numId w:val="17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支持设置预警提醒时间(例:冷库门持续未关预警事件)；</w:t>
            </w:r>
          </w:p>
          <w:p w14:paraId="7C7DB217">
            <w:pPr>
              <w:keepNext w:val="0"/>
              <w:keepLines w:val="0"/>
              <w:pageBreakBefore w:val="0"/>
              <w:numPr>
                <w:ilvl w:val="0"/>
                <w:numId w:val="17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支持后台查看冷库状态数据、物联预警事件数据；</w:t>
            </w:r>
          </w:p>
          <w:p w14:paraId="058874C7">
            <w:pPr>
              <w:keepNext w:val="0"/>
              <w:keepLines w:val="0"/>
              <w:pageBreakBefore w:val="0"/>
              <w:numPr>
                <w:ilvl w:val="0"/>
                <w:numId w:val="1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物联中控屏设备参数：</w:t>
            </w:r>
          </w:p>
          <w:p w14:paraId="7656D18E">
            <w:pPr>
              <w:keepNext w:val="0"/>
              <w:keepLines w:val="0"/>
              <w:pageBreakBefore w:val="0"/>
              <w:numPr>
                <w:ilvl w:val="0"/>
                <w:numId w:val="17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2DEFAE25">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外壳：前置钢化玻璃+塑胶外壳；</w:t>
            </w:r>
          </w:p>
          <w:p w14:paraId="2975EC1D">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保护面板：钢化玻璃；</w:t>
            </w:r>
          </w:p>
          <w:p w14:paraId="6E00A95F">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尺寸：不低于10.1寸；</w:t>
            </w:r>
          </w:p>
          <w:p w14:paraId="15EC34DA">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屏幕比例：16:9；</w:t>
            </w:r>
          </w:p>
          <w:p w14:paraId="33DAB086">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摄像头像素：100W；</w:t>
            </w:r>
          </w:p>
          <w:p w14:paraId="2FC227D0">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像素间距：0.17925×0.17925mm；</w:t>
            </w:r>
          </w:p>
          <w:p w14:paraId="44FB3AF8">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亮度：350cd/m²可视角度85/85/85/85（左/右/上/下）；</w:t>
            </w:r>
          </w:p>
          <w:p w14:paraId="59402CB3">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对比度：1000:1；</w:t>
            </w:r>
          </w:p>
          <w:p w14:paraId="45219D48">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颜色数：16.7M；</w:t>
            </w:r>
          </w:p>
          <w:p w14:paraId="533DACD8">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灯管寿命：超过50000小时；</w:t>
            </w:r>
          </w:p>
          <w:p w14:paraId="377C5D17">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操作系统：Android7.1.2；</w:t>
            </w:r>
          </w:p>
          <w:p w14:paraId="0386808F">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CPU：四核；</w:t>
            </w:r>
          </w:p>
          <w:p w14:paraId="183E61B4">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CPU主频：1.8GHz；</w:t>
            </w:r>
          </w:p>
          <w:p w14:paraId="7EF5E226">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内存：DDR32G；</w:t>
            </w:r>
          </w:p>
          <w:p w14:paraId="0F447C04">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内置存储容量：EMMC8G；</w:t>
            </w:r>
          </w:p>
          <w:p w14:paraId="10EA7973">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喇叭：8Ω2W；</w:t>
            </w:r>
          </w:p>
          <w:p w14:paraId="06E0278A">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网络：支持WiFi、BT；</w:t>
            </w:r>
          </w:p>
          <w:p w14:paraId="33575803">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接口：I/O:2*USB，可扩展2*USB；</w:t>
            </w:r>
          </w:p>
          <w:p w14:paraId="78A5AD60">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工作环境温度：0～50摄氏度；</w:t>
            </w:r>
          </w:p>
          <w:p w14:paraId="44C3880E">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触摸精度：±2mm；</w:t>
            </w:r>
          </w:p>
          <w:p w14:paraId="4164E46F">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响应时间：25ms~30ms；</w:t>
            </w:r>
          </w:p>
          <w:p w14:paraId="3E0D8598">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可识别物体：手指或者专用触摸笔；</w:t>
            </w:r>
          </w:p>
          <w:p w14:paraId="7AEB0938">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透明度：≥85％±2％；</w:t>
            </w:r>
          </w:p>
          <w:p w14:paraId="3C12B799">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温度范围：工作温度：-10℃~60℃；</w:t>
            </w:r>
          </w:p>
          <w:p w14:paraId="19CA93A8">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供电方式：外置12V/2A适配器；</w:t>
            </w:r>
          </w:p>
          <w:p w14:paraId="4985E13B">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整机功率：15W；</w:t>
            </w:r>
          </w:p>
          <w:p w14:paraId="4CA12F9B">
            <w:pPr>
              <w:keepNext w:val="0"/>
              <w:keepLines w:val="0"/>
              <w:pageBreakBefore w:val="0"/>
              <w:widowControl/>
              <w:numPr>
                <w:ilvl w:val="0"/>
                <w:numId w:val="177"/>
              </w:numPr>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安装方式：壁挂式；</w:t>
            </w:r>
          </w:p>
          <w:p w14:paraId="7D46B6EE">
            <w:pPr>
              <w:keepNext w:val="0"/>
              <w:keepLines w:val="0"/>
              <w:pageBreakBefore w:val="0"/>
              <w:numPr>
                <w:ilvl w:val="0"/>
                <w:numId w:val="1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冷库摄像头设备参数：</w:t>
            </w:r>
          </w:p>
          <w:p w14:paraId="3EDAF6F4">
            <w:pPr>
              <w:keepNext w:val="0"/>
              <w:keepLines w:val="0"/>
              <w:pageBreakBefore w:val="0"/>
              <w:numPr>
                <w:ilvl w:val="0"/>
                <w:numId w:val="178"/>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70943A0D">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焦距&amp;视场角：2.8mm，水平视场角:98.2，垂直视场角:54.2°，对角视场角:114.6°；</w:t>
            </w:r>
          </w:p>
          <w:p w14:paraId="6B6B013E">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6mm，水平视场角：49.1°，垂直视场角:26.3，对角视场角:57.2；</w:t>
            </w:r>
          </w:p>
          <w:p w14:paraId="7ED9C32F">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光圈类型：固定光圈；</w:t>
            </w:r>
          </w:p>
          <w:p w14:paraId="5D871780">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最大光圈数：F1.6；</w:t>
            </w:r>
          </w:p>
          <w:p w14:paraId="70DFABC0">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用户管理：最多32个用户，可分3级用户权限管理:管理员，操作员，普通用户；</w:t>
            </w:r>
          </w:p>
          <w:p w14:paraId="4E4F52B1">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接口协议(API)：开放型网络视频接口，ISAPI，GB28181-2016，ISUP(5.0)，视图库；</w:t>
            </w:r>
          </w:p>
          <w:p w14:paraId="7A7EDF07">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网络存储：支持MicrosD/MicroSDHc/MicrosDXC卡(最大256 GB)断网本地存储及断网续传，NAS(NFS,SMB/CIFS均支持)，配合海康黑卡支持SD卡加密及SD卡状态检测</w:t>
            </w:r>
          </w:p>
          <w:p w14:paraId="547AC7B6">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网络协议：TCP/IP, ICMP, HTTP, HTTPS, FTP, DHCP, DNS, DDNS, RTP, RTSP, RTCP, PPPOE, NTPWPNP,SMTP,SNMP,IGMP,802.1X,QOS,IP6,UDP,Bonjour, sSL/TLs, Websocket.Websockets(-GL机型不支持PPPOE)；</w:t>
            </w:r>
          </w:p>
          <w:p w14:paraId="6FCA9F3C">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浏览器</w:t>
            </w:r>
            <w:r>
              <w:rPr>
                <w:rFonts w:hint="eastAsia" w:ascii="宋体" w:hAnsi="宋体" w:eastAsia="宋体" w:cs="宋体"/>
                <w:color w:val="auto"/>
                <w:sz w:val="24"/>
                <w:szCs w:val="24"/>
              </w:rPr>
              <w:tab/>
            </w:r>
            <w:r>
              <w:rPr>
                <w:rFonts w:hint="eastAsia" w:ascii="宋体" w:hAnsi="宋体" w:eastAsia="宋体" w:cs="宋体"/>
                <w:color w:val="auto"/>
                <w:sz w:val="24"/>
                <w:szCs w:val="24"/>
              </w:rPr>
              <w:t>使用插件预览:IE10，IE11使用本地服务预览:Chrome57.0+，Firefox52.0+无插件预览:Chrome57.0+，Firefox52.0+，Safari12+；</w:t>
            </w:r>
          </w:p>
          <w:p w14:paraId="7AF099F3">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客户端：iVMS-4200，董石云；</w:t>
            </w:r>
          </w:p>
          <w:p w14:paraId="784282D5">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同时预览路数：20.0；</w:t>
            </w:r>
          </w:p>
          <w:p w14:paraId="4931B94D">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网络：1个RJ45 10 M/100 M自适应以太网口；</w:t>
            </w:r>
          </w:p>
          <w:p w14:paraId="11BE8DAE">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音频：1路输入(Linein)，1路输出(Line out)，2个内置麦克风，1个内置扬声器；</w:t>
            </w:r>
          </w:p>
          <w:p w14:paraId="7990F56D">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复位：支持；</w:t>
            </w:r>
          </w:p>
          <w:p w14:paraId="467FD3DF">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接口类型：外甩线；</w:t>
            </w:r>
          </w:p>
          <w:p w14:paraId="297606EA">
            <w:pPr>
              <w:keepNext w:val="0"/>
              <w:keepLines w:val="0"/>
              <w:pageBreakBefore w:val="0"/>
              <w:numPr>
                <w:ilvl w:val="0"/>
                <w:numId w:val="179"/>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电源接口类型：3芯接口；</w:t>
            </w:r>
          </w:p>
          <w:p w14:paraId="491CBB51">
            <w:pPr>
              <w:keepNext w:val="0"/>
              <w:keepLines w:val="0"/>
              <w:pageBreakBefore w:val="0"/>
              <w:numPr>
                <w:ilvl w:val="0"/>
                <w:numId w:val="1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IO通讯模块设备参数：</w:t>
            </w:r>
          </w:p>
          <w:p w14:paraId="3BCDD27D">
            <w:pPr>
              <w:keepNext w:val="0"/>
              <w:keepLines w:val="0"/>
              <w:pageBreakBefore w:val="0"/>
              <w:numPr>
                <w:ilvl w:val="0"/>
                <w:numId w:val="180"/>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0FEB6B8A">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触点容量:10A/250VAC；</w:t>
            </w:r>
          </w:p>
          <w:p w14:paraId="5CA8C065">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耐久性:10万次；</w:t>
            </w:r>
          </w:p>
          <w:p w14:paraId="72559D9B">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数据接口:RS232、RS485；</w:t>
            </w:r>
          </w:p>
          <w:p w14:paraId="0F86A9D0">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额定电压:DC 7-30V；</w:t>
            </w:r>
          </w:p>
          <w:p w14:paraId="750FAC2F">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电源指示:1路红色 LED 指示(通电时常亮)；</w:t>
            </w:r>
          </w:p>
          <w:p w14:paraId="68C93A44">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温度范围:工业级，-40℃~85℃；</w:t>
            </w:r>
          </w:p>
          <w:p w14:paraId="6CC5E754">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尺寸:不高于90*150*30mm；</w:t>
            </w:r>
          </w:p>
          <w:p w14:paraId="4542950E">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默认通讯格式:9600,n,8,1；</w:t>
            </w:r>
          </w:p>
          <w:p w14:paraId="051CD696">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波特率:2400.4800.9600 19200.38400.115200；</w:t>
            </w:r>
          </w:p>
          <w:p w14:paraId="125B5DBC">
            <w:pPr>
              <w:keepNext w:val="0"/>
              <w:keepLines w:val="0"/>
              <w:pageBreakBefore w:val="0"/>
              <w:numPr>
                <w:ilvl w:val="0"/>
                <w:numId w:val="18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软件支持:配套配置软件、控制软件；支持各家组态软件；支持Labviewd 等；</w:t>
            </w:r>
          </w:p>
          <w:p w14:paraId="6F9F5B7A">
            <w:pPr>
              <w:keepNext w:val="0"/>
              <w:keepLines w:val="0"/>
              <w:pageBreakBefore w:val="0"/>
              <w:numPr>
                <w:ilvl w:val="0"/>
                <w:numId w:val="1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温度变送器设备参数：</w:t>
            </w:r>
          </w:p>
          <w:p w14:paraId="3C85E0E9">
            <w:pPr>
              <w:keepNext w:val="0"/>
              <w:keepLines w:val="0"/>
              <w:pageBreakBefore w:val="0"/>
              <w:numPr>
                <w:ilvl w:val="0"/>
                <w:numId w:val="182"/>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1A773834">
            <w:pPr>
              <w:keepNext w:val="0"/>
              <w:keepLines w:val="0"/>
              <w:pageBreakBefore w:val="0"/>
              <w:numPr>
                <w:ilvl w:val="0"/>
                <w:numId w:val="18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供电电压：最小值DC 10V，标准值DC 12V，最大值DC 30V，条件：-20-70℃；</w:t>
            </w:r>
          </w:p>
          <w:p w14:paraId="3EC54614">
            <w:pPr>
              <w:keepNext w:val="0"/>
              <w:keepLines w:val="0"/>
              <w:pageBreakBefore w:val="0"/>
              <w:numPr>
                <w:ilvl w:val="0"/>
                <w:numId w:val="18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RS485总线电压：最小值4V，标准值4.1V，最大值4.5V，条件：与总线断开；</w:t>
            </w:r>
          </w:p>
          <w:p w14:paraId="41D6C5F9">
            <w:pPr>
              <w:keepNext w:val="0"/>
              <w:keepLines w:val="0"/>
              <w:pageBreakBefore w:val="0"/>
              <w:numPr>
                <w:ilvl w:val="0"/>
                <w:numId w:val="18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测量精度：热电阻±0.2，热电偶±1 ± 0.02%，电流电压±0.02%；</w:t>
            </w:r>
          </w:p>
          <w:p w14:paraId="7206439C">
            <w:pPr>
              <w:keepNext w:val="0"/>
              <w:keepLines w:val="0"/>
              <w:pageBreakBefore w:val="0"/>
              <w:numPr>
                <w:ilvl w:val="0"/>
                <w:numId w:val="183"/>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通信波特率：最小值1200bps，标准值9600bps，最大值115200bps；</w:t>
            </w:r>
          </w:p>
          <w:p w14:paraId="4B984E86">
            <w:pPr>
              <w:keepNext w:val="0"/>
              <w:keepLines w:val="0"/>
              <w:pageBreakBefore w:val="0"/>
              <w:numPr>
                <w:ilvl w:val="0"/>
                <w:numId w:val="1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铂热电阻设备参数：</w:t>
            </w:r>
          </w:p>
          <w:p w14:paraId="218AECA5">
            <w:pPr>
              <w:keepNext w:val="0"/>
              <w:keepLines w:val="0"/>
              <w:pageBreakBefore w:val="0"/>
              <w:numPr>
                <w:ilvl w:val="0"/>
                <w:numId w:val="184"/>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501DA2EC">
            <w:pPr>
              <w:keepNext w:val="0"/>
              <w:keepLines w:val="0"/>
              <w:pageBreakBefore w:val="0"/>
              <w:numPr>
                <w:ilvl w:val="0"/>
                <w:numId w:val="18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分度号：Pt100(默认)/K/E/J/T/PL1000等；</w:t>
            </w:r>
          </w:p>
          <w:p w14:paraId="12706F19">
            <w:pPr>
              <w:keepNext w:val="0"/>
              <w:keepLines w:val="0"/>
              <w:pageBreakBefore w:val="0"/>
              <w:numPr>
                <w:ilvl w:val="0"/>
                <w:numId w:val="18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测量范围：-50+200℃(Pt100)/0-200℃(0 /0-200℃(E)；</w:t>
            </w:r>
          </w:p>
          <w:p w14:paraId="377DA183">
            <w:pPr>
              <w:keepNext w:val="0"/>
              <w:keepLines w:val="0"/>
              <w:pageBreakBefore w:val="0"/>
              <w:numPr>
                <w:ilvl w:val="0"/>
                <w:numId w:val="18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保护管直径：4mm(默认)/另有3mm、5mm.6mm等可选择定制；</w:t>
            </w:r>
          </w:p>
          <w:p w14:paraId="5E2BE50F">
            <w:pPr>
              <w:keepNext w:val="0"/>
              <w:keepLines w:val="0"/>
              <w:pageBreakBefore w:val="0"/>
              <w:numPr>
                <w:ilvl w:val="0"/>
                <w:numId w:val="18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线材：三芯镀银四氟屏蔽线；</w:t>
            </w:r>
          </w:p>
          <w:p w14:paraId="55801C98">
            <w:pPr>
              <w:keepNext w:val="0"/>
              <w:keepLines w:val="0"/>
              <w:pageBreakBefore w:val="0"/>
              <w:numPr>
                <w:ilvl w:val="0"/>
                <w:numId w:val="18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保护管材质：304不锈钢，可定制316或者其他材质；</w:t>
            </w:r>
          </w:p>
          <w:p w14:paraId="29F2957F">
            <w:pPr>
              <w:keepNext w:val="0"/>
              <w:keepLines w:val="0"/>
              <w:pageBreakBefore w:val="0"/>
              <w:numPr>
                <w:ilvl w:val="0"/>
                <w:numId w:val="18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电阻类型：1/3B级、A级、B级、2B级可选；</w:t>
            </w:r>
          </w:p>
          <w:p w14:paraId="4E2FEEA5">
            <w:pPr>
              <w:keepNext w:val="0"/>
              <w:keepLines w:val="0"/>
              <w:pageBreakBefore w:val="0"/>
              <w:numPr>
                <w:ilvl w:val="0"/>
                <w:numId w:val="18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保护管长度：30mm(默认)/另有10/15/20/40/50/60/100/150/200mm等可选择定制；</w:t>
            </w:r>
          </w:p>
          <w:p w14:paraId="450D2F3F">
            <w:pPr>
              <w:keepNext w:val="0"/>
              <w:keepLines w:val="0"/>
              <w:pageBreakBefore w:val="0"/>
              <w:numPr>
                <w:ilvl w:val="0"/>
                <w:numId w:val="18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线长：0.5米/1米/1.5米/2米/3米，可按要求定制任意线长；</w:t>
            </w:r>
          </w:p>
          <w:p w14:paraId="5CBE150E">
            <w:pPr>
              <w:keepNext w:val="0"/>
              <w:keepLines w:val="0"/>
              <w:pageBreakBefore w:val="0"/>
              <w:numPr>
                <w:ilvl w:val="0"/>
                <w:numId w:val="18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接线端子：U型端子(默认)/可定制插针端子、小黄插头、航空插头等；</w:t>
            </w:r>
          </w:p>
          <w:p w14:paraId="1DC4055A">
            <w:pPr>
              <w:keepNext w:val="0"/>
              <w:keepLines w:val="0"/>
              <w:pageBreakBefore w:val="0"/>
              <w:numPr>
                <w:ilvl w:val="0"/>
                <w:numId w:val="17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挡鼠板门磁设备参数：</w:t>
            </w:r>
          </w:p>
          <w:p w14:paraId="24DA4269">
            <w:pPr>
              <w:keepNext w:val="0"/>
              <w:keepLines w:val="0"/>
              <w:pageBreakBefore w:val="0"/>
              <w:numPr>
                <w:ilvl w:val="0"/>
                <w:numId w:val="186"/>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主要参数：</w:t>
            </w:r>
          </w:p>
          <w:p w14:paraId="648135E0">
            <w:pPr>
              <w:keepNext w:val="0"/>
              <w:keepLines w:val="0"/>
              <w:pageBreakBefore w:val="0"/>
              <w:widowControl/>
              <w:numPr>
                <w:ilvl w:val="0"/>
                <w:numId w:val="18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感应距离：25-35MM；</w:t>
            </w:r>
          </w:p>
          <w:p w14:paraId="26E34365">
            <w:pPr>
              <w:keepNext w:val="0"/>
              <w:keepLines w:val="0"/>
              <w:pageBreakBefore w:val="0"/>
              <w:widowControl/>
              <w:numPr>
                <w:ilvl w:val="0"/>
                <w:numId w:val="18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孔距离：33MM；</w:t>
            </w:r>
          </w:p>
          <w:p w14:paraId="45015765">
            <w:pPr>
              <w:keepNext w:val="0"/>
              <w:keepLines w:val="0"/>
              <w:pageBreakBefore w:val="0"/>
              <w:widowControl/>
              <w:numPr>
                <w:ilvl w:val="0"/>
                <w:numId w:val="18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开关形式：常闭；</w:t>
            </w:r>
          </w:p>
          <w:p w14:paraId="5761108C">
            <w:pPr>
              <w:keepNext w:val="0"/>
              <w:keepLines w:val="0"/>
              <w:pageBreakBefore w:val="0"/>
              <w:widowControl/>
              <w:numPr>
                <w:ilvl w:val="0"/>
                <w:numId w:val="18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参数：最大功率10W，最高电压100V，最大电流0.5A；</w:t>
            </w:r>
          </w:p>
          <w:p w14:paraId="0ECD7D5E">
            <w:pPr>
              <w:keepNext w:val="0"/>
              <w:keepLines w:val="0"/>
              <w:pageBreakBefore w:val="0"/>
              <w:widowControl/>
              <w:numPr>
                <w:ilvl w:val="0"/>
                <w:numId w:val="187"/>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外壳材质：锌合金，银灰电镀；</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5F81E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BBBB4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2F43BDA4">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3D97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17</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9E81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水电能耗监管</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8E25CE">
            <w:pPr>
              <w:keepNext w:val="0"/>
              <w:keepLines w:val="0"/>
              <w:pageBreakBefore w:val="0"/>
              <w:numPr>
                <w:ilvl w:val="0"/>
                <w:numId w:val="18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功能</w:t>
            </w:r>
            <w:r>
              <w:rPr>
                <w:rFonts w:hint="eastAsia" w:ascii="宋体" w:hAnsi="宋体" w:eastAsia="宋体" w:cs="宋体"/>
                <w:color w:val="auto"/>
                <w:kern w:val="0"/>
                <w:sz w:val="24"/>
                <w:szCs w:val="24"/>
                <w:lang w:bidi="ar"/>
              </w:rPr>
              <w:t>描述：</w:t>
            </w:r>
          </w:p>
          <w:p w14:paraId="7B540613">
            <w:pPr>
              <w:keepNext w:val="0"/>
              <w:keepLines w:val="0"/>
              <w:pageBreakBefore w:val="0"/>
              <w:numPr>
                <w:ilvl w:val="0"/>
                <w:numId w:val="18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支持实时用水量、电量监测，设置用电预警提醒；</w:t>
            </w:r>
          </w:p>
          <w:p w14:paraId="491878FA">
            <w:pPr>
              <w:keepNext w:val="0"/>
              <w:keepLines w:val="0"/>
              <w:pageBreakBefore w:val="0"/>
              <w:numPr>
                <w:ilvl w:val="0"/>
                <w:numId w:val="18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支持每日用水、用电数据记录、对比；</w:t>
            </w:r>
          </w:p>
          <w:p w14:paraId="0F0076BE">
            <w:pPr>
              <w:keepNext w:val="0"/>
              <w:keepLines w:val="0"/>
              <w:pageBreakBefore w:val="0"/>
              <w:numPr>
                <w:ilvl w:val="0"/>
                <w:numId w:val="189"/>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支持依据不同场所设置总表、分表，进行数据统计；</w:t>
            </w:r>
          </w:p>
          <w:p w14:paraId="27C5F622">
            <w:pPr>
              <w:keepNext w:val="0"/>
              <w:keepLines w:val="0"/>
              <w:pageBreakBefore w:val="0"/>
              <w:numPr>
                <w:ilvl w:val="0"/>
                <w:numId w:val="18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用电管理设备参数：</w:t>
            </w:r>
          </w:p>
          <w:p w14:paraId="62F33EFA">
            <w:pPr>
              <w:keepNext w:val="0"/>
              <w:keepLines w:val="0"/>
              <w:pageBreakBefore w:val="0"/>
              <w:numPr>
                <w:ilvl w:val="0"/>
                <w:numId w:val="190"/>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IO通讯模块主要参数：</w:t>
            </w:r>
          </w:p>
          <w:p w14:paraId="5151F17B">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触点容量:10A/250VAC；</w:t>
            </w:r>
          </w:p>
          <w:p w14:paraId="57B349A6">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耐久性:10万次；</w:t>
            </w:r>
          </w:p>
          <w:p w14:paraId="42BA258F">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数据接口:RS232、RS485；</w:t>
            </w:r>
          </w:p>
          <w:p w14:paraId="1D150F8C">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额定电压:DC 7-30V；</w:t>
            </w:r>
          </w:p>
          <w:p w14:paraId="08F15FF7">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电源指示:1路红色 LED 指示(通电时常亮)；</w:t>
            </w:r>
          </w:p>
          <w:p w14:paraId="40B0EC6B">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温度范围:工业级，-40℃~85℃；</w:t>
            </w:r>
          </w:p>
          <w:p w14:paraId="052F0A7A">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尺寸:不高于90*150*30mm；</w:t>
            </w:r>
          </w:p>
          <w:p w14:paraId="08E9A85C">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默认通讯格式:9600,n,8,1；</w:t>
            </w:r>
          </w:p>
          <w:p w14:paraId="4526228F">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波特率:2400.4800.9600 19200.38400.115200；</w:t>
            </w:r>
          </w:p>
          <w:p w14:paraId="1ACC6E11">
            <w:pPr>
              <w:keepNext w:val="0"/>
              <w:keepLines w:val="0"/>
              <w:pageBreakBefore w:val="0"/>
              <w:numPr>
                <w:ilvl w:val="0"/>
                <w:numId w:val="191"/>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软件支持:配套配置软件、控制软件；支持各家组态软件；支持Labviewd 等；</w:t>
            </w:r>
          </w:p>
          <w:p w14:paraId="7E89A401">
            <w:pPr>
              <w:keepNext w:val="0"/>
              <w:keepLines w:val="0"/>
              <w:pageBreakBefore w:val="0"/>
              <w:numPr>
                <w:ilvl w:val="0"/>
                <w:numId w:val="190"/>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能耗监管-电主要参数：</w:t>
            </w:r>
          </w:p>
          <w:p w14:paraId="3B1367B0">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精度等级：有功1级；</w:t>
            </w:r>
          </w:p>
          <w:p w14:paraId="22E1FC6B">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参比电压：AC 220V±20%；</w:t>
            </w:r>
          </w:p>
          <w:p w14:paraId="1DDB247D">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电流规格：5(40)A，10(40)A，5(60)A,20(80)A，10(100)A；</w:t>
            </w:r>
          </w:p>
          <w:p w14:paraId="7ECB1453">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整机功耗：≤1W/8VA；</w:t>
            </w:r>
          </w:p>
          <w:p w14:paraId="27CD0D89">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参比频率：50HZ；</w:t>
            </w:r>
          </w:p>
          <w:p w14:paraId="64E5811E">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工作电压范围：70%Un-115%Un；</w:t>
            </w:r>
          </w:p>
          <w:p w14:paraId="323A033D">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工作温度：-20℃-+55℃；</w:t>
            </w:r>
          </w:p>
          <w:p w14:paraId="62CA78BB">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极限工作温度：-25℃-+70℃；</w:t>
            </w:r>
          </w:p>
          <w:p w14:paraId="5754E91C">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产品标准：GB/T17215.321；</w:t>
            </w:r>
          </w:p>
          <w:p w14:paraId="033940F9">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RS485串口：DL/T645-2007，DL/T645-1997为偶校验，Modbus-RTU为无校验；</w:t>
            </w:r>
          </w:p>
          <w:p w14:paraId="7C957524">
            <w:pPr>
              <w:keepNext w:val="0"/>
              <w:keepLines w:val="0"/>
              <w:pageBreakBefore w:val="0"/>
              <w:numPr>
                <w:ilvl w:val="0"/>
                <w:numId w:val="192"/>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外形尺寸(mm)：不高于145x105x51mm；</w:t>
            </w:r>
          </w:p>
          <w:p w14:paraId="52CD1C89">
            <w:pPr>
              <w:keepNext w:val="0"/>
              <w:keepLines w:val="0"/>
              <w:pageBreakBefore w:val="0"/>
              <w:numPr>
                <w:ilvl w:val="0"/>
                <w:numId w:val="188"/>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用水管理设备参数：</w:t>
            </w:r>
          </w:p>
          <w:p w14:paraId="6620A5BA">
            <w:pPr>
              <w:keepNext w:val="0"/>
              <w:keepLines w:val="0"/>
              <w:pageBreakBefore w:val="0"/>
              <w:numPr>
                <w:ilvl w:val="0"/>
                <w:numId w:val="193"/>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IO通讯模块主要参数：</w:t>
            </w:r>
          </w:p>
          <w:p w14:paraId="12641332">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触点容量:10A/250VAC；</w:t>
            </w:r>
          </w:p>
          <w:p w14:paraId="4A6FBE62">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耐久性:10万次；</w:t>
            </w:r>
          </w:p>
          <w:p w14:paraId="457F527A">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数据接口:RS232、RS485；</w:t>
            </w:r>
          </w:p>
          <w:p w14:paraId="68B798D8">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额定电压:DC 7-30V；</w:t>
            </w:r>
          </w:p>
          <w:p w14:paraId="6E4A56DE">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电源指示:1路红色 LED 指示(通电时常亮)；</w:t>
            </w:r>
          </w:p>
          <w:p w14:paraId="67A1788D">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温度范围:工业级，-40℃~85℃；</w:t>
            </w:r>
          </w:p>
          <w:p w14:paraId="3D4D851B">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尺寸:不高于90*150*30mm；</w:t>
            </w:r>
          </w:p>
          <w:p w14:paraId="0BB82433">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默认通讯格式:9600,n,8,1；</w:t>
            </w:r>
          </w:p>
          <w:p w14:paraId="298DBD72">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波特率:2400.4800.9600 19200.38400.115200；</w:t>
            </w:r>
          </w:p>
          <w:p w14:paraId="3B91A38A">
            <w:pPr>
              <w:keepNext w:val="0"/>
              <w:keepLines w:val="0"/>
              <w:pageBreakBefore w:val="0"/>
              <w:numPr>
                <w:ilvl w:val="0"/>
                <w:numId w:val="194"/>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软件支持:配套配置软件、控制软件；支持各家组态软件；支持Labviewd 等；</w:t>
            </w:r>
          </w:p>
          <w:p w14:paraId="00BDA589">
            <w:pPr>
              <w:keepNext w:val="0"/>
              <w:keepLines w:val="0"/>
              <w:pageBreakBefore w:val="0"/>
              <w:numPr>
                <w:ilvl w:val="0"/>
                <w:numId w:val="193"/>
              </w:numPr>
              <w:kinsoku/>
              <w:wordWrap/>
              <w:overflowPunct/>
              <w:topLinePunct w:val="0"/>
              <w:autoSpaceDE/>
              <w:autoSpaceDN/>
              <w:bidi w:val="0"/>
              <w:adjustRightInd/>
              <w:snapToGrid/>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能耗监管-水主要参数：</w:t>
            </w:r>
          </w:p>
          <w:p w14:paraId="0CCD7A5A">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抄表工作电流:M-bus通讯接口:≤10.0mA，RS-485通讯接口：≤1.5 mA，直读大口径水表：≤5.0mA；</w:t>
            </w:r>
          </w:p>
          <w:p w14:paraId="1FA2F2B8">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静态工作电流：M-bus通讯接口：≤1.0mA，RS-485通讯接口：&lt;≤.0mA，直读大口径水表：≤1.3mA；</w:t>
            </w:r>
          </w:p>
          <w:p w14:paraId="2B046FA6">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工作环境：温度范围：+0.1℃~+55℃，存储温度：-25℃-+65℃；</w:t>
            </w:r>
          </w:p>
          <w:p w14:paraId="1677782A">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通信规约：DL/T645、CJ/T 188、MODBUS、TTL、内部或用户指定协议</w:t>
            </w:r>
          </w:p>
          <w:p w14:paraId="759B7B73">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工作电压：M-bus通讯接口：DC36V，RS-485通讯接口：DC12V~24V；</w:t>
            </w:r>
          </w:p>
          <w:p w14:paraId="284C017F">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温度等级：T30(冷水表) T90(热水表)；</w:t>
            </w:r>
          </w:p>
          <w:p w14:paraId="1B63C800">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工作压力：≤1.0 MPa；</w:t>
            </w:r>
          </w:p>
          <w:p w14:paraId="2962CA9B">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压力损失等级：△P63；</w:t>
            </w:r>
          </w:p>
          <w:p w14:paraId="4A6C7083">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与上位机通讯方式：RS-485/M-bus 总线；</w:t>
            </w:r>
          </w:p>
          <w:p w14:paraId="4174C8C7">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准确度等级：2级；</w:t>
            </w:r>
          </w:p>
          <w:p w14:paraId="1BB50CE4">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通讯传输最大距离：300m；</w:t>
            </w:r>
          </w:p>
          <w:p w14:paraId="5B8F5C39">
            <w:pPr>
              <w:keepNext w:val="0"/>
              <w:keepLines w:val="0"/>
              <w:pageBreakBefore w:val="0"/>
              <w:numPr>
                <w:ilvl w:val="0"/>
                <w:numId w:val="195"/>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通讯传输速率：1200/2400/48009600bps；</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AE60A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2EA50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3E0C46B8">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0D05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18</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AEC3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明厨亮灶</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3B2C9E">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实现食堂所有区域全覆盖，无死角，摄像头像素不低于600万像素。按相关要求接入市场监管单位和学校安防系统。存储时长不低于90天。</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2CBA4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B769E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r w14:paraId="45731296">
        <w:tblPrEx>
          <w:tblBorders>
            <w:top w:val="single" w:color="B8CCE4" w:sz="6" w:space="0"/>
            <w:left w:val="single" w:color="B8CCE4" w:sz="6" w:space="0"/>
            <w:bottom w:val="single" w:color="B8CCE4" w:sz="6" w:space="0"/>
            <w:right w:val="single" w:color="B8CCE4" w:sz="6" w:space="0"/>
            <w:insideH w:val="single" w:color="B8CCE4" w:sz="6" w:space="0"/>
            <w:insideV w:val="single" w:color="B8CCE4" w:sz="6" w:space="0"/>
          </w:tblBorders>
          <w:tblCellMar>
            <w:top w:w="0" w:type="dxa"/>
            <w:left w:w="108" w:type="dxa"/>
            <w:bottom w:w="0" w:type="dxa"/>
            <w:right w:w="108" w:type="dxa"/>
          </w:tblCellMar>
        </w:tblPrEx>
        <w:trPr>
          <w:trHeight w:val="227" w:hRule="atLeast"/>
          <w:jc w:val="center"/>
        </w:trPr>
        <w:tc>
          <w:tcPr>
            <w:tcW w:w="7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95A43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19</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B1596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设备实施安装</w:t>
            </w:r>
          </w:p>
        </w:tc>
        <w:tc>
          <w:tcPr>
            <w:tcW w:w="61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CB78DA">
            <w:pPr>
              <w:keepNext w:val="0"/>
              <w:keepLines w:val="0"/>
              <w:pageBreakBefore w:val="0"/>
              <w:numPr>
                <w:ilvl w:val="0"/>
                <w:numId w:val="196"/>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硬件设备部署耗材、施工、安装、调试：</w:t>
            </w:r>
          </w:p>
          <w:p w14:paraId="707B2938">
            <w:pPr>
              <w:keepNext w:val="0"/>
              <w:keepLines w:val="0"/>
              <w:pageBreakBefore w:val="0"/>
              <w:numPr>
                <w:ilvl w:val="0"/>
                <w:numId w:val="197"/>
              </w:numPr>
              <w:kinsoku/>
              <w:wordWrap/>
              <w:overflowPunct/>
              <w:topLinePunct w:val="0"/>
              <w:autoSpaceDE/>
              <w:autoSpaceDN/>
              <w:bidi w:val="0"/>
              <w:adjustRightInd/>
              <w:snapToGrid/>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主体设备安装调试含：主要耗材+网线+电源线、PVC管材（根据实际需求提供）；主要辅材含水晶头、排插、卡扣、转接头等；</w:t>
            </w:r>
          </w:p>
        </w:tc>
        <w:tc>
          <w:tcPr>
            <w:tcW w:w="8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696D8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c>
          <w:tcPr>
            <w:tcW w:w="7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5C5EB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按需配置并征得采购人书面同意</w:t>
            </w:r>
          </w:p>
        </w:tc>
      </w:tr>
    </w:tbl>
    <w:p w14:paraId="2FCA02CA">
      <w:pPr>
        <w:spacing w:before="167" w:line="223" w:lineRule="auto"/>
        <w:rPr>
          <w:rFonts w:hint="eastAsia" w:ascii="宋体" w:hAnsi="宋体" w:eastAsia="宋体" w:cs="宋体"/>
          <w:color w:val="auto"/>
          <w:spacing w:val="8"/>
          <w:sz w:val="24"/>
          <w:szCs w:val="24"/>
          <w:highlight w:val="none"/>
          <w:lang w:val="en-US" w:eastAsia="zh-CN"/>
        </w:rPr>
      </w:pPr>
    </w:p>
    <w:p w14:paraId="75AD6609">
      <w:pPr>
        <w:spacing w:before="167" w:line="223" w:lineRule="auto"/>
        <w:rPr>
          <w:rFonts w:hint="eastAsia" w:ascii="宋体" w:hAnsi="宋体" w:eastAsia="宋体" w:cs="宋体"/>
          <w:color w:val="auto"/>
          <w:spacing w:val="8"/>
          <w:sz w:val="24"/>
          <w:szCs w:val="24"/>
          <w:highlight w:val="none"/>
          <w:lang w:val="en-US" w:eastAsia="zh-CN"/>
        </w:rPr>
      </w:pPr>
    </w:p>
    <w:p w14:paraId="13CF564E">
      <w:pPr>
        <w:spacing w:before="167" w:line="223" w:lineRule="auto"/>
        <w:rPr>
          <w:rFonts w:hint="eastAsia" w:ascii="宋体" w:hAnsi="宋体" w:eastAsia="宋体" w:cs="宋体"/>
          <w:color w:val="auto"/>
          <w:spacing w:val="8"/>
          <w:sz w:val="24"/>
          <w:szCs w:val="24"/>
          <w:highlight w:val="none"/>
          <w:lang w:val="en-US" w:eastAsia="zh-CN"/>
        </w:rPr>
      </w:pPr>
    </w:p>
    <w:p w14:paraId="7085D49B">
      <w:pPr>
        <w:spacing w:before="167" w:line="223" w:lineRule="auto"/>
        <w:rPr>
          <w:rFonts w:hint="eastAsia" w:ascii="宋体" w:hAnsi="宋体" w:eastAsia="宋体" w:cs="宋体"/>
          <w:color w:val="auto"/>
          <w:spacing w:val="8"/>
          <w:sz w:val="24"/>
          <w:szCs w:val="24"/>
          <w:highlight w:val="none"/>
          <w:lang w:val="en-US" w:eastAsia="zh-CN"/>
        </w:rPr>
      </w:pPr>
    </w:p>
    <w:p w14:paraId="6A921605">
      <w:pPr>
        <w:spacing w:before="167" w:line="223" w:lineRule="auto"/>
        <w:rPr>
          <w:rFonts w:hint="eastAsia" w:ascii="宋体" w:hAnsi="宋体" w:eastAsia="宋体" w:cs="宋体"/>
          <w:color w:val="auto"/>
          <w:spacing w:val="8"/>
          <w:sz w:val="24"/>
          <w:szCs w:val="24"/>
          <w:highlight w:val="none"/>
          <w:lang w:val="en-US" w:eastAsia="zh-CN"/>
        </w:rPr>
      </w:pPr>
    </w:p>
    <w:p w14:paraId="22E130AD">
      <w:pPr>
        <w:spacing w:before="167" w:line="223" w:lineRule="auto"/>
        <w:rPr>
          <w:rFonts w:hint="eastAsia" w:ascii="宋体" w:hAnsi="宋体" w:eastAsia="宋体" w:cs="宋体"/>
          <w:color w:val="auto"/>
          <w:spacing w:val="8"/>
          <w:sz w:val="24"/>
          <w:szCs w:val="24"/>
          <w:highlight w:val="none"/>
          <w:lang w:val="en-US" w:eastAsia="zh-CN"/>
        </w:rPr>
      </w:pPr>
    </w:p>
    <w:p w14:paraId="57B6D9CC">
      <w:pPr>
        <w:spacing w:before="167" w:line="223" w:lineRule="auto"/>
        <w:rPr>
          <w:rFonts w:hint="eastAsia" w:ascii="宋体" w:hAnsi="宋体" w:eastAsia="宋体" w:cs="宋体"/>
          <w:color w:val="auto"/>
          <w:spacing w:val="8"/>
          <w:sz w:val="24"/>
          <w:szCs w:val="24"/>
          <w:highlight w:val="none"/>
          <w:lang w:val="en-US" w:eastAsia="zh-CN"/>
        </w:rPr>
      </w:pPr>
    </w:p>
    <w:p w14:paraId="63B669E8">
      <w:pPr>
        <w:spacing w:before="167" w:line="223" w:lineRule="auto"/>
        <w:rPr>
          <w:rFonts w:hint="eastAsia" w:ascii="宋体" w:hAnsi="宋体" w:eastAsia="宋体" w:cs="宋体"/>
          <w:color w:val="auto"/>
          <w:spacing w:val="8"/>
          <w:sz w:val="24"/>
          <w:szCs w:val="24"/>
          <w:highlight w:val="none"/>
          <w:lang w:val="en-US" w:eastAsia="zh-CN"/>
        </w:rPr>
      </w:pPr>
    </w:p>
    <w:p w14:paraId="45DCBEA0">
      <w:pPr>
        <w:spacing w:before="167" w:line="223" w:lineRule="auto"/>
        <w:rPr>
          <w:rFonts w:hint="eastAsia" w:ascii="宋体" w:hAnsi="宋体" w:eastAsia="宋体" w:cs="宋体"/>
          <w:color w:val="auto"/>
          <w:spacing w:val="8"/>
          <w:sz w:val="24"/>
          <w:szCs w:val="24"/>
          <w:highlight w:val="none"/>
          <w:lang w:val="en-US" w:eastAsia="zh-CN"/>
        </w:rPr>
      </w:pPr>
    </w:p>
    <w:p w14:paraId="6A49F316">
      <w:pPr>
        <w:spacing w:before="167" w:line="223" w:lineRule="auto"/>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附件三：</w:t>
      </w:r>
    </w:p>
    <w:p w14:paraId="37FC45D5">
      <w:pPr>
        <w:spacing w:before="167" w:line="223" w:lineRule="auto"/>
        <w:jc w:val="center"/>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lang w:val="en-US" w:eastAsia="zh-CN"/>
        </w:rPr>
        <w:t>甲方</w:t>
      </w:r>
      <w:r>
        <w:rPr>
          <w:rFonts w:hint="eastAsia" w:ascii="宋体" w:hAnsi="宋体" w:eastAsia="宋体" w:cs="宋体"/>
          <w:color w:val="auto"/>
          <w:spacing w:val="8"/>
          <w:sz w:val="31"/>
          <w:szCs w:val="31"/>
          <w:highlight w:val="none"/>
        </w:rPr>
        <w:t>食堂原有设备设施一览</w:t>
      </w:r>
      <w:r>
        <w:rPr>
          <w:rFonts w:hint="eastAsia" w:ascii="宋体" w:hAnsi="宋体" w:eastAsia="宋体" w:cs="宋体"/>
          <w:color w:val="auto"/>
          <w:spacing w:val="6"/>
          <w:sz w:val="31"/>
          <w:szCs w:val="31"/>
          <w:highlight w:val="none"/>
        </w:rPr>
        <w:t>表</w:t>
      </w:r>
    </w:p>
    <w:p w14:paraId="1A5B6678">
      <w:pPr>
        <w:spacing w:line="38" w:lineRule="exact"/>
        <w:rPr>
          <w:rFonts w:hint="eastAsia" w:ascii="宋体" w:hAnsi="宋体" w:eastAsia="宋体" w:cs="宋体"/>
          <w:color w:val="auto"/>
          <w:highlight w:val="none"/>
        </w:rPr>
      </w:pPr>
    </w:p>
    <w:p w14:paraId="208D0F7C">
      <w:pPr>
        <w:snapToGrid w:val="0"/>
        <w:spacing w:line="400" w:lineRule="exact"/>
        <w:ind w:firstLine="480" w:firstLineChars="200"/>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（详见移交清单）</w:t>
      </w:r>
    </w:p>
    <w:p w14:paraId="1E62EE60">
      <w:pPr>
        <w:jc w:val="center"/>
        <w:rPr>
          <w:rFonts w:ascii="宋体" w:hAnsi="宋体" w:cs="宋体"/>
          <w:color w:val="auto"/>
          <w:sz w:val="21"/>
          <w:szCs w:val="21"/>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0456F3D1">
      <w:pPr>
        <w:pStyle w:val="3"/>
        <w:spacing w:before="0" w:after="0" w:line="360" w:lineRule="auto"/>
        <w:jc w:val="center"/>
        <w:rPr>
          <w:rFonts w:ascii="宋体" w:hAnsi="宋体" w:eastAsia="宋体" w:cs="宋体"/>
          <w:b w:val="0"/>
          <w:color w:val="auto"/>
          <w:sz w:val="36"/>
          <w:szCs w:val="30"/>
        </w:rPr>
      </w:pPr>
      <w:bookmarkStart w:id="198" w:name="_Hlt41879464"/>
      <w:bookmarkEnd w:id="198"/>
      <w:bookmarkStart w:id="199" w:name="_Toc12789072"/>
      <w:bookmarkStart w:id="200" w:name="_Toc3944"/>
      <w:bookmarkStart w:id="201" w:name="_Toc2426"/>
      <w:bookmarkStart w:id="202" w:name="_Toc22569"/>
      <w:r>
        <w:rPr>
          <w:rFonts w:hint="eastAsia" w:ascii="宋体" w:hAnsi="宋体" w:eastAsia="宋体" w:cs="宋体"/>
          <w:b w:val="0"/>
          <w:color w:val="auto"/>
          <w:sz w:val="36"/>
          <w:szCs w:val="30"/>
        </w:rPr>
        <w:t xml:space="preserve">第七篇  </w:t>
      </w:r>
      <w:bookmarkEnd w:id="199"/>
      <w:r>
        <w:rPr>
          <w:rFonts w:hint="eastAsia" w:ascii="宋体" w:hAnsi="宋体" w:eastAsia="宋体" w:cs="宋体"/>
          <w:b w:val="0"/>
          <w:color w:val="auto"/>
          <w:sz w:val="36"/>
          <w:szCs w:val="30"/>
        </w:rPr>
        <w:t>响应文件编制要求</w:t>
      </w:r>
      <w:bookmarkEnd w:id="200"/>
      <w:bookmarkEnd w:id="201"/>
      <w:bookmarkEnd w:id="202"/>
    </w:p>
    <w:p w14:paraId="5CF2AE4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一、经济部分</w:t>
      </w:r>
    </w:p>
    <w:p w14:paraId="7780515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（一）竞争性磋商报价函</w:t>
      </w:r>
    </w:p>
    <w:p w14:paraId="14764194">
      <w:pPr>
        <w:snapToGrid w:val="0"/>
        <w:spacing w:line="440" w:lineRule="exact"/>
        <w:ind w:firstLine="480" w:firstLineChars="200"/>
        <w:rPr>
          <w:rFonts w:ascii="宋体" w:hAnsi="宋体"/>
          <w:b w:val="0"/>
          <w:bCs w:val="0"/>
          <w:color w:val="auto"/>
          <w:sz w:val="24"/>
          <w:szCs w:val="24"/>
        </w:rPr>
      </w:pPr>
      <w:r>
        <w:rPr>
          <w:rFonts w:hint="eastAsia" w:ascii="宋体" w:hAnsi="宋体" w:cs="宋体"/>
          <w:b w:val="0"/>
          <w:bCs w:val="0"/>
          <w:color w:val="auto"/>
          <w:sz w:val="24"/>
          <w:szCs w:val="24"/>
        </w:rPr>
        <w:t>（二）</w:t>
      </w:r>
      <w:r>
        <w:rPr>
          <w:rFonts w:hint="eastAsia" w:ascii="宋体" w:hAnsi="宋体"/>
          <w:b w:val="0"/>
          <w:bCs w:val="0"/>
          <w:color w:val="auto"/>
          <w:sz w:val="24"/>
          <w:szCs w:val="24"/>
        </w:rPr>
        <w:t>投标保证金提交依据</w:t>
      </w:r>
    </w:p>
    <w:p w14:paraId="07893000">
      <w:pPr>
        <w:pStyle w:val="4"/>
        <w:spacing w:before="0" w:after="0" w:line="440" w:lineRule="exact"/>
        <w:ind w:firstLine="480" w:firstLineChars="200"/>
        <w:rPr>
          <w:rFonts w:ascii="宋体" w:hAnsi="宋体" w:cs="宋体"/>
          <w:b w:val="0"/>
          <w:bCs w:val="0"/>
          <w:color w:val="auto"/>
          <w:sz w:val="24"/>
          <w:szCs w:val="24"/>
        </w:rPr>
      </w:pPr>
      <w:bookmarkStart w:id="203" w:name="_Toc41457525"/>
      <w:bookmarkStart w:id="204" w:name="_Toc42790106"/>
      <w:bookmarkStart w:id="205" w:name="_Toc3729"/>
      <w:bookmarkStart w:id="206" w:name="_Toc41986761"/>
      <w:r>
        <w:rPr>
          <w:rFonts w:hint="eastAsia" w:ascii="宋体" w:hAnsi="宋体" w:cs="宋体"/>
          <w:b w:val="0"/>
          <w:bCs w:val="0"/>
          <w:color w:val="auto"/>
          <w:sz w:val="24"/>
          <w:szCs w:val="24"/>
        </w:rPr>
        <w:t>二、资格文件</w:t>
      </w:r>
      <w:bookmarkEnd w:id="203"/>
      <w:bookmarkEnd w:id="204"/>
      <w:bookmarkEnd w:id="205"/>
      <w:bookmarkEnd w:id="206"/>
    </w:p>
    <w:p w14:paraId="7E46964A">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（一）</w:t>
      </w:r>
      <w:r>
        <w:rPr>
          <w:rFonts w:hint="eastAsia" w:ascii="宋体" w:hAnsi="宋体" w:cs="宋体"/>
          <w:color w:val="auto"/>
          <w:sz w:val="24"/>
          <w:szCs w:val="24"/>
          <w:highlight w:val="none"/>
        </w:rPr>
        <w:t>法人营业执照（副本）或事业单位法人证书（副本）或个体工商户营业执照或有效的自然人身份证明或社会团体法人登记证书复印件</w:t>
      </w:r>
      <w:r>
        <w:rPr>
          <w:rFonts w:hint="eastAsia" w:ascii="宋体" w:hAnsi="宋体"/>
          <w:b w:val="0"/>
          <w:bCs w:val="0"/>
          <w:color w:val="auto"/>
          <w:sz w:val="24"/>
          <w:szCs w:val="24"/>
        </w:rPr>
        <w:t>。</w:t>
      </w:r>
    </w:p>
    <w:p w14:paraId="0552A31B">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二</w:t>
      </w:r>
      <w:r>
        <w:rPr>
          <w:rFonts w:hint="eastAsia" w:ascii="宋体" w:hAnsi="宋体"/>
          <w:b w:val="0"/>
          <w:bCs w:val="0"/>
          <w:color w:val="auto"/>
          <w:sz w:val="24"/>
          <w:szCs w:val="24"/>
        </w:rPr>
        <w:t>）法定代表人身份证明书（格式）</w:t>
      </w:r>
    </w:p>
    <w:p w14:paraId="2E12F331">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三</w:t>
      </w:r>
      <w:r>
        <w:rPr>
          <w:rFonts w:hint="eastAsia" w:ascii="宋体" w:hAnsi="宋体"/>
          <w:b w:val="0"/>
          <w:bCs w:val="0"/>
          <w:color w:val="auto"/>
          <w:sz w:val="24"/>
          <w:szCs w:val="24"/>
        </w:rPr>
        <w:t>）法定代表人授权委托书（格式）</w:t>
      </w:r>
    </w:p>
    <w:p w14:paraId="10FBD132">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四</w:t>
      </w:r>
      <w:r>
        <w:rPr>
          <w:rFonts w:hint="eastAsia" w:ascii="宋体" w:hAnsi="宋体"/>
          <w:b w:val="0"/>
          <w:bCs w:val="0"/>
          <w:color w:val="auto"/>
          <w:sz w:val="24"/>
          <w:szCs w:val="24"/>
        </w:rPr>
        <w:t>）诚信声明格式(如果有)</w:t>
      </w:r>
    </w:p>
    <w:p w14:paraId="4633CFCF">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五</w:t>
      </w:r>
      <w:r>
        <w:rPr>
          <w:rFonts w:hint="eastAsia" w:ascii="宋体" w:hAnsi="宋体"/>
          <w:b w:val="0"/>
          <w:bCs w:val="0"/>
          <w:color w:val="auto"/>
          <w:sz w:val="24"/>
          <w:szCs w:val="24"/>
        </w:rPr>
        <w:t>）上一年度资产负债表、利润表、现金流量表复印件，本年度新成立的公司提供投标截止时间前一个月的财务状况报告（资产负债表、利润表、现金流量表复印件）。</w:t>
      </w:r>
    </w:p>
    <w:p w14:paraId="1974AD0F">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六</w:t>
      </w:r>
      <w:r>
        <w:rPr>
          <w:rFonts w:hint="eastAsia" w:ascii="宋体" w:hAnsi="宋体"/>
          <w:b w:val="0"/>
          <w:bCs w:val="0"/>
          <w:color w:val="auto"/>
          <w:sz w:val="24"/>
          <w:szCs w:val="24"/>
        </w:rPr>
        <w:t>）缴纳税收的证明材料和社会保险缴纳证明材料</w:t>
      </w:r>
    </w:p>
    <w:p w14:paraId="2C79C7E2">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eastAsia="zh-CN"/>
        </w:rPr>
        <w:t>七</w:t>
      </w:r>
      <w:r>
        <w:rPr>
          <w:rFonts w:hint="eastAsia" w:ascii="宋体" w:hAnsi="宋体"/>
          <w:b w:val="0"/>
          <w:bCs w:val="0"/>
          <w:color w:val="auto"/>
          <w:sz w:val="24"/>
          <w:szCs w:val="24"/>
        </w:rPr>
        <w:t>）诚信声明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投标人公章）。查询结果为本项目采购公告发布之日起至投标截止时间前。</w:t>
      </w:r>
    </w:p>
    <w:p w14:paraId="3B3DD961">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八</w:t>
      </w:r>
      <w:r>
        <w:rPr>
          <w:rFonts w:hint="eastAsia" w:ascii="宋体" w:hAnsi="宋体"/>
          <w:b w:val="0"/>
          <w:bCs w:val="0"/>
          <w:color w:val="auto"/>
          <w:sz w:val="24"/>
          <w:szCs w:val="24"/>
        </w:rPr>
        <w:t xml:space="preserve">）特定资格条件证明文件(如果有) </w:t>
      </w:r>
    </w:p>
    <w:p w14:paraId="51ECE025">
      <w:pPr>
        <w:pStyle w:val="4"/>
        <w:spacing w:before="0" w:after="0" w:line="440" w:lineRule="exact"/>
        <w:ind w:firstLine="480" w:firstLineChars="200"/>
        <w:rPr>
          <w:rFonts w:ascii="宋体" w:hAnsi="宋体" w:cs="宋体"/>
          <w:b w:val="0"/>
          <w:bCs w:val="0"/>
          <w:color w:val="auto"/>
          <w:sz w:val="24"/>
          <w:szCs w:val="24"/>
        </w:rPr>
      </w:pPr>
      <w:bookmarkStart w:id="207" w:name="_Toc25347"/>
      <w:bookmarkStart w:id="208" w:name="_Toc41457526"/>
      <w:bookmarkStart w:id="209" w:name="_Toc42790107"/>
      <w:bookmarkStart w:id="210" w:name="_Toc41986762"/>
      <w:r>
        <w:rPr>
          <w:rFonts w:hint="eastAsia" w:ascii="宋体" w:hAnsi="宋体" w:cs="宋体"/>
          <w:b w:val="0"/>
          <w:bCs w:val="0"/>
          <w:color w:val="auto"/>
          <w:sz w:val="24"/>
          <w:szCs w:val="24"/>
        </w:rPr>
        <w:t>三、商务文件</w:t>
      </w:r>
      <w:bookmarkEnd w:id="207"/>
      <w:bookmarkEnd w:id="208"/>
      <w:bookmarkEnd w:id="209"/>
      <w:bookmarkEnd w:id="210"/>
    </w:p>
    <w:p w14:paraId="6E080086">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（一）响应文件函（格式）；</w:t>
      </w:r>
    </w:p>
    <w:p w14:paraId="51626650">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（二）投标人基本情况介绍及商务承诺；</w:t>
      </w:r>
    </w:p>
    <w:p w14:paraId="171E788B">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（三）商务条款差异表；</w:t>
      </w:r>
    </w:p>
    <w:p w14:paraId="04B33141">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（四）委托经营服务承诺。</w:t>
      </w:r>
    </w:p>
    <w:p w14:paraId="5C656566">
      <w:pPr>
        <w:pStyle w:val="4"/>
        <w:spacing w:before="0" w:after="0" w:line="440" w:lineRule="exact"/>
        <w:ind w:firstLine="480" w:firstLineChars="200"/>
        <w:rPr>
          <w:rFonts w:ascii="宋体" w:hAnsi="宋体" w:cs="宋体"/>
          <w:b w:val="0"/>
          <w:bCs w:val="0"/>
          <w:color w:val="auto"/>
          <w:sz w:val="24"/>
          <w:szCs w:val="24"/>
        </w:rPr>
      </w:pPr>
      <w:bookmarkStart w:id="211" w:name="_Toc42790108"/>
      <w:bookmarkStart w:id="212" w:name="_Toc41457527"/>
      <w:bookmarkStart w:id="213" w:name="_Toc21921"/>
      <w:bookmarkStart w:id="214" w:name="_Toc41986763"/>
      <w:r>
        <w:rPr>
          <w:rFonts w:hint="eastAsia" w:ascii="宋体" w:hAnsi="宋体" w:cs="宋体"/>
          <w:b w:val="0"/>
          <w:bCs w:val="0"/>
          <w:color w:val="auto"/>
          <w:sz w:val="24"/>
          <w:szCs w:val="24"/>
        </w:rPr>
        <w:t>四、技术文件</w:t>
      </w:r>
      <w:bookmarkEnd w:id="211"/>
      <w:bookmarkEnd w:id="212"/>
      <w:bookmarkEnd w:id="213"/>
      <w:bookmarkEnd w:id="214"/>
    </w:p>
    <w:p w14:paraId="09B49425">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一</w:t>
      </w:r>
      <w:r>
        <w:rPr>
          <w:rFonts w:hint="eastAsia" w:ascii="宋体" w:hAnsi="宋体"/>
          <w:b w:val="0"/>
          <w:bCs w:val="0"/>
          <w:color w:val="auto"/>
          <w:sz w:val="24"/>
          <w:szCs w:val="24"/>
        </w:rPr>
        <w:t>）首期投资食堂装修和餐厨设施设备等费用；</w:t>
      </w:r>
    </w:p>
    <w:p w14:paraId="7E2F8C7D">
      <w:pPr>
        <w:snapToGrid w:val="0"/>
        <w:spacing w:line="440" w:lineRule="exact"/>
        <w:ind w:firstLine="480" w:firstLineChars="200"/>
        <w:rPr>
          <w:rFonts w:ascii="宋体" w:hAnsi="宋体"/>
          <w:b w:val="0"/>
          <w:bCs w:val="0"/>
          <w:color w:val="auto"/>
          <w:sz w:val="24"/>
          <w:szCs w:val="24"/>
        </w:rPr>
      </w:pPr>
      <w:r>
        <w:rPr>
          <w:rFonts w:hint="eastAsia" w:ascii="宋体" w:hAnsi="宋体"/>
          <w:b w:val="0"/>
          <w:bCs w:val="0"/>
          <w:color w:val="auto"/>
          <w:sz w:val="24"/>
          <w:szCs w:val="24"/>
        </w:rPr>
        <w:t>（</w:t>
      </w:r>
      <w:r>
        <w:rPr>
          <w:rFonts w:hint="eastAsia" w:ascii="宋体" w:hAnsi="宋体"/>
          <w:b w:val="0"/>
          <w:bCs w:val="0"/>
          <w:color w:val="auto"/>
          <w:sz w:val="24"/>
          <w:szCs w:val="24"/>
          <w:lang w:val="en-US" w:eastAsia="zh-CN"/>
        </w:rPr>
        <w:t>二</w:t>
      </w:r>
      <w:r>
        <w:rPr>
          <w:rFonts w:hint="eastAsia" w:ascii="宋体" w:hAnsi="宋体"/>
          <w:b w:val="0"/>
          <w:bCs w:val="0"/>
          <w:color w:val="auto"/>
          <w:sz w:val="24"/>
          <w:szCs w:val="24"/>
        </w:rPr>
        <w:t>）经济与技术条款差异表。</w:t>
      </w:r>
    </w:p>
    <w:p w14:paraId="53E138A4">
      <w:pPr>
        <w:pStyle w:val="4"/>
        <w:spacing w:before="0" w:after="0" w:line="440" w:lineRule="exact"/>
        <w:ind w:firstLine="480" w:firstLineChars="200"/>
        <w:rPr>
          <w:rFonts w:ascii="宋体" w:hAnsi="宋体" w:cs="宋体"/>
          <w:b w:val="0"/>
          <w:bCs w:val="0"/>
          <w:color w:val="auto"/>
          <w:sz w:val="24"/>
          <w:szCs w:val="24"/>
        </w:rPr>
      </w:pPr>
      <w:bookmarkStart w:id="215" w:name="_Toc42790109"/>
      <w:bookmarkStart w:id="216" w:name="_Toc26905"/>
      <w:bookmarkStart w:id="217" w:name="_Toc41986764"/>
      <w:bookmarkStart w:id="218" w:name="_Toc41457528"/>
      <w:r>
        <w:rPr>
          <w:rFonts w:hint="eastAsia" w:ascii="宋体" w:hAnsi="宋体" w:cs="宋体"/>
          <w:b w:val="0"/>
          <w:bCs w:val="0"/>
          <w:color w:val="auto"/>
          <w:sz w:val="24"/>
          <w:szCs w:val="24"/>
        </w:rPr>
        <w:t>五、其他</w:t>
      </w:r>
      <w:bookmarkEnd w:id="215"/>
      <w:bookmarkEnd w:id="216"/>
      <w:bookmarkEnd w:id="217"/>
      <w:bookmarkEnd w:id="218"/>
    </w:p>
    <w:p w14:paraId="447800D4">
      <w:pPr>
        <w:snapToGrid w:val="0"/>
        <w:spacing w:line="44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（一）其他与项目有关的资料</w:t>
      </w:r>
      <w:r>
        <w:rPr>
          <w:rFonts w:hint="eastAsia" w:ascii="宋体" w:hAnsi="宋体" w:eastAsia="宋体" w:cs="宋体"/>
          <w:b w:val="0"/>
          <w:bCs w:val="0"/>
          <w:color w:val="auto"/>
        </w:rPr>
        <w:t>（自附）</w:t>
      </w:r>
    </w:p>
    <w:p w14:paraId="2D577D1A">
      <w:pPr>
        <w:snapToGrid w:val="0"/>
        <w:spacing w:line="44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（二）同一供应商投标2个或3个包的，须提供书面承诺函（承诺如果不止一个包成为排名第一的中标人，我方将按照包</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包</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包</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的先后顺序保留一个包），且各包书面承诺函必须一致。供应商投标1个包的无须提供此书面承诺函。</w:t>
      </w:r>
    </w:p>
    <w:p w14:paraId="7FDA5C5C">
      <w:pPr>
        <w:snapToGrid w:val="0"/>
        <w:spacing w:line="500" w:lineRule="exact"/>
        <w:ind w:right="-84" w:rightChars="-3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特别提醒：</w:t>
      </w:r>
    </w:p>
    <w:p w14:paraId="4146CE6D">
      <w:pPr>
        <w:snapToGrid w:val="0"/>
        <w:spacing w:line="500" w:lineRule="exact"/>
        <w:ind w:right="-84" w:rightChars="-30" w:firstLine="475" w:firstLineChars="198"/>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请各供应商严格按上述顺序编制响应文件。</w:t>
      </w:r>
    </w:p>
    <w:p w14:paraId="74B01BA2">
      <w:pPr>
        <w:snapToGrid w:val="0"/>
        <w:spacing w:line="500" w:lineRule="exact"/>
        <w:ind w:right="-84" w:rightChars="-3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响应文件应编写目录、页码以便评标查询。</w:t>
      </w:r>
    </w:p>
    <w:p w14:paraId="7BE75629">
      <w:pPr>
        <w:snapToGrid w:val="0"/>
        <w:spacing w:line="500" w:lineRule="exact"/>
        <w:ind w:right="-84" w:rightChars="-30" w:firstLine="475" w:firstLineChars="198"/>
        <w:rPr>
          <w:rFonts w:hint="eastAsia" w:ascii="宋体" w:hAnsi="宋体" w:eastAsia="宋体" w:cs="宋体"/>
          <w:b w:val="0"/>
          <w:bCs w:val="0"/>
          <w:color w:val="auto"/>
          <w:szCs w:val="28"/>
        </w:rPr>
      </w:pPr>
      <w:r>
        <w:rPr>
          <w:rFonts w:hint="eastAsia" w:ascii="宋体" w:hAnsi="宋体" w:eastAsia="宋体" w:cs="宋体"/>
          <w:b w:val="0"/>
          <w:bCs w:val="0"/>
          <w:color w:val="auto"/>
          <w:sz w:val="24"/>
          <w:szCs w:val="24"/>
        </w:rPr>
        <w:t>清单中提供了格式文件的，请按格式编写；清单中没有提供格式的，请供应商自行编写应补充的响应资料。</w:t>
      </w:r>
    </w:p>
    <w:p w14:paraId="4402C8D5">
      <w:pPr>
        <w:snapToGrid w:val="0"/>
        <w:spacing w:line="312" w:lineRule="auto"/>
        <w:rPr>
          <w:rFonts w:hint="eastAsia" w:ascii="宋体" w:hAnsi="宋体" w:eastAsia="宋体" w:cs="宋体"/>
          <w:color w:val="auto"/>
          <w:sz w:val="24"/>
          <w:szCs w:val="24"/>
          <w:bdr w:val="single" w:color="auto" w:sz="4" w:space="0"/>
        </w:rPr>
        <w:sectPr>
          <w:pgSz w:w="11907" w:h="16840"/>
          <w:pgMar w:top="1134" w:right="1191" w:bottom="1134" w:left="1304" w:header="851" w:footer="794" w:gutter="0"/>
          <w:cols w:space="720" w:num="1"/>
          <w:docGrid w:linePitch="380" w:charSpace="-5735"/>
        </w:sectPr>
      </w:pPr>
    </w:p>
    <w:p w14:paraId="72A457FE">
      <w:pPr>
        <w:pStyle w:val="3"/>
        <w:adjustRightInd w:val="0"/>
        <w:snapToGrid w:val="0"/>
        <w:spacing w:before="0" w:after="0" w:line="400" w:lineRule="exact"/>
        <w:ind w:firstLine="482" w:firstLineChars="200"/>
        <w:rPr>
          <w:rFonts w:ascii="宋体" w:hAnsi="宋体" w:eastAsia="宋体" w:cs="宋体"/>
          <w:color w:val="auto"/>
          <w:sz w:val="24"/>
        </w:rPr>
      </w:pPr>
      <w:bookmarkStart w:id="219" w:name="_Toc31533"/>
      <w:bookmarkStart w:id="220" w:name="_Toc8278"/>
      <w:bookmarkStart w:id="221" w:name="_Toc26001"/>
      <w:bookmarkStart w:id="222" w:name="_Toc76462350"/>
      <w:bookmarkStart w:id="223" w:name="_Toc14641"/>
      <w:r>
        <w:rPr>
          <w:rFonts w:hint="eastAsia" w:ascii="宋体" w:hAnsi="宋体" w:eastAsia="宋体" w:cs="宋体"/>
          <w:color w:val="auto"/>
          <w:sz w:val="24"/>
        </w:rPr>
        <w:t>一、经济部分</w:t>
      </w:r>
      <w:bookmarkEnd w:id="219"/>
      <w:bookmarkEnd w:id="220"/>
      <w:bookmarkEnd w:id="221"/>
      <w:bookmarkEnd w:id="222"/>
      <w:bookmarkEnd w:id="223"/>
    </w:p>
    <w:p w14:paraId="7243FBE3">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（一）竞争性磋商报价函</w:t>
      </w:r>
    </w:p>
    <w:p w14:paraId="723103A6">
      <w:pPr>
        <w:jc w:val="center"/>
        <w:rPr>
          <w:rFonts w:ascii="宋体" w:hAnsi="宋体" w:cs="宋体"/>
          <w:b/>
          <w:color w:val="auto"/>
          <w:szCs w:val="28"/>
        </w:rPr>
      </w:pPr>
      <w:r>
        <w:rPr>
          <w:rFonts w:hint="eastAsia" w:ascii="宋体" w:hAnsi="宋体" w:cs="宋体"/>
          <w:b/>
          <w:color w:val="auto"/>
          <w:szCs w:val="28"/>
        </w:rPr>
        <w:t>竞争性磋商报价函</w:t>
      </w:r>
    </w:p>
    <w:p w14:paraId="22C3F851">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65EE490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14:paraId="5AA71957">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w:t>
      </w:r>
    </w:p>
    <w:tbl>
      <w:tblPr>
        <w:tblStyle w:val="59"/>
        <w:tblpPr w:leftFromText="180" w:rightFromText="180" w:vertAnchor="text" w:horzAnchor="page" w:tblpX="1771" w:tblpY="104"/>
        <w:tblOverlap w:val="never"/>
        <w:tblW w:w="0" w:type="auto"/>
        <w:jc w:val="center"/>
        <w:tblLayout w:type="fixed"/>
        <w:tblCellMar>
          <w:top w:w="0" w:type="dxa"/>
          <w:left w:w="108" w:type="dxa"/>
          <w:bottom w:w="0" w:type="dxa"/>
          <w:right w:w="108" w:type="dxa"/>
        </w:tblCellMar>
      </w:tblPr>
      <w:tblGrid>
        <w:gridCol w:w="826"/>
        <w:gridCol w:w="1833"/>
        <w:gridCol w:w="2268"/>
        <w:gridCol w:w="2472"/>
        <w:gridCol w:w="1440"/>
      </w:tblGrid>
      <w:tr w14:paraId="0C16B5DC">
        <w:tblPrEx>
          <w:tblCellMar>
            <w:top w:w="0" w:type="dxa"/>
            <w:left w:w="108" w:type="dxa"/>
            <w:bottom w:w="0" w:type="dxa"/>
            <w:right w:w="108" w:type="dxa"/>
          </w:tblCellMar>
        </w:tblPrEx>
        <w:trPr>
          <w:trHeight w:val="736"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4053454F">
            <w:pPr>
              <w:snapToGrid w:val="0"/>
              <w:spacing w:line="440" w:lineRule="exact"/>
              <w:jc w:val="center"/>
              <w:rPr>
                <w:rFonts w:ascii="宋体" w:hAnsi="宋体"/>
                <w:bCs/>
                <w:color w:val="auto"/>
                <w:sz w:val="24"/>
                <w:szCs w:val="24"/>
              </w:rPr>
            </w:pPr>
            <w:r>
              <w:rPr>
                <w:rFonts w:ascii="宋体" w:hAnsi="宋体"/>
                <w:bCs/>
                <w:color w:val="auto"/>
                <w:sz w:val="24"/>
                <w:szCs w:val="24"/>
              </w:rPr>
              <w:t>包号</w:t>
            </w:r>
          </w:p>
        </w:tc>
        <w:tc>
          <w:tcPr>
            <w:tcW w:w="1833" w:type="dxa"/>
            <w:tcBorders>
              <w:top w:val="single" w:color="auto" w:sz="4" w:space="0"/>
              <w:left w:val="single" w:color="auto" w:sz="4" w:space="0"/>
              <w:bottom w:val="single" w:color="auto" w:sz="4" w:space="0"/>
              <w:right w:val="single" w:color="auto" w:sz="4" w:space="0"/>
            </w:tcBorders>
            <w:vAlign w:val="center"/>
          </w:tcPr>
          <w:p w14:paraId="3A599760">
            <w:pPr>
              <w:snapToGrid w:val="0"/>
              <w:spacing w:line="440" w:lineRule="exact"/>
              <w:jc w:val="center"/>
              <w:rPr>
                <w:rFonts w:ascii="宋体" w:hAnsi="宋体"/>
                <w:bCs/>
                <w:color w:val="auto"/>
                <w:sz w:val="24"/>
                <w:szCs w:val="24"/>
              </w:rPr>
            </w:pPr>
            <w:r>
              <w:rPr>
                <w:rFonts w:ascii="宋体" w:hAnsi="宋体"/>
                <w:bCs/>
                <w:color w:val="auto"/>
                <w:sz w:val="24"/>
                <w:szCs w:val="24"/>
              </w:rPr>
              <w:t>项目内容</w:t>
            </w:r>
          </w:p>
        </w:tc>
        <w:tc>
          <w:tcPr>
            <w:tcW w:w="2268" w:type="dxa"/>
            <w:tcBorders>
              <w:top w:val="single" w:color="auto" w:sz="4" w:space="0"/>
              <w:left w:val="single" w:color="auto" w:sz="4" w:space="0"/>
              <w:bottom w:val="single" w:color="auto" w:sz="4" w:space="0"/>
              <w:right w:val="single" w:color="auto" w:sz="4" w:space="0"/>
            </w:tcBorders>
            <w:vAlign w:val="center"/>
          </w:tcPr>
          <w:p w14:paraId="1FA8E9C2">
            <w:pPr>
              <w:snapToGrid w:val="0"/>
              <w:spacing w:line="440" w:lineRule="exact"/>
              <w:jc w:val="center"/>
              <w:rPr>
                <w:rFonts w:ascii="宋体" w:hAnsi="宋体"/>
                <w:bCs/>
                <w:color w:val="auto"/>
                <w:sz w:val="24"/>
                <w:szCs w:val="24"/>
              </w:rPr>
            </w:pPr>
            <w:r>
              <w:rPr>
                <w:rFonts w:hint="eastAsia" w:ascii="宋体" w:hAnsi="宋体"/>
                <w:bCs/>
                <w:color w:val="auto"/>
                <w:sz w:val="24"/>
                <w:szCs w:val="24"/>
              </w:rPr>
              <w:t>投标单位</w:t>
            </w:r>
          </w:p>
        </w:tc>
        <w:tc>
          <w:tcPr>
            <w:tcW w:w="2472" w:type="dxa"/>
            <w:tcBorders>
              <w:top w:val="single" w:color="auto" w:sz="4" w:space="0"/>
              <w:left w:val="nil"/>
              <w:bottom w:val="single" w:color="auto" w:sz="4" w:space="0"/>
              <w:right w:val="single" w:color="auto" w:sz="4" w:space="0"/>
            </w:tcBorders>
            <w:vAlign w:val="center"/>
          </w:tcPr>
          <w:p w14:paraId="6A2906E3">
            <w:pPr>
              <w:snapToGrid w:val="0"/>
              <w:spacing w:line="440" w:lineRule="exact"/>
              <w:jc w:val="center"/>
              <w:rPr>
                <w:rFonts w:ascii="宋体" w:hAnsi="宋体"/>
                <w:bCs/>
                <w:color w:val="auto"/>
                <w:sz w:val="24"/>
                <w:szCs w:val="24"/>
              </w:rPr>
            </w:pPr>
            <w:r>
              <w:rPr>
                <w:rFonts w:ascii="宋体" w:hAnsi="宋体"/>
                <w:bCs/>
                <w:color w:val="auto"/>
                <w:sz w:val="24"/>
                <w:szCs w:val="24"/>
              </w:rPr>
              <w:t>报价（每月</w:t>
            </w:r>
            <w:r>
              <w:rPr>
                <w:rFonts w:hint="eastAsia" w:ascii="宋体" w:hAnsi="宋体"/>
                <w:bCs/>
                <w:color w:val="auto"/>
                <w:sz w:val="24"/>
                <w:szCs w:val="24"/>
              </w:rPr>
              <w:t>考核费按营业额计提（</w:t>
            </w:r>
            <w:r>
              <w:rPr>
                <w:rFonts w:ascii="宋体" w:hAnsi="宋体"/>
                <w:bCs/>
                <w:color w:val="auto"/>
                <w:sz w:val="24"/>
                <w:szCs w:val="24"/>
              </w:rPr>
              <w:t>%</w:t>
            </w:r>
            <w:r>
              <w:rPr>
                <w:rFonts w:hint="eastAsia" w:ascii="宋体" w:hAnsi="宋体"/>
                <w:bCs/>
                <w:color w:val="auto"/>
                <w:sz w:val="24"/>
                <w:szCs w:val="24"/>
              </w:rPr>
              <w:t>）</w:t>
            </w:r>
            <w:r>
              <w:rPr>
                <w:rFonts w:ascii="宋体" w:hAnsi="宋体"/>
                <w:bCs/>
                <w:color w:val="auto"/>
                <w:sz w:val="24"/>
                <w:szCs w:val="24"/>
              </w:rPr>
              <w:t>）</w:t>
            </w:r>
          </w:p>
        </w:tc>
        <w:tc>
          <w:tcPr>
            <w:tcW w:w="1440" w:type="dxa"/>
            <w:tcBorders>
              <w:top w:val="single" w:color="auto" w:sz="4" w:space="0"/>
              <w:left w:val="nil"/>
              <w:bottom w:val="single" w:color="auto" w:sz="4" w:space="0"/>
              <w:right w:val="single" w:color="auto" w:sz="4" w:space="0"/>
            </w:tcBorders>
            <w:vAlign w:val="center"/>
          </w:tcPr>
          <w:p w14:paraId="292D5F12">
            <w:pPr>
              <w:snapToGrid w:val="0"/>
              <w:spacing w:line="440" w:lineRule="exact"/>
              <w:jc w:val="center"/>
              <w:rPr>
                <w:rFonts w:ascii="宋体" w:hAnsi="宋体"/>
                <w:bCs/>
                <w:color w:val="auto"/>
                <w:sz w:val="24"/>
                <w:szCs w:val="24"/>
              </w:rPr>
            </w:pPr>
            <w:r>
              <w:rPr>
                <w:rFonts w:hint="eastAsia" w:ascii="宋体" w:hAnsi="宋体"/>
                <w:bCs/>
                <w:color w:val="auto"/>
                <w:sz w:val="24"/>
                <w:szCs w:val="24"/>
              </w:rPr>
              <w:t>备注</w:t>
            </w:r>
          </w:p>
        </w:tc>
      </w:tr>
      <w:tr w14:paraId="720FE53E">
        <w:tblPrEx>
          <w:tblCellMar>
            <w:top w:w="0" w:type="dxa"/>
            <w:left w:w="108" w:type="dxa"/>
            <w:bottom w:w="0" w:type="dxa"/>
            <w:right w:w="108" w:type="dxa"/>
          </w:tblCellMar>
        </w:tblPrEx>
        <w:trPr>
          <w:trHeight w:val="662" w:hRule="atLeast"/>
          <w:jc w:val="center"/>
        </w:trPr>
        <w:tc>
          <w:tcPr>
            <w:tcW w:w="826" w:type="dxa"/>
            <w:tcBorders>
              <w:top w:val="nil"/>
              <w:left w:val="single" w:color="auto" w:sz="4" w:space="0"/>
              <w:bottom w:val="single" w:color="auto" w:sz="4" w:space="0"/>
              <w:right w:val="single" w:color="auto" w:sz="4" w:space="0"/>
            </w:tcBorders>
            <w:vAlign w:val="center"/>
          </w:tcPr>
          <w:p w14:paraId="72788DB2">
            <w:pPr>
              <w:snapToGrid w:val="0"/>
              <w:spacing w:line="440" w:lineRule="exact"/>
              <w:ind w:firstLine="480" w:firstLineChars="200"/>
              <w:rPr>
                <w:rFonts w:ascii="宋体" w:hAnsi="宋体"/>
                <w:color w:val="auto"/>
                <w:sz w:val="24"/>
                <w:szCs w:val="24"/>
              </w:rPr>
            </w:pPr>
          </w:p>
        </w:tc>
        <w:tc>
          <w:tcPr>
            <w:tcW w:w="1833" w:type="dxa"/>
            <w:tcBorders>
              <w:top w:val="nil"/>
              <w:left w:val="single" w:color="auto" w:sz="4" w:space="0"/>
              <w:bottom w:val="single" w:color="auto" w:sz="4" w:space="0"/>
              <w:right w:val="single" w:color="auto" w:sz="4" w:space="0"/>
            </w:tcBorders>
            <w:vAlign w:val="center"/>
          </w:tcPr>
          <w:p w14:paraId="52EE233D">
            <w:pPr>
              <w:snapToGrid w:val="0"/>
              <w:spacing w:line="440" w:lineRule="exact"/>
              <w:ind w:firstLine="480" w:firstLineChars="200"/>
              <w:rPr>
                <w:rFonts w:ascii="宋体" w:hAnsi="宋体"/>
                <w:color w:val="auto"/>
                <w:sz w:val="24"/>
                <w:szCs w:val="24"/>
              </w:rPr>
            </w:pPr>
          </w:p>
        </w:tc>
        <w:tc>
          <w:tcPr>
            <w:tcW w:w="2268" w:type="dxa"/>
            <w:tcBorders>
              <w:top w:val="nil"/>
              <w:left w:val="single" w:color="auto" w:sz="4" w:space="0"/>
              <w:bottom w:val="single" w:color="auto" w:sz="4" w:space="0"/>
              <w:right w:val="single" w:color="auto" w:sz="4" w:space="0"/>
            </w:tcBorders>
            <w:vAlign w:val="center"/>
          </w:tcPr>
          <w:p w14:paraId="7F751D18">
            <w:pPr>
              <w:snapToGrid w:val="0"/>
              <w:spacing w:line="440" w:lineRule="exact"/>
              <w:ind w:firstLine="480" w:firstLineChars="200"/>
              <w:rPr>
                <w:rFonts w:ascii="宋体" w:hAnsi="宋体"/>
                <w:color w:val="auto"/>
                <w:sz w:val="24"/>
                <w:szCs w:val="24"/>
              </w:rPr>
            </w:pPr>
          </w:p>
        </w:tc>
        <w:tc>
          <w:tcPr>
            <w:tcW w:w="2472" w:type="dxa"/>
            <w:tcBorders>
              <w:top w:val="nil"/>
              <w:left w:val="nil"/>
              <w:bottom w:val="single" w:color="auto" w:sz="4" w:space="0"/>
              <w:right w:val="single" w:color="auto" w:sz="4" w:space="0"/>
            </w:tcBorders>
            <w:vAlign w:val="center"/>
          </w:tcPr>
          <w:p w14:paraId="62AABE83">
            <w:pPr>
              <w:snapToGrid w:val="0"/>
              <w:spacing w:line="440" w:lineRule="exact"/>
              <w:ind w:firstLine="480" w:firstLineChars="200"/>
              <w:rPr>
                <w:rFonts w:ascii="宋体" w:hAnsi="宋体"/>
                <w:color w:val="auto"/>
                <w:sz w:val="24"/>
                <w:szCs w:val="24"/>
              </w:rPr>
            </w:pPr>
          </w:p>
        </w:tc>
        <w:tc>
          <w:tcPr>
            <w:tcW w:w="1440" w:type="dxa"/>
            <w:tcBorders>
              <w:top w:val="nil"/>
              <w:left w:val="nil"/>
              <w:bottom w:val="single" w:color="auto" w:sz="4" w:space="0"/>
              <w:right w:val="single" w:color="auto" w:sz="4" w:space="0"/>
            </w:tcBorders>
          </w:tcPr>
          <w:p w14:paraId="5D164489">
            <w:pPr>
              <w:tabs>
                <w:tab w:val="left" w:pos="6300"/>
              </w:tabs>
              <w:snapToGrid w:val="0"/>
              <w:spacing w:line="240" w:lineRule="exact"/>
              <w:rPr>
                <w:rFonts w:ascii="宋体" w:hAnsi="宋体"/>
                <w:color w:val="auto"/>
                <w:sz w:val="24"/>
                <w:szCs w:val="24"/>
              </w:rPr>
            </w:pPr>
            <w:r>
              <w:rPr>
                <w:rFonts w:hint="eastAsia" w:ascii="宋体" w:hAnsi="宋体" w:cs="宋体"/>
                <w:color w:val="auto"/>
                <w:kern w:val="1"/>
                <w:sz w:val="24"/>
                <w:szCs w:val="24"/>
              </w:rPr>
              <w:t>考核费报价：不限。</w:t>
            </w:r>
          </w:p>
        </w:tc>
      </w:tr>
    </w:tbl>
    <w:p w14:paraId="5C5E3C97">
      <w:pPr>
        <w:tabs>
          <w:tab w:val="left" w:pos="6300"/>
        </w:tabs>
        <w:snapToGrid w:val="0"/>
        <w:spacing w:line="312" w:lineRule="auto"/>
        <w:ind w:firstLine="480" w:firstLineChars="200"/>
        <w:rPr>
          <w:rFonts w:hint="eastAsia" w:ascii="宋体" w:hAnsi="宋体" w:cs="宋体"/>
          <w:color w:val="auto"/>
          <w:sz w:val="24"/>
          <w:szCs w:val="24"/>
        </w:rPr>
      </w:pPr>
    </w:p>
    <w:p w14:paraId="497A980B">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3524D70A">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14:paraId="5FA96473">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14:paraId="1A823027">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14:paraId="69A20077">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6.我方若成为成交商，将按照最终磋商结果签订合同，并且严格履行合同义务。本承诺函将成为合同不可分割的一部分，与合同具有同等的法律效力。</w:t>
      </w:r>
    </w:p>
    <w:p w14:paraId="544757CE">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7.如果我方成为成交商，保证在接到成交通知书后，向采购代理机构和</w:t>
      </w:r>
      <w:r>
        <w:rPr>
          <w:rFonts w:hint="eastAsia" w:ascii="宋体" w:hAnsi="宋体" w:cs="宋体"/>
          <w:color w:val="auto"/>
          <w:sz w:val="24"/>
        </w:rPr>
        <w:t>重庆联合产权交易所集团股份有限公司缴纳</w:t>
      </w:r>
      <w:r>
        <w:rPr>
          <w:rFonts w:hint="eastAsia" w:ascii="宋体" w:hAnsi="宋体" w:cs="宋体"/>
          <w:color w:val="auto"/>
          <w:sz w:val="24"/>
          <w:szCs w:val="24"/>
        </w:rPr>
        <w:t>竞争性磋商文件规定的采购代理服务费和交易服务费。</w:t>
      </w:r>
    </w:p>
    <w:p w14:paraId="5CD367F4">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6D2A71B5">
      <w:pPr>
        <w:tabs>
          <w:tab w:val="left" w:pos="6300"/>
        </w:tabs>
        <w:snapToGrid w:val="0"/>
        <w:spacing w:line="312" w:lineRule="auto"/>
        <w:ind w:firstLine="570"/>
        <w:rPr>
          <w:rFonts w:ascii="宋体" w:hAnsi="宋体" w:cs="宋体"/>
          <w:color w:val="auto"/>
          <w:sz w:val="24"/>
          <w:szCs w:val="24"/>
        </w:rPr>
      </w:pPr>
    </w:p>
    <w:p w14:paraId="40D7597E">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供应商（公章）或自然人签署：</w:t>
      </w:r>
    </w:p>
    <w:p w14:paraId="46C3C339">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0EF345A6">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1117DF11">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41DAC380">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5154437E">
      <w:pPr>
        <w:snapToGrid w:val="0"/>
        <w:spacing w:line="312" w:lineRule="auto"/>
        <w:ind w:firstLine="480" w:firstLineChars="200"/>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32FD1504">
      <w:pPr>
        <w:tabs>
          <w:tab w:val="left" w:pos="2895"/>
        </w:tabs>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w:t>
      </w:r>
      <w:r>
        <w:rPr>
          <w:rFonts w:hint="eastAsia" w:ascii="宋体" w:hAnsi="宋体"/>
          <w:b/>
          <w:color w:val="auto"/>
          <w:sz w:val="24"/>
          <w:szCs w:val="24"/>
        </w:rPr>
        <w:t>投标保证金提交依据</w:t>
      </w:r>
    </w:p>
    <w:p w14:paraId="1AA57DF6">
      <w:pPr>
        <w:rPr>
          <w:rFonts w:ascii="宋体" w:hAnsi="宋体" w:cs="宋体"/>
          <w:color w:val="auto"/>
        </w:rPr>
      </w:pPr>
    </w:p>
    <w:p w14:paraId="0F4A1015">
      <w:pPr>
        <w:rPr>
          <w:rFonts w:ascii="宋体" w:hAnsi="宋体" w:cs="宋体"/>
          <w:color w:val="auto"/>
        </w:rPr>
      </w:pPr>
    </w:p>
    <w:p w14:paraId="3FF77B6D">
      <w:pPr>
        <w:rPr>
          <w:rFonts w:ascii="宋体" w:hAnsi="宋体" w:cs="宋体"/>
          <w:color w:val="auto"/>
        </w:rPr>
      </w:pPr>
    </w:p>
    <w:p w14:paraId="22E0BCD6">
      <w:pPr>
        <w:rPr>
          <w:rFonts w:ascii="宋体" w:hAnsi="宋体" w:cs="宋体"/>
          <w:color w:val="auto"/>
        </w:rPr>
      </w:pPr>
    </w:p>
    <w:p w14:paraId="37348F92">
      <w:pPr>
        <w:rPr>
          <w:rFonts w:ascii="宋体" w:hAnsi="宋体" w:cs="宋体"/>
          <w:color w:val="auto"/>
        </w:rPr>
      </w:pPr>
    </w:p>
    <w:p w14:paraId="2C9A49CF">
      <w:pPr>
        <w:rPr>
          <w:rFonts w:ascii="宋体" w:hAnsi="宋体" w:cs="宋体"/>
          <w:color w:val="auto"/>
        </w:rPr>
      </w:pPr>
    </w:p>
    <w:p w14:paraId="685535C7">
      <w:pPr>
        <w:rPr>
          <w:rFonts w:ascii="宋体" w:hAnsi="宋体" w:cs="宋体"/>
          <w:color w:val="auto"/>
        </w:rPr>
      </w:pPr>
    </w:p>
    <w:p w14:paraId="7C23B315">
      <w:pPr>
        <w:rPr>
          <w:rFonts w:ascii="宋体" w:hAnsi="宋体" w:cs="宋体"/>
          <w:color w:val="auto"/>
        </w:rPr>
      </w:pPr>
    </w:p>
    <w:p w14:paraId="7A3150BF">
      <w:pPr>
        <w:rPr>
          <w:rFonts w:ascii="宋体" w:hAnsi="宋体" w:cs="宋体"/>
          <w:color w:val="auto"/>
        </w:rPr>
      </w:pPr>
    </w:p>
    <w:p w14:paraId="30D13573">
      <w:pPr>
        <w:rPr>
          <w:rFonts w:ascii="宋体" w:hAnsi="宋体" w:cs="宋体"/>
          <w:color w:val="auto"/>
        </w:rPr>
      </w:pPr>
    </w:p>
    <w:p w14:paraId="6698B177">
      <w:pPr>
        <w:rPr>
          <w:rFonts w:ascii="宋体" w:hAnsi="宋体" w:cs="宋体"/>
          <w:color w:val="auto"/>
        </w:rPr>
      </w:pPr>
    </w:p>
    <w:p w14:paraId="3CE6EB50">
      <w:pPr>
        <w:spacing w:line="360" w:lineRule="auto"/>
        <w:ind w:right="480" w:firstLine="6480" w:firstLineChars="2700"/>
        <w:rPr>
          <w:rFonts w:ascii="宋体" w:hAnsi="宋体" w:cs="宋体"/>
          <w:color w:val="auto"/>
          <w:sz w:val="24"/>
          <w:szCs w:val="24"/>
        </w:rPr>
      </w:pPr>
      <w:r>
        <w:rPr>
          <w:rFonts w:hint="eastAsia" w:ascii="宋体" w:hAnsi="宋体" w:cs="宋体"/>
          <w:color w:val="auto"/>
          <w:sz w:val="24"/>
          <w:szCs w:val="24"/>
        </w:rPr>
        <w:t xml:space="preserve">                                           </w:t>
      </w:r>
    </w:p>
    <w:p w14:paraId="6937109B">
      <w:pPr>
        <w:snapToGrid w:val="0"/>
        <w:spacing w:line="360" w:lineRule="auto"/>
        <w:ind w:firstLine="480" w:firstLineChars="200"/>
        <w:rPr>
          <w:rFonts w:ascii="宋体" w:hAnsi="宋体" w:cs="宋体"/>
          <w:color w:val="auto"/>
          <w:sz w:val="24"/>
          <w:szCs w:val="24"/>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322B22A1">
      <w:pPr>
        <w:snapToGrid w:val="0"/>
        <w:spacing w:line="440" w:lineRule="exact"/>
        <w:ind w:firstLine="562" w:firstLineChars="200"/>
        <w:rPr>
          <w:rFonts w:ascii="宋体" w:hAnsi="宋体"/>
          <w:b/>
          <w:bCs/>
          <w:color w:val="auto"/>
        </w:rPr>
      </w:pPr>
      <w:bookmarkStart w:id="224" w:name="_Toc186919434"/>
      <w:bookmarkStart w:id="225" w:name="_Toc76462351"/>
      <w:bookmarkStart w:id="226" w:name="_Toc11946"/>
      <w:r>
        <w:rPr>
          <w:rFonts w:hint="eastAsia" w:ascii="宋体" w:hAnsi="宋体"/>
          <w:b/>
          <w:bCs/>
          <w:color w:val="auto"/>
        </w:rPr>
        <w:t>二、资格文件</w:t>
      </w:r>
      <w:bookmarkEnd w:id="224"/>
    </w:p>
    <w:p w14:paraId="44E491FF">
      <w:pPr>
        <w:snapToGrid w:val="0"/>
        <w:spacing w:line="440" w:lineRule="exact"/>
        <w:ind w:firstLine="560" w:firstLineChars="200"/>
        <w:rPr>
          <w:rFonts w:ascii="宋体" w:hAnsi="宋体"/>
          <w:color w:val="auto"/>
        </w:rPr>
      </w:pPr>
    </w:p>
    <w:p w14:paraId="4D593C9E">
      <w:pPr>
        <w:snapToGrid w:val="0"/>
        <w:spacing w:line="440" w:lineRule="exact"/>
        <w:ind w:firstLine="562" w:firstLineChars="200"/>
        <w:rPr>
          <w:rFonts w:ascii="宋体" w:hAnsi="宋体"/>
          <w:color w:val="auto"/>
        </w:rPr>
      </w:pPr>
      <w:r>
        <w:rPr>
          <w:rFonts w:hint="eastAsia" w:ascii="宋体" w:hAnsi="宋体"/>
          <w:b/>
          <w:color w:val="auto"/>
        </w:rPr>
        <w:t>（一）法人营业执照（副本）或事业单位法人证书（副本）或个体工商户营业执照或有效的自然人身份证明或社会团体法人登记证书复印件</w:t>
      </w:r>
    </w:p>
    <w:p w14:paraId="1C92C558">
      <w:pPr>
        <w:snapToGrid w:val="0"/>
        <w:spacing w:line="440" w:lineRule="exact"/>
        <w:ind w:firstLine="560" w:firstLineChars="200"/>
        <w:rPr>
          <w:rFonts w:ascii="宋体" w:hAnsi="宋体"/>
          <w:color w:val="auto"/>
        </w:rPr>
      </w:pPr>
    </w:p>
    <w:p w14:paraId="750E94A6">
      <w:pPr>
        <w:snapToGrid w:val="0"/>
        <w:spacing w:line="440" w:lineRule="exact"/>
        <w:ind w:firstLine="560" w:firstLineChars="200"/>
        <w:rPr>
          <w:rFonts w:ascii="宋体" w:hAnsi="宋体"/>
          <w:color w:val="auto"/>
        </w:rPr>
      </w:pPr>
    </w:p>
    <w:p w14:paraId="6E329FCB">
      <w:pPr>
        <w:snapToGrid w:val="0"/>
        <w:spacing w:line="440" w:lineRule="exact"/>
        <w:ind w:firstLine="562" w:firstLineChars="200"/>
        <w:rPr>
          <w:rFonts w:ascii="宋体" w:hAnsi="宋体"/>
          <w:b/>
          <w:color w:val="auto"/>
        </w:rPr>
      </w:pPr>
    </w:p>
    <w:p w14:paraId="2EC3BC13">
      <w:pPr>
        <w:snapToGrid w:val="0"/>
        <w:spacing w:line="440" w:lineRule="exact"/>
        <w:ind w:firstLine="562" w:firstLineChars="200"/>
        <w:rPr>
          <w:rFonts w:ascii="宋体" w:hAnsi="宋体"/>
          <w:b/>
          <w:color w:val="auto"/>
        </w:rPr>
      </w:pPr>
    </w:p>
    <w:p w14:paraId="18DE0C6B">
      <w:pPr>
        <w:snapToGrid w:val="0"/>
        <w:spacing w:line="440" w:lineRule="exact"/>
        <w:ind w:firstLine="562" w:firstLineChars="200"/>
        <w:rPr>
          <w:rFonts w:ascii="宋体" w:hAnsi="宋体"/>
          <w:b/>
          <w:color w:val="auto"/>
        </w:rPr>
      </w:pPr>
    </w:p>
    <w:p w14:paraId="33D52F83">
      <w:pPr>
        <w:snapToGrid w:val="0"/>
        <w:spacing w:line="440" w:lineRule="exact"/>
        <w:ind w:firstLine="562" w:firstLineChars="200"/>
        <w:rPr>
          <w:rFonts w:ascii="宋体" w:hAnsi="宋体"/>
          <w:b/>
          <w:color w:val="auto"/>
        </w:rPr>
      </w:pPr>
    </w:p>
    <w:p w14:paraId="53AAA379">
      <w:pPr>
        <w:snapToGrid w:val="0"/>
        <w:spacing w:line="440" w:lineRule="exact"/>
        <w:ind w:firstLine="562" w:firstLineChars="200"/>
        <w:rPr>
          <w:rFonts w:ascii="宋体" w:hAnsi="宋体"/>
          <w:b/>
          <w:color w:val="auto"/>
        </w:rPr>
      </w:pPr>
    </w:p>
    <w:p w14:paraId="6B5F28C8">
      <w:pPr>
        <w:snapToGrid w:val="0"/>
        <w:spacing w:line="440" w:lineRule="exact"/>
        <w:ind w:firstLine="562" w:firstLineChars="200"/>
        <w:rPr>
          <w:rFonts w:ascii="宋体" w:hAnsi="宋体"/>
          <w:b/>
          <w:color w:val="auto"/>
        </w:rPr>
      </w:pPr>
    </w:p>
    <w:p w14:paraId="01E31316">
      <w:pPr>
        <w:snapToGrid w:val="0"/>
        <w:spacing w:line="440" w:lineRule="exact"/>
        <w:ind w:firstLine="562" w:firstLineChars="200"/>
        <w:rPr>
          <w:rFonts w:ascii="宋体" w:hAnsi="宋体"/>
          <w:b/>
          <w:color w:val="auto"/>
        </w:rPr>
      </w:pPr>
    </w:p>
    <w:p w14:paraId="0BD3CE54">
      <w:pPr>
        <w:snapToGrid w:val="0"/>
        <w:spacing w:line="440" w:lineRule="exact"/>
        <w:ind w:firstLine="562" w:firstLineChars="200"/>
        <w:rPr>
          <w:rFonts w:ascii="宋体" w:hAnsi="宋体"/>
          <w:b/>
          <w:color w:val="auto"/>
        </w:rPr>
      </w:pPr>
    </w:p>
    <w:p w14:paraId="54CC8FC7">
      <w:pPr>
        <w:snapToGrid w:val="0"/>
        <w:spacing w:line="440" w:lineRule="exact"/>
        <w:ind w:firstLine="562" w:firstLineChars="200"/>
        <w:rPr>
          <w:rFonts w:ascii="宋体" w:hAnsi="宋体"/>
          <w:b/>
          <w:color w:val="auto"/>
        </w:rPr>
      </w:pPr>
    </w:p>
    <w:p w14:paraId="1C7FB304">
      <w:pPr>
        <w:snapToGrid w:val="0"/>
        <w:spacing w:line="440" w:lineRule="exact"/>
        <w:ind w:firstLine="562" w:firstLineChars="200"/>
        <w:rPr>
          <w:rFonts w:ascii="宋体" w:hAnsi="宋体"/>
          <w:b/>
          <w:color w:val="auto"/>
        </w:rPr>
      </w:pPr>
    </w:p>
    <w:p w14:paraId="33CD50AD">
      <w:pPr>
        <w:snapToGrid w:val="0"/>
        <w:spacing w:line="440" w:lineRule="exact"/>
        <w:ind w:firstLine="562" w:firstLineChars="200"/>
        <w:rPr>
          <w:rFonts w:ascii="宋体" w:hAnsi="宋体"/>
          <w:b/>
          <w:color w:val="auto"/>
        </w:rPr>
      </w:pPr>
    </w:p>
    <w:p w14:paraId="6655E875">
      <w:pPr>
        <w:snapToGrid w:val="0"/>
        <w:spacing w:line="440" w:lineRule="exact"/>
        <w:ind w:firstLine="562" w:firstLineChars="200"/>
        <w:rPr>
          <w:rFonts w:ascii="宋体" w:hAnsi="宋体"/>
          <w:b/>
          <w:color w:val="auto"/>
        </w:rPr>
      </w:pPr>
    </w:p>
    <w:p w14:paraId="5D328536">
      <w:pPr>
        <w:snapToGrid w:val="0"/>
        <w:spacing w:line="440" w:lineRule="exact"/>
        <w:ind w:firstLine="562" w:firstLineChars="200"/>
        <w:rPr>
          <w:rFonts w:ascii="宋体" w:hAnsi="宋体"/>
          <w:b/>
          <w:color w:val="auto"/>
        </w:rPr>
      </w:pPr>
    </w:p>
    <w:p w14:paraId="1BD9C371">
      <w:pPr>
        <w:snapToGrid w:val="0"/>
        <w:spacing w:line="440" w:lineRule="exact"/>
        <w:ind w:firstLine="562" w:firstLineChars="200"/>
        <w:rPr>
          <w:rFonts w:ascii="宋体" w:hAnsi="宋体"/>
          <w:b/>
          <w:color w:val="auto"/>
        </w:rPr>
      </w:pPr>
    </w:p>
    <w:p w14:paraId="7D73A695">
      <w:pPr>
        <w:snapToGrid w:val="0"/>
        <w:spacing w:line="440" w:lineRule="exact"/>
        <w:ind w:firstLine="562" w:firstLineChars="200"/>
        <w:rPr>
          <w:rFonts w:ascii="宋体" w:hAnsi="宋体"/>
          <w:b/>
          <w:color w:val="auto"/>
        </w:rPr>
      </w:pPr>
    </w:p>
    <w:p w14:paraId="52588D6A">
      <w:pPr>
        <w:snapToGrid w:val="0"/>
        <w:spacing w:line="440" w:lineRule="exact"/>
        <w:ind w:firstLine="562" w:firstLineChars="200"/>
        <w:rPr>
          <w:rFonts w:ascii="宋体" w:hAnsi="宋体"/>
          <w:b/>
          <w:color w:val="auto"/>
        </w:rPr>
      </w:pPr>
    </w:p>
    <w:p w14:paraId="0E81DDEC">
      <w:pPr>
        <w:snapToGrid w:val="0"/>
        <w:spacing w:line="440" w:lineRule="exact"/>
        <w:ind w:firstLine="562" w:firstLineChars="200"/>
        <w:rPr>
          <w:rFonts w:ascii="宋体" w:hAnsi="宋体"/>
          <w:b/>
          <w:color w:val="auto"/>
        </w:rPr>
      </w:pPr>
    </w:p>
    <w:p w14:paraId="7F290ECF">
      <w:pPr>
        <w:snapToGrid w:val="0"/>
        <w:spacing w:line="440" w:lineRule="exact"/>
        <w:ind w:firstLine="562" w:firstLineChars="200"/>
        <w:rPr>
          <w:rFonts w:ascii="宋体" w:hAnsi="宋体"/>
          <w:b/>
          <w:color w:val="auto"/>
        </w:rPr>
      </w:pPr>
    </w:p>
    <w:p w14:paraId="7838B14E">
      <w:pPr>
        <w:snapToGrid w:val="0"/>
        <w:spacing w:line="440" w:lineRule="exact"/>
        <w:ind w:firstLine="562" w:firstLineChars="200"/>
        <w:rPr>
          <w:rFonts w:ascii="宋体" w:hAnsi="宋体"/>
          <w:b/>
          <w:color w:val="auto"/>
        </w:rPr>
      </w:pPr>
    </w:p>
    <w:p w14:paraId="286DFEA2">
      <w:pPr>
        <w:snapToGrid w:val="0"/>
        <w:spacing w:line="440" w:lineRule="exact"/>
        <w:ind w:firstLine="562" w:firstLineChars="200"/>
        <w:rPr>
          <w:rFonts w:ascii="宋体" w:hAnsi="宋体"/>
          <w:b/>
          <w:color w:val="auto"/>
        </w:rPr>
      </w:pPr>
    </w:p>
    <w:p w14:paraId="2CB54480">
      <w:pPr>
        <w:snapToGrid w:val="0"/>
        <w:spacing w:line="440" w:lineRule="exact"/>
        <w:ind w:firstLine="562" w:firstLineChars="200"/>
        <w:rPr>
          <w:rFonts w:ascii="宋体" w:hAnsi="宋体"/>
          <w:b/>
          <w:color w:val="auto"/>
        </w:rPr>
      </w:pPr>
    </w:p>
    <w:p w14:paraId="26E206A1">
      <w:pPr>
        <w:snapToGrid w:val="0"/>
        <w:spacing w:line="440" w:lineRule="exact"/>
        <w:ind w:firstLine="562" w:firstLineChars="200"/>
        <w:rPr>
          <w:rFonts w:ascii="宋体" w:hAnsi="宋体"/>
          <w:b/>
          <w:color w:val="auto"/>
        </w:rPr>
      </w:pPr>
    </w:p>
    <w:p w14:paraId="56101E83">
      <w:pPr>
        <w:rPr>
          <w:rFonts w:hint="eastAsia" w:ascii="宋体" w:hAnsi="宋体"/>
          <w:b/>
          <w:color w:val="auto"/>
        </w:rPr>
      </w:pPr>
      <w:r>
        <w:rPr>
          <w:rFonts w:hint="eastAsia" w:ascii="宋体" w:hAnsi="宋体"/>
          <w:b/>
          <w:color w:val="auto"/>
        </w:rPr>
        <w:br w:type="page"/>
      </w:r>
    </w:p>
    <w:p w14:paraId="4A85281D">
      <w:pPr>
        <w:snapToGrid w:val="0"/>
        <w:spacing w:line="440" w:lineRule="exact"/>
        <w:ind w:firstLine="562" w:firstLineChars="200"/>
        <w:rPr>
          <w:rFonts w:ascii="宋体" w:hAnsi="宋体"/>
          <w:b/>
          <w:color w:val="auto"/>
        </w:rPr>
      </w:pPr>
      <w:r>
        <w:rPr>
          <w:rFonts w:hint="eastAsia" w:ascii="宋体" w:hAnsi="宋体"/>
          <w:b/>
          <w:color w:val="auto"/>
        </w:rPr>
        <w:t>（</w:t>
      </w:r>
      <w:r>
        <w:rPr>
          <w:rFonts w:hint="eastAsia" w:ascii="宋体" w:hAnsi="宋体"/>
          <w:b/>
          <w:color w:val="auto"/>
          <w:lang w:val="en-US" w:eastAsia="zh-CN"/>
        </w:rPr>
        <w:t>二</w:t>
      </w:r>
      <w:r>
        <w:rPr>
          <w:rFonts w:hint="eastAsia" w:ascii="宋体" w:hAnsi="宋体"/>
          <w:b/>
          <w:color w:val="auto"/>
        </w:rPr>
        <w:t>）法定代表人身份证明书（格式）</w:t>
      </w:r>
    </w:p>
    <w:p w14:paraId="3C7117DD">
      <w:pPr>
        <w:snapToGrid w:val="0"/>
        <w:spacing w:line="440" w:lineRule="exact"/>
        <w:ind w:firstLine="560" w:firstLineChars="200"/>
        <w:rPr>
          <w:rFonts w:ascii="宋体" w:hAnsi="宋体"/>
          <w:color w:val="auto"/>
        </w:rPr>
      </w:pPr>
    </w:p>
    <w:p w14:paraId="0DF76E12">
      <w:pPr>
        <w:snapToGrid w:val="0"/>
        <w:spacing w:line="440" w:lineRule="exact"/>
        <w:ind w:firstLine="560" w:firstLineChars="200"/>
        <w:rPr>
          <w:rFonts w:ascii="宋体" w:hAnsi="宋体"/>
          <w:color w:val="auto"/>
        </w:rPr>
      </w:pPr>
      <w:r>
        <w:rPr>
          <w:rFonts w:hint="eastAsia" w:ascii="宋体" w:hAnsi="宋体"/>
          <w:color w:val="auto"/>
        </w:rPr>
        <w:t>采购项目名称：</w:t>
      </w:r>
    </w:p>
    <w:p w14:paraId="6C73D76C">
      <w:pPr>
        <w:snapToGrid w:val="0"/>
        <w:spacing w:line="440" w:lineRule="exact"/>
        <w:ind w:firstLine="560" w:firstLineChars="200"/>
        <w:rPr>
          <w:rFonts w:ascii="宋体" w:hAnsi="宋体"/>
          <w:color w:val="auto"/>
        </w:rPr>
      </w:pPr>
    </w:p>
    <w:p w14:paraId="09B039DD">
      <w:pPr>
        <w:snapToGrid w:val="0"/>
        <w:spacing w:line="440" w:lineRule="exact"/>
        <w:ind w:firstLine="560" w:firstLineChars="200"/>
        <w:rPr>
          <w:rFonts w:ascii="宋体" w:hAnsi="宋体"/>
          <w:color w:val="auto"/>
        </w:rPr>
      </w:pPr>
      <w:r>
        <w:rPr>
          <w:rFonts w:hint="eastAsia" w:ascii="宋体" w:hAnsi="宋体"/>
          <w:color w:val="auto"/>
        </w:rPr>
        <w:t>致：</w:t>
      </w:r>
      <w:r>
        <w:rPr>
          <w:rFonts w:hint="eastAsia" w:ascii="宋体" w:hAnsi="宋体"/>
          <w:color w:val="auto"/>
          <w:u w:val="single"/>
        </w:rPr>
        <w:t>重庆文理学院</w:t>
      </w:r>
    </w:p>
    <w:p w14:paraId="3B6B746E">
      <w:pPr>
        <w:snapToGrid w:val="0"/>
        <w:spacing w:line="440" w:lineRule="exact"/>
        <w:ind w:firstLine="560" w:firstLineChars="200"/>
        <w:rPr>
          <w:rFonts w:ascii="宋体" w:hAnsi="宋体"/>
          <w:color w:val="auto"/>
        </w:rPr>
      </w:pPr>
      <w:r>
        <w:rPr>
          <w:rFonts w:hint="eastAsia" w:ascii="宋体" w:hAnsi="宋体"/>
          <w:color w:val="auto"/>
        </w:rPr>
        <w:t>（法定代表人姓名）在（投标人名称）任（职务名称）职务，是（投标人名称）的法定代表人。</w:t>
      </w:r>
    </w:p>
    <w:p w14:paraId="6FF78CFF">
      <w:pPr>
        <w:snapToGrid w:val="0"/>
        <w:spacing w:line="440" w:lineRule="exact"/>
        <w:ind w:firstLine="560" w:firstLineChars="200"/>
        <w:rPr>
          <w:rFonts w:ascii="宋体" w:hAnsi="宋体"/>
          <w:color w:val="auto"/>
        </w:rPr>
      </w:pPr>
    </w:p>
    <w:p w14:paraId="23AF12DA">
      <w:pPr>
        <w:snapToGrid w:val="0"/>
        <w:spacing w:line="440" w:lineRule="exact"/>
        <w:ind w:firstLine="560" w:firstLineChars="200"/>
        <w:rPr>
          <w:rFonts w:ascii="宋体" w:hAnsi="宋体"/>
          <w:color w:val="auto"/>
        </w:rPr>
      </w:pPr>
      <w:r>
        <w:rPr>
          <w:rFonts w:hint="eastAsia" w:ascii="宋体" w:hAnsi="宋体"/>
          <w:color w:val="auto"/>
        </w:rPr>
        <w:t>特此证明。</w:t>
      </w:r>
    </w:p>
    <w:p w14:paraId="4F60C24C">
      <w:pPr>
        <w:snapToGrid w:val="0"/>
        <w:spacing w:line="440" w:lineRule="exact"/>
        <w:ind w:firstLine="560" w:firstLineChars="200"/>
        <w:rPr>
          <w:rFonts w:ascii="宋体" w:hAnsi="宋体"/>
          <w:color w:val="auto"/>
        </w:rPr>
      </w:pPr>
    </w:p>
    <w:p w14:paraId="2383B907">
      <w:pPr>
        <w:snapToGrid w:val="0"/>
        <w:spacing w:line="440" w:lineRule="exact"/>
        <w:ind w:firstLine="560" w:firstLineChars="200"/>
        <w:rPr>
          <w:rFonts w:ascii="宋体" w:hAnsi="宋体"/>
          <w:color w:val="auto"/>
        </w:rPr>
      </w:pPr>
    </w:p>
    <w:p w14:paraId="10E66D2A">
      <w:pPr>
        <w:snapToGrid w:val="0"/>
        <w:spacing w:line="440" w:lineRule="exact"/>
        <w:ind w:firstLine="560" w:firstLineChars="200"/>
        <w:rPr>
          <w:rFonts w:ascii="宋体" w:hAnsi="宋体"/>
          <w:color w:val="auto"/>
        </w:rPr>
      </w:pPr>
    </w:p>
    <w:p w14:paraId="515F1519">
      <w:pPr>
        <w:snapToGrid w:val="0"/>
        <w:spacing w:line="440" w:lineRule="exact"/>
        <w:ind w:firstLine="560" w:firstLineChars="200"/>
        <w:rPr>
          <w:rFonts w:ascii="宋体" w:hAnsi="宋体"/>
          <w:color w:val="auto"/>
        </w:rPr>
      </w:pPr>
      <w:r>
        <w:rPr>
          <w:rFonts w:hint="eastAsia" w:ascii="宋体" w:hAnsi="宋体"/>
          <w:color w:val="auto"/>
        </w:rPr>
        <w:t>（投标人公章）</w:t>
      </w:r>
    </w:p>
    <w:p w14:paraId="2C2CA27E">
      <w:pPr>
        <w:snapToGrid w:val="0"/>
        <w:spacing w:line="440" w:lineRule="exact"/>
        <w:ind w:firstLine="560" w:firstLineChars="200"/>
        <w:rPr>
          <w:rFonts w:ascii="宋体" w:hAnsi="宋体"/>
          <w:color w:val="auto"/>
        </w:rPr>
      </w:pPr>
    </w:p>
    <w:p w14:paraId="671B9BEB">
      <w:pPr>
        <w:snapToGrid w:val="0"/>
        <w:spacing w:line="440" w:lineRule="exact"/>
        <w:ind w:firstLine="560" w:firstLineChars="200"/>
        <w:rPr>
          <w:rFonts w:ascii="宋体" w:hAnsi="宋体"/>
          <w:color w:val="auto"/>
        </w:rPr>
      </w:pPr>
      <w:r>
        <w:rPr>
          <w:rFonts w:hint="eastAsia" w:ascii="宋体" w:hAnsi="宋体"/>
          <w:color w:val="auto"/>
        </w:rPr>
        <w:t>年月日</w:t>
      </w:r>
    </w:p>
    <w:p w14:paraId="68EEA1EB">
      <w:pPr>
        <w:snapToGrid w:val="0"/>
        <w:spacing w:line="440" w:lineRule="exact"/>
        <w:ind w:firstLine="560" w:firstLineChars="200"/>
        <w:rPr>
          <w:rFonts w:ascii="宋体" w:hAnsi="宋体"/>
          <w:color w:val="auto"/>
        </w:rPr>
      </w:pPr>
    </w:p>
    <w:p w14:paraId="5608376A">
      <w:pPr>
        <w:snapToGrid w:val="0"/>
        <w:spacing w:line="440" w:lineRule="exact"/>
        <w:ind w:firstLine="560" w:firstLineChars="200"/>
        <w:rPr>
          <w:rFonts w:ascii="宋体" w:hAnsi="宋体"/>
          <w:color w:val="auto"/>
        </w:rPr>
      </w:pPr>
      <w:r>
        <w:rPr>
          <w:rFonts w:hint="eastAsia" w:ascii="宋体" w:hAnsi="宋体"/>
          <w:color w:val="auto"/>
        </w:rPr>
        <w:t>（附：法定代表人身份证正反面复印件）</w:t>
      </w:r>
    </w:p>
    <w:p w14:paraId="375A35FC">
      <w:pPr>
        <w:snapToGrid w:val="0"/>
        <w:spacing w:line="440" w:lineRule="exact"/>
        <w:ind w:firstLine="562" w:firstLineChars="200"/>
        <w:rPr>
          <w:rFonts w:ascii="宋体" w:hAnsi="宋体"/>
          <w:b/>
          <w:color w:val="auto"/>
        </w:rPr>
      </w:pPr>
    </w:p>
    <w:p w14:paraId="3AFB69EB">
      <w:pPr>
        <w:snapToGrid w:val="0"/>
        <w:spacing w:line="440" w:lineRule="exact"/>
        <w:ind w:firstLine="562" w:firstLineChars="200"/>
        <w:rPr>
          <w:rFonts w:ascii="宋体" w:hAnsi="宋体"/>
          <w:b/>
          <w:color w:val="auto"/>
        </w:rPr>
      </w:pPr>
    </w:p>
    <w:p w14:paraId="07E873BA">
      <w:pPr>
        <w:snapToGrid w:val="0"/>
        <w:spacing w:line="440" w:lineRule="exact"/>
        <w:ind w:firstLine="562" w:firstLineChars="200"/>
        <w:rPr>
          <w:rFonts w:ascii="宋体" w:hAnsi="宋体"/>
          <w:b/>
          <w:color w:val="auto"/>
        </w:rPr>
      </w:pPr>
    </w:p>
    <w:p w14:paraId="0CFAB68F">
      <w:pPr>
        <w:snapToGrid w:val="0"/>
        <w:spacing w:line="440" w:lineRule="exact"/>
        <w:ind w:firstLine="562" w:firstLineChars="200"/>
        <w:rPr>
          <w:rFonts w:ascii="宋体" w:hAnsi="宋体"/>
          <w:b/>
          <w:color w:val="auto"/>
        </w:rPr>
      </w:pPr>
    </w:p>
    <w:p w14:paraId="382F8D31">
      <w:pPr>
        <w:snapToGrid w:val="0"/>
        <w:spacing w:line="440" w:lineRule="exact"/>
        <w:ind w:firstLine="562" w:firstLineChars="200"/>
        <w:rPr>
          <w:rFonts w:ascii="宋体" w:hAnsi="宋体"/>
          <w:b/>
          <w:color w:val="auto"/>
        </w:rPr>
      </w:pPr>
    </w:p>
    <w:p w14:paraId="3063CC39">
      <w:pPr>
        <w:snapToGrid w:val="0"/>
        <w:spacing w:line="440" w:lineRule="exact"/>
        <w:ind w:firstLine="562" w:firstLineChars="200"/>
        <w:rPr>
          <w:rFonts w:ascii="宋体" w:hAnsi="宋体"/>
          <w:b/>
          <w:color w:val="auto"/>
        </w:rPr>
      </w:pPr>
    </w:p>
    <w:p w14:paraId="6620F201">
      <w:pPr>
        <w:snapToGrid w:val="0"/>
        <w:spacing w:line="440" w:lineRule="exact"/>
        <w:ind w:firstLine="562" w:firstLineChars="200"/>
        <w:rPr>
          <w:rFonts w:ascii="宋体" w:hAnsi="宋体"/>
          <w:b/>
          <w:color w:val="auto"/>
        </w:rPr>
      </w:pPr>
    </w:p>
    <w:p w14:paraId="78730282">
      <w:pPr>
        <w:snapToGrid w:val="0"/>
        <w:spacing w:line="440" w:lineRule="exact"/>
        <w:ind w:firstLine="562" w:firstLineChars="200"/>
        <w:rPr>
          <w:rFonts w:ascii="宋体" w:hAnsi="宋体"/>
          <w:b/>
          <w:color w:val="auto"/>
        </w:rPr>
      </w:pPr>
    </w:p>
    <w:p w14:paraId="563D6E5D">
      <w:pPr>
        <w:snapToGrid w:val="0"/>
        <w:spacing w:line="440" w:lineRule="exact"/>
        <w:ind w:firstLine="562" w:firstLineChars="200"/>
        <w:rPr>
          <w:rFonts w:ascii="宋体" w:hAnsi="宋体"/>
          <w:b/>
          <w:color w:val="auto"/>
        </w:rPr>
      </w:pPr>
    </w:p>
    <w:p w14:paraId="155EA438">
      <w:pPr>
        <w:snapToGrid w:val="0"/>
        <w:spacing w:line="440" w:lineRule="exact"/>
        <w:ind w:firstLine="562" w:firstLineChars="200"/>
        <w:rPr>
          <w:rFonts w:ascii="宋体" w:hAnsi="宋体"/>
          <w:b/>
          <w:color w:val="auto"/>
        </w:rPr>
      </w:pPr>
    </w:p>
    <w:p w14:paraId="15546531">
      <w:pPr>
        <w:snapToGrid w:val="0"/>
        <w:spacing w:line="440" w:lineRule="exact"/>
        <w:ind w:firstLine="562" w:firstLineChars="200"/>
        <w:rPr>
          <w:rFonts w:ascii="宋体" w:hAnsi="宋体"/>
          <w:b/>
          <w:color w:val="auto"/>
        </w:rPr>
      </w:pPr>
    </w:p>
    <w:p w14:paraId="73E1762B">
      <w:pPr>
        <w:snapToGrid w:val="0"/>
        <w:spacing w:line="440" w:lineRule="exact"/>
        <w:ind w:firstLine="562" w:firstLineChars="200"/>
        <w:rPr>
          <w:rFonts w:ascii="宋体" w:hAnsi="宋体"/>
          <w:b/>
          <w:color w:val="auto"/>
        </w:rPr>
      </w:pPr>
    </w:p>
    <w:p w14:paraId="6D67F172">
      <w:pPr>
        <w:snapToGrid w:val="0"/>
        <w:spacing w:line="440" w:lineRule="exact"/>
        <w:ind w:firstLine="562" w:firstLineChars="200"/>
        <w:rPr>
          <w:rFonts w:ascii="宋体" w:hAnsi="宋体"/>
          <w:b/>
          <w:color w:val="auto"/>
        </w:rPr>
      </w:pPr>
    </w:p>
    <w:p w14:paraId="2AF04D91">
      <w:pPr>
        <w:snapToGrid w:val="0"/>
        <w:spacing w:line="440" w:lineRule="exact"/>
        <w:ind w:firstLine="562" w:firstLineChars="200"/>
        <w:rPr>
          <w:rFonts w:ascii="宋体" w:hAnsi="宋体"/>
          <w:b/>
          <w:color w:val="auto"/>
        </w:rPr>
      </w:pPr>
    </w:p>
    <w:p w14:paraId="7A1FEFC2">
      <w:pPr>
        <w:snapToGrid w:val="0"/>
        <w:spacing w:line="440" w:lineRule="exact"/>
        <w:ind w:firstLine="562" w:firstLineChars="200"/>
        <w:rPr>
          <w:rFonts w:ascii="宋体" w:hAnsi="宋体"/>
          <w:b/>
          <w:color w:val="auto"/>
        </w:rPr>
      </w:pPr>
    </w:p>
    <w:p w14:paraId="63B2A106">
      <w:pPr>
        <w:snapToGrid w:val="0"/>
        <w:spacing w:line="440" w:lineRule="exact"/>
        <w:ind w:firstLine="562" w:firstLineChars="200"/>
        <w:rPr>
          <w:rFonts w:ascii="宋体" w:hAnsi="宋体"/>
          <w:b/>
          <w:color w:val="auto"/>
        </w:rPr>
      </w:pPr>
    </w:p>
    <w:p w14:paraId="30EADB58">
      <w:pPr>
        <w:snapToGrid w:val="0"/>
        <w:spacing w:line="440" w:lineRule="exact"/>
        <w:ind w:firstLine="562" w:firstLineChars="200"/>
        <w:rPr>
          <w:rFonts w:ascii="宋体" w:hAnsi="宋体"/>
          <w:b/>
          <w:color w:val="auto"/>
        </w:rPr>
      </w:pPr>
      <w:r>
        <w:rPr>
          <w:rFonts w:hint="eastAsia" w:ascii="宋体" w:hAnsi="宋体"/>
          <w:b/>
          <w:color w:val="auto"/>
        </w:rPr>
        <w:t>（</w:t>
      </w:r>
      <w:r>
        <w:rPr>
          <w:rFonts w:hint="eastAsia" w:ascii="宋体" w:hAnsi="宋体"/>
          <w:b/>
          <w:color w:val="auto"/>
          <w:lang w:val="en-US" w:eastAsia="zh-CN"/>
        </w:rPr>
        <w:t>三</w:t>
      </w:r>
      <w:r>
        <w:rPr>
          <w:rFonts w:hint="eastAsia" w:ascii="宋体" w:hAnsi="宋体"/>
          <w:b/>
          <w:color w:val="auto"/>
        </w:rPr>
        <w:t>）法定代表人授权委托书（格式）</w:t>
      </w:r>
    </w:p>
    <w:p w14:paraId="7DA704F9">
      <w:pPr>
        <w:snapToGrid w:val="0"/>
        <w:spacing w:line="440" w:lineRule="exact"/>
        <w:ind w:firstLine="560" w:firstLineChars="200"/>
        <w:rPr>
          <w:rFonts w:ascii="宋体" w:hAnsi="宋体"/>
          <w:color w:val="auto"/>
        </w:rPr>
      </w:pPr>
    </w:p>
    <w:p w14:paraId="6C9130F5">
      <w:pPr>
        <w:snapToGrid w:val="0"/>
        <w:spacing w:line="440" w:lineRule="exact"/>
        <w:ind w:firstLine="560" w:firstLineChars="200"/>
        <w:rPr>
          <w:rFonts w:ascii="宋体" w:hAnsi="宋体"/>
          <w:color w:val="auto"/>
        </w:rPr>
      </w:pPr>
      <w:r>
        <w:rPr>
          <w:rFonts w:hint="eastAsia" w:ascii="宋体" w:hAnsi="宋体"/>
          <w:color w:val="auto"/>
        </w:rPr>
        <w:t>采购项目名称：</w:t>
      </w:r>
    </w:p>
    <w:p w14:paraId="22299B76">
      <w:pPr>
        <w:snapToGrid w:val="0"/>
        <w:spacing w:line="440" w:lineRule="exact"/>
        <w:ind w:firstLine="560" w:firstLineChars="200"/>
        <w:rPr>
          <w:rFonts w:ascii="宋体" w:hAnsi="宋体"/>
          <w:color w:val="auto"/>
        </w:rPr>
      </w:pPr>
    </w:p>
    <w:p w14:paraId="22F28EE3">
      <w:pPr>
        <w:snapToGrid w:val="0"/>
        <w:spacing w:line="440" w:lineRule="exact"/>
        <w:ind w:firstLine="560" w:firstLineChars="200"/>
        <w:rPr>
          <w:rFonts w:ascii="宋体" w:hAnsi="宋体"/>
          <w:color w:val="auto"/>
        </w:rPr>
      </w:pPr>
      <w:r>
        <w:rPr>
          <w:rFonts w:hint="eastAsia" w:ascii="宋体" w:hAnsi="宋体"/>
          <w:color w:val="auto"/>
        </w:rPr>
        <w:t>致：</w:t>
      </w:r>
      <w:r>
        <w:rPr>
          <w:rFonts w:hint="eastAsia" w:ascii="宋体" w:hAnsi="宋体"/>
          <w:color w:val="auto"/>
          <w:u w:val="single"/>
        </w:rPr>
        <w:t>重庆文理学院</w:t>
      </w:r>
    </w:p>
    <w:p w14:paraId="5C9BC139">
      <w:pPr>
        <w:snapToGrid w:val="0"/>
        <w:spacing w:line="440" w:lineRule="exact"/>
        <w:ind w:firstLine="560" w:firstLineChars="200"/>
        <w:rPr>
          <w:rFonts w:ascii="宋体" w:hAnsi="宋体"/>
          <w:color w:val="auto"/>
        </w:rPr>
      </w:pPr>
      <w:r>
        <w:rPr>
          <w:rFonts w:hint="eastAsia" w:ascii="宋体" w:hAnsi="宋体"/>
          <w:color w:val="auto"/>
        </w:rPr>
        <w:t>（投标人法定代表人名称）是（投标人名称）的法定代表人，特授权（被授权人姓名及身份证代码）代表我单位全权办理上述项目的投标、谈判、签约等具体工作，并签署全部有关文件、协议及合同。</w:t>
      </w:r>
    </w:p>
    <w:p w14:paraId="0B578745">
      <w:pPr>
        <w:snapToGrid w:val="0"/>
        <w:spacing w:line="440" w:lineRule="exact"/>
        <w:ind w:firstLine="560" w:firstLineChars="200"/>
        <w:rPr>
          <w:rFonts w:ascii="宋体" w:hAnsi="宋体"/>
          <w:color w:val="auto"/>
        </w:rPr>
      </w:pPr>
      <w:r>
        <w:rPr>
          <w:rFonts w:hint="eastAsia" w:ascii="宋体" w:hAnsi="宋体"/>
          <w:color w:val="auto"/>
        </w:rPr>
        <w:t>我单位对被授权人的签名负全部责任。</w:t>
      </w:r>
    </w:p>
    <w:p w14:paraId="54FBEC92">
      <w:pPr>
        <w:snapToGrid w:val="0"/>
        <w:spacing w:line="440" w:lineRule="exact"/>
        <w:ind w:firstLine="560" w:firstLineChars="200"/>
        <w:rPr>
          <w:rFonts w:ascii="宋体" w:hAnsi="宋体"/>
          <w:color w:val="auto"/>
        </w:rPr>
      </w:pPr>
      <w:r>
        <w:rPr>
          <w:rFonts w:hint="eastAsia" w:ascii="宋体" w:hAnsi="宋体"/>
          <w:color w:val="auto"/>
        </w:rPr>
        <w:t>在撤消授权的书面通知以前，本授权书一直有效。被授权人在授权书有效期内签署的所有文件不因授权的撤消而失效。</w:t>
      </w:r>
    </w:p>
    <w:p w14:paraId="1DD26053">
      <w:pPr>
        <w:snapToGrid w:val="0"/>
        <w:spacing w:line="440" w:lineRule="exact"/>
        <w:ind w:firstLine="560" w:firstLineChars="200"/>
        <w:rPr>
          <w:rFonts w:ascii="宋体" w:hAnsi="宋体"/>
          <w:color w:val="auto"/>
        </w:rPr>
      </w:pPr>
    </w:p>
    <w:p w14:paraId="7B2A30E6">
      <w:pPr>
        <w:snapToGrid w:val="0"/>
        <w:spacing w:line="440" w:lineRule="exact"/>
        <w:ind w:firstLine="560" w:firstLineChars="200"/>
        <w:rPr>
          <w:rFonts w:ascii="宋体" w:hAnsi="宋体"/>
          <w:color w:val="auto"/>
        </w:rPr>
      </w:pPr>
    </w:p>
    <w:p w14:paraId="4F33B71F">
      <w:pPr>
        <w:snapToGrid w:val="0"/>
        <w:spacing w:line="440" w:lineRule="exact"/>
        <w:ind w:firstLine="560" w:firstLineChars="200"/>
        <w:rPr>
          <w:rFonts w:ascii="宋体" w:hAnsi="宋体"/>
          <w:color w:val="auto"/>
        </w:rPr>
      </w:pPr>
      <w:r>
        <w:rPr>
          <w:rFonts w:hint="eastAsia" w:ascii="宋体" w:hAnsi="宋体"/>
          <w:color w:val="auto"/>
        </w:rPr>
        <w:t>被授权人签名：投标人法定代表人签名：</w:t>
      </w:r>
    </w:p>
    <w:p w14:paraId="09F1B8E1">
      <w:pPr>
        <w:snapToGrid w:val="0"/>
        <w:spacing w:line="440" w:lineRule="exact"/>
        <w:ind w:firstLine="560" w:firstLineChars="200"/>
        <w:rPr>
          <w:rFonts w:ascii="宋体" w:hAnsi="宋体"/>
          <w:color w:val="auto"/>
        </w:rPr>
      </w:pPr>
    </w:p>
    <w:p w14:paraId="27AD3B22">
      <w:pPr>
        <w:snapToGrid w:val="0"/>
        <w:spacing w:line="440" w:lineRule="exact"/>
        <w:ind w:firstLine="560" w:firstLineChars="200"/>
        <w:rPr>
          <w:rFonts w:ascii="宋体" w:hAnsi="宋体"/>
          <w:color w:val="auto"/>
        </w:rPr>
      </w:pPr>
    </w:p>
    <w:p w14:paraId="74770676">
      <w:pPr>
        <w:snapToGrid w:val="0"/>
        <w:spacing w:line="440" w:lineRule="exact"/>
        <w:ind w:firstLine="560" w:firstLineChars="200"/>
        <w:rPr>
          <w:rFonts w:ascii="宋体" w:hAnsi="宋体"/>
          <w:color w:val="auto"/>
        </w:rPr>
      </w:pPr>
      <w:r>
        <w:rPr>
          <w:rFonts w:hint="eastAsia" w:ascii="宋体" w:hAnsi="宋体"/>
          <w:color w:val="auto"/>
        </w:rPr>
        <w:t>（附：被授权人身份证正反面复印件）</w:t>
      </w:r>
    </w:p>
    <w:p w14:paraId="4D3B6E94">
      <w:pPr>
        <w:snapToGrid w:val="0"/>
        <w:spacing w:line="440" w:lineRule="exact"/>
        <w:ind w:firstLine="560" w:firstLineChars="200"/>
        <w:rPr>
          <w:rFonts w:ascii="宋体" w:hAnsi="宋体"/>
          <w:color w:val="auto"/>
        </w:rPr>
      </w:pPr>
    </w:p>
    <w:p w14:paraId="6B0C41E6">
      <w:pPr>
        <w:snapToGrid w:val="0"/>
        <w:spacing w:line="440" w:lineRule="exact"/>
        <w:ind w:firstLine="560" w:firstLineChars="200"/>
        <w:rPr>
          <w:rFonts w:ascii="宋体" w:hAnsi="宋体"/>
          <w:color w:val="auto"/>
        </w:rPr>
      </w:pPr>
    </w:p>
    <w:p w14:paraId="04C9F881">
      <w:pPr>
        <w:snapToGrid w:val="0"/>
        <w:spacing w:line="440" w:lineRule="exact"/>
        <w:ind w:firstLine="560" w:firstLineChars="200"/>
        <w:rPr>
          <w:rFonts w:ascii="宋体" w:hAnsi="宋体"/>
          <w:color w:val="auto"/>
        </w:rPr>
      </w:pPr>
    </w:p>
    <w:p w14:paraId="59E96400">
      <w:pPr>
        <w:snapToGrid w:val="0"/>
        <w:spacing w:line="440" w:lineRule="exact"/>
        <w:ind w:firstLine="5040" w:firstLineChars="1800"/>
        <w:rPr>
          <w:rFonts w:ascii="宋体" w:hAnsi="宋体"/>
          <w:color w:val="auto"/>
        </w:rPr>
      </w:pPr>
      <w:r>
        <w:rPr>
          <w:rFonts w:hint="eastAsia" w:ascii="宋体" w:hAnsi="宋体"/>
          <w:color w:val="auto"/>
        </w:rPr>
        <w:t>（投标人公章）</w:t>
      </w:r>
    </w:p>
    <w:p w14:paraId="7AD8AD2A">
      <w:pPr>
        <w:snapToGrid w:val="0"/>
        <w:spacing w:line="440" w:lineRule="exact"/>
        <w:ind w:firstLine="5320" w:firstLineChars="1900"/>
        <w:rPr>
          <w:rFonts w:ascii="宋体" w:hAnsi="宋体"/>
          <w:color w:val="auto"/>
        </w:rPr>
      </w:pPr>
      <w:r>
        <w:rPr>
          <w:rFonts w:hint="eastAsia" w:ascii="宋体" w:hAnsi="宋体"/>
          <w:color w:val="auto"/>
        </w:rPr>
        <w:t>年月日</w:t>
      </w:r>
    </w:p>
    <w:p w14:paraId="4F8FC527">
      <w:pPr>
        <w:snapToGrid w:val="0"/>
        <w:spacing w:line="440" w:lineRule="exact"/>
        <w:ind w:firstLine="560" w:firstLineChars="200"/>
        <w:rPr>
          <w:rFonts w:ascii="宋体" w:hAnsi="宋体"/>
          <w:color w:val="auto"/>
        </w:rPr>
      </w:pPr>
    </w:p>
    <w:p w14:paraId="15497EA6">
      <w:pPr>
        <w:snapToGrid w:val="0"/>
        <w:spacing w:line="440" w:lineRule="exact"/>
        <w:ind w:firstLine="560" w:firstLineChars="200"/>
        <w:rPr>
          <w:rFonts w:ascii="宋体" w:hAnsi="宋体"/>
          <w:color w:val="auto"/>
        </w:rPr>
      </w:pPr>
    </w:p>
    <w:p w14:paraId="0E70EA41">
      <w:pPr>
        <w:snapToGrid w:val="0"/>
        <w:spacing w:line="440" w:lineRule="exact"/>
        <w:ind w:firstLine="560" w:firstLineChars="200"/>
        <w:rPr>
          <w:rFonts w:ascii="宋体" w:hAnsi="宋体"/>
          <w:color w:val="auto"/>
        </w:rPr>
      </w:pPr>
    </w:p>
    <w:p w14:paraId="41DC70A7">
      <w:pPr>
        <w:snapToGrid w:val="0"/>
        <w:spacing w:line="440" w:lineRule="exact"/>
        <w:ind w:firstLine="560" w:firstLineChars="200"/>
        <w:rPr>
          <w:rFonts w:ascii="宋体" w:hAnsi="宋体"/>
          <w:color w:val="auto"/>
        </w:rPr>
      </w:pPr>
    </w:p>
    <w:p w14:paraId="3A44DB8F">
      <w:pPr>
        <w:snapToGrid w:val="0"/>
        <w:spacing w:line="440" w:lineRule="exact"/>
        <w:ind w:firstLine="560" w:firstLineChars="200"/>
        <w:rPr>
          <w:rFonts w:ascii="宋体" w:hAnsi="宋体"/>
          <w:color w:val="auto"/>
        </w:rPr>
      </w:pPr>
    </w:p>
    <w:p w14:paraId="15073070">
      <w:pPr>
        <w:snapToGrid w:val="0"/>
        <w:spacing w:line="440" w:lineRule="exact"/>
        <w:ind w:firstLine="560" w:firstLineChars="200"/>
        <w:rPr>
          <w:rFonts w:ascii="宋体" w:hAnsi="宋体"/>
          <w:color w:val="auto"/>
        </w:rPr>
      </w:pPr>
    </w:p>
    <w:p w14:paraId="4B95CD03">
      <w:pPr>
        <w:snapToGrid w:val="0"/>
        <w:spacing w:line="440" w:lineRule="exact"/>
        <w:ind w:firstLine="560" w:firstLineChars="200"/>
        <w:rPr>
          <w:rFonts w:ascii="宋体" w:hAnsi="宋体"/>
          <w:color w:val="auto"/>
        </w:rPr>
      </w:pPr>
    </w:p>
    <w:p w14:paraId="2B11DF6C">
      <w:pPr>
        <w:snapToGrid w:val="0"/>
        <w:spacing w:line="440" w:lineRule="exact"/>
        <w:ind w:firstLine="560" w:firstLineChars="200"/>
        <w:rPr>
          <w:rFonts w:ascii="宋体" w:hAnsi="宋体"/>
          <w:color w:val="auto"/>
        </w:rPr>
      </w:pPr>
    </w:p>
    <w:p w14:paraId="44B04D49">
      <w:pPr>
        <w:snapToGrid w:val="0"/>
        <w:spacing w:line="440" w:lineRule="exact"/>
        <w:ind w:firstLine="560" w:firstLineChars="200"/>
        <w:rPr>
          <w:rFonts w:ascii="宋体" w:hAnsi="宋体"/>
          <w:color w:val="auto"/>
        </w:rPr>
      </w:pPr>
    </w:p>
    <w:p w14:paraId="7E398833">
      <w:pPr>
        <w:snapToGrid w:val="0"/>
        <w:spacing w:line="440" w:lineRule="exact"/>
        <w:ind w:firstLine="560" w:firstLineChars="200"/>
        <w:rPr>
          <w:rFonts w:ascii="宋体" w:hAnsi="宋体"/>
          <w:color w:val="auto"/>
        </w:rPr>
      </w:pPr>
    </w:p>
    <w:p w14:paraId="0A0A9735">
      <w:pPr>
        <w:snapToGrid w:val="0"/>
        <w:spacing w:line="440" w:lineRule="exact"/>
        <w:ind w:firstLine="562" w:firstLineChars="200"/>
        <w:rPr>
          <w:rFonts w:ascii="宋体" w:hAnsi="宋体"/>
          <w:b/>
          <w:color w:val="auto"/>
        </w:rPr>
      </w:pPr>
      <w:r>
        <w:rPr>
          <w:rFonts w:hint="eastAsia" w:ascii="宋体" w:hAnsi="宋体"/>
          <w:b/>
          <w:color w:val="auto"/>
        </w:rPr>
        <w:t>（</w:t>
      </w:r>
      <w:r>
        <w:rPr>
          <w:rFonts w:hint="eastAsia" w:ascii="宋体" w:hAnsi="宋体"/>
          <w:b/>
          <w:color w:val="auto"/>
          <w:lang w:val="en-US" w:eastAsia="zh-CN"/>
        </w:rPr>
        <w:t>四</w:t>
      </w:r>
      <w:r>
        <w:rPr>
          <w:rFonts w:hint="eastAsia" w:ascii="宋体" w:hAnsi="宋体"/>
          <w:b/>
          <w:color w:val="auto"/>
        </w:rPr>
        <w:t>）诚信声明</w:t>
      </w:r>
    </w:p>
    <w:p w14:paraId="570FCEEE">
      <w:pPr>
        <w:snapToGrid w:val="0"/>
        <w:spacing w:line="440" w:lineRule="exact"/>
        <w:ind w:firstLine="560" w:firstLineChars="200"/>
        <w:rPr>
          <w:rFonts w:ascii="宋体" w:hAnsi="宋体"/>
          <w:color w:val="auto"/>
        </w:rPr>
      </w:pPr>
    </w:p>
    <w:p w14:paraId="5190FE0A">
      <w:pPr>
        <w:snapToGrid w:val="0"/>
        <w:spacing w:line="440" w:lineRule="exact"/>
        <w:ind w:firstLine="560" w:firstLineChars="200"/>
        <w:rPr>
          <w:rFonts w:ascii="宋体" w:hAnsi="宋体"/>
          <w:color w:val="auto"/>
        </w:rPr>
      </w:pPr>
      <w:r>
        <w:rPr>
          <w:rFonts w:hint="eastAsia" w:ascii="宋体" w:hAnsi="宋体"/>
          <w:color w:val="auto"/>
        </w:rPr>
        <w:t>采购项目名称：</w:t>
      </w:r>
    </w:p>
    <w:p w14:paraId="2F1DF255">
      <w:pPr>
        <w:snapToGrid w:val="0"/>
        <w:spacing w:line="440" w:lineRule="exact"/>
        <w:ind w:firstLine="560" w:firstLineChars="200"/>
        <w:rPr>
          <w:rFonts w:ascii="宋体" w:hAnsi="宋体"/>
          <w:color w:val="auto"/>
        </w:rPr>
      </w:pPr>
    </w:p>
    <w:p w14:paraId="106CC0B9">
      <w:pPr>
        <w:snapToGrid w:val="0"/>
        <w:spacing w:line="440" w:lineRule="exact"/>
        <w:ind w:firstLine="560" w:firstLineChars="200"/>
        <w:rPr>
          <w:rFonts w:ascii="宋体" w:hAnsi="宋体"/>
          <w:color w:val="auto"/>
        </w:rPr>
      </w:pPr>
      <w:r>
        <w:rPr>
          <w:rFonts w:hint="eastAsia" w:ascii="宋体" w:hAnsi="宋体"/>
          <w:color w:val="auto"/>
        </w:rPr>
        <w:t>致：</w:t>
      </w:r>
      <w:r>
        <w:rPr>
          <w:rFonts w:hint="eastAsia" w:ascii="宋体" w:hAnsi="宋体"/>
          <w:color w:val="auto"/>
          <w:u w:val="single"/>
        </w:rPr>
        <w:t>重庆文理学院</w:t>
      </w:r>
    </w:p>
    <w:p w14:paraId="1F1402CF">
      <w:pPr>
        <w:snapToGrid w:val="0"/>
        <w:spacing w:line="440" w:lineRule="exact"/>
        <w:ind w:firstLine="560" w:firstLineChars="200"/>
        <w:rPr>
          <w:rFonts w:ascii="宋体" w:hAnsi="宋体"/>
          <w:color w:val="auto"/>
        </w:rPr>
      </w:pPr>
      <w:r>
        <w:rPr>
          <w:rFonts w:hint="eastAsia" w:ascii="宋体" w:hAnsi="宋体"/>
          <w:color w:val="auto"/>
        </w:rPr>
        <w:t>（投标人名称）郑重声明，我公司具有良好的商业信誉和健全的财务会计制度，依法缴纳税收和社会保障金，具有履行合同所必需的设备和专业技术能力，我公司还同时声明参加本项目采购活动前三年内无重大违法活动记录，符合《政府采购法》规定的供应商资格条件。我方对以上声明负全部法律责任。</w:t>
      </w:r>
    </w:p>
    <w:p w14:paraId="7688821A">
      <w:pPr>
        <w:snapToGrid w:val="0"/>
        <w:spacing w:line="440" w:lineRule="exact"/>
        <w:ind w:firstLine="560" w:firstLineChars="200"/>
        <w:rPr>
          <w:rFonts w:ascii="宋体" w:hAnsi="宋体"/>
          <w:color w:val="auto"/>
        </w:rPr>
      </w:pPr>
      <w:r>
        <w:rPr>
          <w:rFonts w:hint="eastAsia" w:ascii="宋体" w:hAnsi="宋体"/>
          <w:color w:val="auto"/>
        </w:rPr>
        <w:t>特此声明。</w:t>
      </w:r>
    </w:p>
    <w:p w14:paraId="539C0147">
      <w:pPr>
        <w:snapToGrid w:val="0"/>
        <w:spacing w:line="440" w:lineRule="exact"/>
        <w:ind w:firstLine="560" w:firstLineChars="200"/>
        <w:rPr>
          <w:rFonts w:ascii="宋体" w:hAnsi="宋体"/>
          <w:color w:val="auto"/>
        </w:rPr>
      </w:pPr>
    </w:p>
    <w:p w14:paraId="2C1402BB">
      <w:pPr>
        <w:snapToGrid w:val="0"/>
        <w:spacing w:line="440" w:lineRule="exact"/>
        <w:ind w:firstLine="560" w:firstLineChars="200"/>
        <w:rPr>
          <w:rFonts w:ascii="宋体" w:hAnsi="宋体"/>
          <w:color w:val="auto"/>
        </w:rPr>
      </w:pPr>
    </w:p>
    <w:p w14:paraId="21902F40">
      <w:pPr>
        <w:snapToGrid w:val="0"/>
        <w:spacing w:line="440" w:lineRule="exact"/>
        <w:ind w:firstLine="560" w:firstLineChars="200"/>
        <w:rPr>
          <w:rFonts w:ascii="宋体" w:hAnsi="宋体"/>
          <w:color w:val="auto"/>
        </w:rPr>
      </w:pPr>
    </w:p>
    <w:p w14:paraId="27F8EDF5">
      <w:pPr>
        <w:snapToGrid w:val="0"/>
        <w:spacing w:line="440" w:lineRule="exact"/>
        <w:ind w:firstLine="5600" w:firstLineChars="2000"/>
        <w:rPr>
          <w:rFonts w:ascii="宋体" w:hAnsi="宋体"/>
          <w:color w:val="auto"/>
        </w:rPr>
      </w:pPr>
      <w:r>
        <w:rPr>
          <w:rFonts w:hint="eastAsia" w:ascii="宋体" w:hAnsi="宋体"/>
          <w:color w:val="auto"/>
        </w:rPr>
        <w:t>（投标人公章）</w:t>
      </w:r>
    </w:p>
    <w:p w14:paraId="48AE915F">
      <w:pPr>
        <w:snapToGrid w:val="0"/>
        <w:spacing w:line="440" w:lineRule="exact"/>
        <w:ind w:firstLine="6160" w:firstLineChars="2200"/>
        <w:rPr>
          <w:rFonts w:ascii="宋体" w:hAnsi="宋体"/>
          <w:color w:val="auto"/>
        </w:rPr>
      </w:pPr>
      <w:r>
        <w:rPr>
          <w:rFonts w:hint="eastAsia" w:ascii="宋体" w:hAnsi="宋体"/>
          <w:color w:val="auto"/>
        </w:rPr>
        <w:t>年月日</w:t>
      </w:r>
    </w:p>
    <w:p w14:paraId="33F23E42">
      <w:pPr>
        <w:snapToGrid w:val="0"/>
        <w:spacing w:line="440" w:lineRule="exact"/>
        <w:ind w:firstLine="560" w:firstLineChars="200"/>
        <w:rPr>
          <w:rFonts w:ascii="宋体" w:hAnsi="宋体"/>
          <w:color w:val="auto"/>
        </w:rPr>
      </w:pPr>
    </w:p>
    <w:p w14:paraId="75F5ECF6">
      <w:pPr>
        <w:snapToGrid w:val="0"/>
        <w:spacing w:line="440" w:lineRule="exact"/>
        <w:ind w:firstLine="560" w:firstLineChars="200"/>
        <w:rPr>
          <w:rFonts w:ascii="宋体" w:hAnsi="宋体"/>
          <w:color w:val="auto"/>
        </w:rPr>
      </w:pPr>
    </w:p>
    <w:p w14:paraId="43EB3100">
      <w:pPr>
        <w:snapToGrid w:val="0"/>
        <w:spacing w:line="440" w:lineRule="exact"/>
        <w:ind w:firstLine="560" w:firstLineChars="200"/>
        <w:rPr>
          <w:rFonts w:ascii="宋体" w:hAnsi="宋体"/>
          <w:color w:val="auto"/>
        </w:rPr>
      </w:pPr>
    </w:p>
    <w:p w14:paraId="72B5C723">
      <w:pPr>
        <w:snapToGrid w:val="0"/>
        <w:spacing w:line="440" w:lineRule="exact"/>
        <w:ind w:firstLine="560" w:firstLineChars="200"/>
        <w:rPr>
          <w:rFonts w:ascii="宋体" w:hAnsi="宋体"/>
          <w:color w:val="auto"/>
        </w:rPr>
      </w:pPr>
    </w:p>
    <w:p w14:paraId="614EBD54">
      <w:pPr>
        <w:snapToGrid w:val="0"/>
        <w:spacing w:line="440" w:lineRule="exact"/>
        <w:ind w:firstLine="560" w:firstLineChars="200"/>
        <w:rPr>
          <w:rFonts w:ascii="宋体" w:hAnsi="宋体"/>
          <w:color w:val="auto"/>
        </w:rPr>
      </w:pPr>
    </w:p>
    <w:p w14:paraId="3A2129B8">
      <w:pPr>
        <w:snapToGrid w:val="0"/>
        <w:spacing w:line="440" w:lineRule="exact"/>
        <w:ind w:firstLine="560" w:firstLineChars="200"/>
        <w:rPr>
          <w:rFonts w:ascii="宋体" w:hAnsi="宋体"/>
          <w:color w:val="auto"/>
        </w:rPr>
      </w:pPr>
    </w:p>
    <w:p w14:paraId="0802F7DE">
      <w:pPr>
        <w:snapToGrid w:val="0"/>
        <w:spacing w:line="440" w:lineRule="exact"/>
        <w:ind w:firstLine="560" w:firstLineChars="200"/>
        <w:rPr>
          <w:rFonts w:ascii="宋体" w:hAnsi="宋体"/>
          <w:color w:val="auto"/>
        </w:rPr>
      </w:pPr>
    </w:p>
    <w:p w14:paraId="034C4BA9">
      <w:pPr>
        <w:snapToGrid w:val="0"/>
        <w:spacing w:line="440" w:lineRule="exact"/>
        <w:ind w:firstLine="560" w:firstLineChars="200"/>
        <w:rPr>
          <w:rFonts w:ascii="宋体" w:hAnsi="宋体"/>
          <w:color w:val="auto"/>
        </w:rPr>
      </w:pPr>
    </w:p>
    <w:p w14:paraId="6904415E">
      <w:pPr>
        <w:snapToGrid w:val="0"/>
        <w:spacing w:line="440" w:lineRule="exact"/>
        <w:ind w:firstLine="560" w:firstLineChars="200"/>
        <w:rPr>
          <w:rFonts w:ascii="宋体" w:hAnsi="宋体"/>
          <w:color w:val="auto"/>
        </w:rPr>
      </w:pPr>
    </w:p>
    <w:p w14:paraId="071E61B2">
      <w:pPr>
        <w:snapToGrid w:val="0"/>
        <w:spacing w:line="440" w:lineRule="exact"/>
        <w:ind w:firstLine="560" w:firstLineChars="200"/>
        <w:rPr>
          <w:rFonts w:ascii="宋体" w:hAnsi="宋体"/>
          <w:color w:val="auto"/>
        </w:rPr>
      </w:pPr>
    </w:p>
    <w:p w14:paraId="523E7C1D">
      <w:pPr>
        <w:snapToGrid w:val="0"/>
        <w:spacing w:line="440" w:lineRule="exact"/>
        <w:ind w:firstLine="560" w:firstLineChars="200"/>
        <w:rPr>
          <w:rFonts w:ascii="宋体" w:hAnsi="宋体"/>
          <w:color w:val="auto"/>
        </w:rPr>
      </w:pPr>
    </w:p>
    <w:p w14:paraId="398BB772">
      <w:pPr>
        <w:snapToGrid w:val="0"/>
        <w:spacing w:line="440" w:lineRule="exact"/>
        <w:ind w:firstLine="560" w:firstLineChars="200"/>
        <w:rPr>
          <w:rFonts w:ascii="宋体" w:hAnsi="宋体"/>
          <w:color w:val="auto"/>
        </w:rPr>
      </w:pPr>
    </w:p>
    <w:p w14:paraId="36A7BA2C">
      <w:pPr>
        <w:snapToGrid w:val="0"/>
        <w:spacing w:line="440" w:lineRule="exact"/>
        <w:ind w:firstLine="560" w:firstLineChars="200"/>
        <w:rPr>
          <w:rFonts w:ascii="宋体" w:hAnsi="宋体"/>
          <w:color w:val="auto"/>
        </w:rPr>
      </w:pPr>
    </w:p>
    <w:p w14:paraId="1CB346A5">
      <w:pPr>
        <w:snapToGrid w:val="0"/>
        <w:spacing w:line="440" w:lineRule="exact"/>
        <w:ind w:firstLine="560" w:firstLineChars="200"/>
        <w:rPr>
          <w:rFonts w:ascii="宋体" w:hAnsi="宋体"/>
          <w:color w:val="auto"/>
        </w:rPr>
      </w:pPr>
    </w:p>
    <w:p w14:paraId="29F9C18E">
      <w:pPr>
        <w:snapToGrid w:val="0"/>
        <w:spacing w:line="440" w:lineRule="exact"/>
        <w:ind w:firstLine="560" w:firstLineChars="200"/>
        <w:rPr>
          <w:rFonts w:ascii="宋体" w:hAnsi="宋体"/>
          <w:color w:val="auto"/>
        </w:rPr>
      </w:pPr>
    </w:p>
    <w:p w14:paraId="4DBA60B0">
      <w:pPr>
        <w:snapToGrid w:val="0"/>
        <w:spacing w:line="440" w:lineRule="exact"/>
        <w:ind w:firstLine="560" w:firstLineChars="200"/>
        <w:rPr>
          <w:rFonts w:ascii="宋体" w:hAnsi="宋体"/>
          <w:color w:val="auto"/>
        </w:rPr>
      </w:pPr>
    </w:p>
    <w:p w14:paraId="2ED65B63">
      <w:pPr>
        <w:snapToGrid w:val="0"/>
        <w:spacing w:line="440" w:lineRule="exact"/>
        <w:ind w:firstLine="560" w:firstLineChars="200"/>
        <w:rPr>
          <w:rFonts w:ascii="宋体" w:hAnsi="宋体"/>
          <w:color w:val="auto"/>
        </w:rPr>
      </w:pPr>
    </w:p>
    <w:p w14:paraId="11EADC77">
      <w:pPr>
        <w:snapToGrid w:val="0"/>
        <w:spacing w:line="440" w:lineRule="exact"/>
        <w:ind w:firstLine="560" w:firstLineChars="200"/>
        <w:rPr>
          <w:rFonts w:ascii="宋体" w:hAnsi="宋体"/>
          <w:color w:val="auto"/>
        </w:rPr>
      </w:pPr>
      <w:r>
        <w:rPr>
          <w:rFonts w:hint="eastAsia" w:ascii="宋体" w:hAnsi="宋体"/>
          <w:color w:val="auto"/>
        </w:rPr>
        <w:t>（</w:t>
      </w:r>
      <w:r>
        <w:rPr>
          <w:rFonts w:hint="eastAsia" w:ascii="宋体" w:hAnsi="宋体"/>
          <w:color w:val="auto"/>
          <w:lang w:val="en-US" w:eastAsia="zh-CN"/>
        </w:rPr>
        <w:t>五</w:t>
      </w:r>
      <w:r>
        <w:rPr>
          <w:rFonts w:hint="eastAsia" w:ascii="宋体" w:hAnsi="宋体"/>
          <w:color w:val="auto"/>
        </w:rPr>
        <w:t>）上一年度资产负债表、利润表、现金流量表复印件</w:t>
      </w:r>
      <w:r>
        <w:rPr>
          <w:rFonts w:hint="eastAsia" w:ascii="宋体" w:hAnsi="宋体"/>
          <w:color w:val="auto"/>
          <w:lang w:eastAsia="zh-CN"/>
        </w:rPr>
        <w:t>，本年度新成立的公司提供投标截止时间前一个月的财务状况报告（资产负债表、利润表、现金流量表复印件）</w:t>
      </w:r>
      <w:r>
        <w:rPr>
          <w:rFonts w:hint="eastAsia" w:ascii="宋体" w:hAnsi="宋体"/>
          <w:color w:val="auto"/>
        </w:rPr>
        <w:t>。</w:t>
      </w:r>
    </w:p>
    <w:p w14:paraId="6CEAC7E4">
      <w:pPr>
        <w:snapToGrid w:val="0"/>
        <w:spacing w:line="440" w:lineRule="exact"/>
        <w:ind w:firstLine="560" w:firstLineChars="200"/>
        <w:rPr>
          <w:rFonts w:ascii="宋体" w:hAnsi="宋体"/>
          <w:color w:val="auto"/>
        </w:rPr>
      </w:pPr>
      <w:r>
        <w:rPr>
          <w:rFonts w:hint="eastAsia" w:ascii="宋体" w:hAnsi="宋体"/>
          <w:color w:val="auto"/>
        </w:rPr>
        <w:t>（</w:t>
      </w:r>
      <w:r>
        <w:rPr>
          <w:rFonts w:hint="eastAsia" w:ascii="宋体" w:hAnsi="宋体"/>
          <w:color w:val="auto"/>
          <w:lang w:val="en-US" w:eastAsia="zh-CN"/>
        </w:rPr>
        <w:t>六</w:t>
      </w:r>
      <w:r>
        <w:rPr>
          <w:rFonts w:hint="eastAsia" w:ascii="宋体" w:hAnsi="宋体"/>
          <w:color w:val="auto"/>
        </w:rPr>
        <w:t>）缴纳税收的证明材料和社会保险缴纳证明材料。</w:t>
      </w:r>
    </w:p>
    <w:p w14:paraId="29E04BB9">
      <w:pPr>
        <w:snapToGrid w:val="0"/>
        <w:spacing w:line="440" w:lineRule="exact"/>
        <w:ind w:firstLine="560" w:firstLineChars="200"/>
        <w:rPr>
          <w:rFonts w:hint="eastAsia" w:ascii="宋体" w:hAnsi="宋体" w:eastAsia="宋体"/>
          <w:color w:val="auto"/>
          <w:lang w:val="en-US" w:eastAsia="zh-CN"/>
        </w:rPr>
      </w:pPr>
      <w:r>
        <w:rPr>
          <w:rFonts w:hint="eastAsia" w:ascii="宋体" w:hAnsi="宋体"/>
          <w:color w:val="auto"/>
        </w:rPr>
        <w:t>（</w:t>
      </w:r>
      <w:r>
        <w:rPr>
          <w:rFonts w:hint="eastAsia" w:ascii="宋体" w:hAnsi="宋体"/>
          <w:color w:val="auto"/>
          <w:lang w:val="en-US" w:eastAsia="zh-CN"/>
        </w:rPr>
        <w:t>七</w:t>
      </w:r>
      <w:r>
        <w:rPr>
          <w:rFonts w:hint="eastAsia" w:ascii="宋体" w:hAnsi="宋体"/>
          <w:color w:val="auto"/>
        </w:rPr>
        <w:t>）</w:t>
      </w:r>
      <w:r>
        <w:rPr>
          <w:rFonts w:hint="eastAsia" w:ascii="宋体" w:hAnsi="宋体" w:eastAsia="宋体" w:cs="宋体"/>
          <w:b w:val="0"/>
          <w:bCs w:val="0"/>
          <w:color w:val="auto"/>
          <w:sz w:val="28"/>
          <w:szCs w:val="28"/>
        </w:rPr>
        <w:t>诚信声明</w:t>
      </w:r>
      <w:r>
        <w:rPr>
          <w:rFonts w:hint="eastAsia" w:ascii="宋体" w:hAnsi="宋体"/>
          <w:color w:val="auto"/>
        </w:rPr>
        <w:t>与信用中国网站（</w:t>
      </w:r>
      <w:r>
        <w:rPr>
          <w:rFonts w:ascii="宋体" w:hAnsi="宋体"/>
          <w:color w:val="auto"/>
        </w:rPr>
        <w:t>www.creditchina.gov.cn</w:t>
      </w:r>
      <w:r>
        <w:rPr>
          <w:rFonts w:hint="eastAsia" w:ascii="宋体" w:hAnsi="宋体"/>
          <w:color w:val="auto"/>
        </w:rPr>
        <w:t>）“信用信息”（包括“失信被执行人”及“重大税收违法案件当事人名单”）及“行政处罚”查询结果以及中国政府采购网（</w:t>
      </w:r>
      <w:r>
        <w:rPr>
          <w:rFonts w:ascii="宋体" w:hAnsi="宋体"/>
          <w:color w:val="auto"/>
        </w:rPr>
        <w:t>www.ccgp.gov.cn</w:t>
      </w:r>
      <w:r>
        <w:rPr>
          <w:rFonts w:hint="eastAsia" w:ascii="宋体" w:hAnsi="宋体"/>
          <w:color w:val="auto"/>
        </w:rPr>
        <w:t>）“政府采购严重违法失信行为纪录名单”查询结果（上述两个网站查询结果网页打印件并加盖投标人公章）。查询结果为本项目采购公告发布之日起至投标截止时间前</w:t>
      </w:r>
      <w:r>
        <w:rPr>
          <w:rFonts w:hint="eastAsia" w:ascii="宋体" w:hAnsi="宋体"/>
          <w:color w:val="auto"/>
          <w:lang w:eastAsia="zh-CN"/>
        </w:rPr>
        <w:t>。</w:t>
      </w:r>
    </w:p>
    <w:p w14:paraId="5AB999F5">
      <w:pPr>
        <w:snapToGrid w:val="0"/>
        <w:spacing w:line="440" w:lineRule="exact"/>
        <w:ind w:firstLine="560" w:firstLineChars="200"/>
        <w:rPr>
          <w:rFonts w:ascii="宋体" w:hAnsi="宋体"/>
          <w:color w:val="auto"/>
        </w:rPr>
      </w:pPr>
      <w:r>
        <w:rPr>
          <w:rFonts w:hint="eastAsia" w:ascii="宋体" w:hAnsi="宋体"/>
          <w:color w:val="auto"/>
        </w:rPr>
        <w:t>（</w:t>
      </w:r>
      <w:r>
        <w:rPr>
          <w:rFonts w:hint="eastAsia" w:ascii="宋体" w:hAnsi="宋体"/>
          <w:color w:val="auto"/>
          <w:lang w:val="en-US" w:eastAsia="zh-CN"/>
        </w:rPr>
        <w:t>八</w:t>
      </w:r>
      <w:r>
        <w:rPr>
          <w:rFonts w:hint="eastAsia" w:ascii="宋体" w:hAnsi="宋体"/>
          <w:color w:val="auto"/>
        </w:rPr>
        <w:t>）特定资格条件证明文件</w:t>
      </w:r>
    </w:p>
    <w:p w14:paraId="4300ACAC">
      <w:pPr>
        <w:snapToGrid w:val="0"/>
        <w:spacing w:line="440" w:lineRule="exact"/>
        <w:ind w:firstLine="560" w:firstLineChars="200"/>
        <w:rPr>
          <w:rFonts w:ascii="宋体" w:hAnsi="宋体"/>
          <w:color w:val="auto"/>
        </w:rPr>
      </w:pPr>
    </w:p>
    <w:p w14:paraId="0A517DDE">
      <w:pPr>
        <w:snapToGrid w:val="0"/>
        <w:spacing w:line="440" w:lineRule="exact"/>
        <w:ind w:firstLine="560" w:firstLineChars="200"/>
        <w:rPr>
          <w:rFonts w:ascii="宋体" w:hAnsi="宋体"/>
          <w:color w:val="auto"/>
        </w:rPr>
      </w:pPr>
    </w:p>
    <w:p w14:paraId="538FA3BA">
      <w:pPr>
        <w:snapToGrid w:val="0"/>
        <w:spacing w:line="440" w:lineRule="exact"/>
        <w:ind w:firstLine="560" w:firstLineChars="200"/>
        <w:rPr>
          <w:rFonts w:ascii="宋体" w:hAnsi="宋体"/>
          <w:color w:val="auto"/>
        </w:rPr>
      </w:pPr>
    </w:p>
    <w:p w14:paraId="2AB77B4B">
      <w:pPr>
        <w:snapToGrid w:val="0"/>
        <w:spacing w:line="440" w:lineRule="exact"/>
        <w:ind w:firstLine="560" w:firstLineChars="200"/>
        <w:rPr>
          <w:rFonts w:ascii="宋体" w:hAnsi="宋体"/>
          <w:color w:val="auto"/>
        </w:rPr>
      </w:pPr>
    </w:p>
    <w:p w14:paraId="18171F94">
      <w:pPr>
        <w:snapToGrid w:val="0"/>
        <w:spacing w:line="440" w:lineRule="exact"/>
        <w:ind w:firstLine="560" w:firstLineChars="200"/>
        <w:rPr>
          <w:rFonts w:ascii="宋体" w:hAnsi="宋体"/>
          <w:color w:val="auto"/>
        </w:rPr>
      </w:pPr>
    </w:p>
    <w:p w14:paraId="2807B6E3">
      <w:pPr>
        <w:snapToGrid w:val="0"/>
        <w:spacing w:line="440" w:lineRule="exact"/>
        <w:ind w:firstLine="560" w:firstLineChars="200"/>
        <w:rPr>
          <w:rFonts w:ascii="宋体" w:hAnsi="宋体"/>
          <w:color w:val="auto"/>
        </w:rPr>
      </w:pPr>
    </w:p>
    <w:p w14:paraId="44D321B3">
      <w:pPr>
        <w:snapToGrid w:val="0"/>
        <w:spacing w:line="440" w:lineRule="exact"/>
        <w:ind w:firstLine="560" w:firstLineChars="200"/>
        <w:rPr>
          <w:rFonts w:ascii="宋体" w:hAnsi="宋体"/>
          <w:color w:val="auto"/>
        </w:rPr>
      </w:pPr>
    </w:p>
    <w:p w14:paraId="3063C7BF">
      <w:pPr>
        <w:snapToGrid w:val="0"/>
        <w:spacing w:line="440" w:lineRule="exact"/>
        <w:ind w:firstLine="560" w:firstLineChars="200"/>
        <w:rPr>
          <w:rFonts w:ascii="宋体" w:hAnsi="宋体"/>
          <w:color w:val="auto"/>
        </w:rPr>
      </w:pPr>
    </w:p>
    <w:p w14:paraId="2A2FEE69">
      <w:pPr>
        <w:snapToGrid w:val="0"/>
        <w:spacing w:line="440" w:lineRule="exact"/>
        <w:ind w:firstLine="560" w:firstLineChars="200"/>
        <w:rPr>
          <w:rFonts w:ascii="宋体" w:hAnsi="宋体"/>
          <w:color w:val="auto"/>
        </w:rPr>
      </w:pPr>
    </w:p>
    <w:p w14:paraId="1DCFC919">
      <w:pPr>
        <w:snapToGrid w:val="0"/>
        <w:spacing w:line="440" w:lineRule="exact"/>
        <w:ind w:firstLine="560" w:firstLineChars="200"/>
        <w:rPr>
          <w:rFonts w:ascii="宋体" w:hAnsi="宋体"/>
          <w:color w:val="auto"/>
        </w:rPr>
      </w:pPr>
    </w:p>
    <w:p w14:paraId="7538ED18">
      <w:pPr>
        <w:snapToGrid w:val="0"/>
        <w:spacing w:line="440" w:lineRule="exact"/>
        <w:ind w:firstLine="560" w:firstLineChars="200"/>
        <w:rPr>
          <w:rFonts w:ascii="宋体" w:hAnsi="宋体"/>
          <w:color w:val="auto"/>
        </w:rPr>
      </w:pPr>
    </w:p>
    <w:p w14:paraId="1242C6C9">
      <w:pPr>
        <w:snapToGrid w:val="0"/>
        <w:spacing w:line="440" w:lineRule="exact"/>
        <w:ind w:firstLine="560" w:firstLineChars="200"/>
        <w:rPr>
          <w:rFonts w:ascii="宋体" w:hAnsi="宋体"/>
          <w:color w:val="auto"/>
        </w:rPr>
      </w:pPr>
    </w:p>
    <w:p w14:paraId="7BECB736">
      <w:pPr>
        <w:snapToGrid w:val="0"/>
        <w:spacing w:line="440" w:lineRule="exact"/>
        <w:ind w:firstLine="560" w:firstLineChars="200"/>
        <w:rPr>
          <w:rFonts w:ascii="宋体" w:hAnsi="宋体"/>
          <w:color w:val="auto"/>
        </w:rPr>
      </w:pPr>
    </w:p>
    <w:p w14:paraId="6343B754">
      <w:pPr>
        <w:snapToGrid w:val="0"/>
        <w:spacing w:line="440" w:lineRule="exact"/>
        <w:ind w:firstLine="560" w:firstLineChars="200"/>
        <w:rPr>
          <w:rFonts w:ascii="宋体" w:hAnsi="宋体"/>
          <w:color w:val="auto"/>
        </w:rPr>
      </w:pPr>
    </w:p>
    <w:p w14:paraId="52A65D7B">
      <w:pPr>
        <w:snapToGrid w:val="0"/>
        <w:spacing w:line="440" w:lineRule="exact"/>
        <w:ind w:firstLine="560" w:firstLineChars="200"/>
        <w:rPr>
          <w:rFonts w:ascii="宋体" w:hAnsi="宋体"/>
          <w:color w:val="auto"/>
        </w:rPr>
      </w:pPr>
    </w:p>
    <w:p w14:paraId="41B10C89">
      <w:pPr>
        <w:snapToGrid w:val="0"/>
        <w:spacing w:line="440" w:lineRule="exact"/>
        <w:ind w:firstLine="560" w:firstLineChars="200"/>
        <w:rPr>
          <w:rFonts w:ascii="宋体" w:hAnsi="宋体"/>
          <w:color w:val="auto"/>
        </w:rPr>
      </w:pPr>
    </w:p>
    <w:p w14:paraId="7A1F81A7">
      <w:pPr>
        <w:snapToGrid w:val="0"/>
        <w:spacing w:line="440" w:lineRule="exact"/>
        <w:ind w:firstLine="560" w:firstLineChars="200"/>
        <w:rPr>
          <w:rFonts w:ascii="宋体" w:hAnsi="宋体"/>
          <w:color w:val="auto"/>
        </w:rPr>
      </w:pPr>
    </w:p>
    <w:p w14:paraId="201AE1E6">
      <w:pPr>
        <w:snapToGrid w:val="0"/>
        <w:spacing w:line="440" w:lineRule="exact"/>
        <w:ind w:firstLine="560" w:firstLineChars="200"/>
        <w:rPr>
          <w:rFonts w:ascii="宋体" w:hAnsi="宋体"/>
          <w:color w:val="auto"/>
        </w:rPr>
      </w:pPr>
    </w:p>
    <w:p w14:paraId="2046A0B2">
      <w:pPr>
        <w:snapToGrid w:val="0"/>
        <w:spacing w:line="440" w:lineRule="exact"/>
        <w:ind w:firstLine="560" w:firstLineChars="200"/>
        <w:rPr>
          <w:rFonts w:ascii="宋体" w:hAnsi="宋体"/>
          <w:color w:val="auto"/>
        </w:rPr>
      </w:pPr>
    </w:p>
    <w:p w14:paraId="6C6D3A05">
      <w:pPr>
        <w:snapToGrid w:val="0"/>
        <w:spacing w:line="440" w:lineRule="exact"/>
        <w:ind w:firstLine="560" w:firstLineChars="200"/>
        <w:rPr>
          <w:rFonts w:ascii="宋体" w:hAnsi="宋体"/>
          <w:color w:val="auto"/>
        </w:rPr>
      </w:pPr>
    </w:p>
    <w:p w14:paraId="02C17F7B">
      <w:pPr>
        <w:snapToGrid w:val="0"/>
        <w:spacing w:line="440" w:lineRule="exact"/>
        <w:ind w:firstLine="560" w:firstLineChars="200"/>
        <w:rPr>
          <w:rFonts w:ascii="宋体" w:hAnsi="宋体"/>
          <w:color w:val="auto"/>
        </w:rPr>
      </w:pPr>
    </w:p>
    <w:p w14:paraId="4EB3D0FF">
      <w:pPr>
        <w:snapToGrid w:val="0"/>
        <w:spacing w:line="440" w:lineRule="exact"/>
        <w:ind w:firstLine="562" w:firstLineChars="200"/>
        <w:rPr>
          <w:rFonts w:ascii="宋体" w:hAnsi="宋体"/>
          <w:b/>
          <w:bCs/>
          <w:color w:val="auto"/>
        </w:rPr>
      </w:pPr>
      <w:bookmarkStart w:id="227" w:name="_Toc186919435"/>
      <w:r>
        <w:rPr>
          <w:rFonts w:hint="eastAsia" w:ascii="宋体" w:hAnsi="宋体"/>
          <w:b/>
          <w:bCs/>
          <w:color w:val="auto"/>
        </w:rPr>
        <w:t>三、商务文件</w:t>
      </w:r>
      <w:bookmarkEnd w:id="227"/>
    </w:p>
    <w:p w14:paraId="1096D20E">
      <w:pPr>
        <w:snapToGrid w:val="0"/>
        <w:spacing w:line="440" w:lineRule="exact"/>
        <w:ind w:firstLine="562" w:firstLineChars="200"/>
        <w:rPr>
          <w:rFonts w:ascii="宋体" w:hAnsi="宋体"/>
          <w:b/>
          <w:color w:val="auto"/>
        </w:rPr>
      </w:pPr>
      <w:r>
        <w:rPr>
          <w:rFonts w:hint="eastAsia" w:ascii="宋体" w:hAnsi="宋体"/>
          <w:b/>
          <w:color w:val="auto"/>
        </w:rPr>
        <w:t>（一）响应文件函（格式）</w:t>
      </w:r>
    </w:p>
    <w:p w14:paraId="347B9150">
      <w:pPr>
        <w:snapToGrid w:val="0"/>
        <w:spacing w:line="440" w:lineRule="exact"/>
        <w:ind w:firstLine="560" w:firstLineChars="200"/>
        <w:rPr>
          <w:rFonts w:ascii="宋体" w:hAnsi="宋体"/>
          <w:color w:val="auto"/>
          <w:u w:val="single"/>
        </w:rPr>
      </w:pPr>
      <w:bookmarkStart w:id="228" w:name="_Toc28427"/>
      <w:bookmarkStart w:id="229" w:name="_Toc422381000"/>
      <w:bookmarkStart w:id="230" w:name="_Toc295233020"/>
      <w:r>
        <w:rPr>
          <w:rFonts w:hint="eastAsia" w:ascii="宋体" w:hAnsi="宋体"/>
          <w:color w:val="auto"/>
        </w:rPr>
        <w:t>采购项目名称：</w:t>
      </w:r>
    </w:p>
    <w:p w14:paraId="3C765517">
      <w:pPr>
        <w:snapToGrid w:val="0"/>
        <w:spacing w:line="440" w:lineRule="exact"/>
        <w:ind w:firstLine="560" w:firstLineChars="200"/>
        <w:rPr>
          <w:rFonts w:ascii="宋体" w:hAnsi="宋体"/>
          <w:color w:val="auto"/>
        </w:rPr>
      </w:pPr>
    </w:p>
    <w:p w14:paraId="0D7C7B18">
      <w:pPr>
        <w:snapToGrid w:val="0"/>
        <w:spacing w:line="440" w:lineRule="exact"/>
        <w:ind w:firstLine="560" w:firstLineChars="200"/>
        <w:rPr>
          <w:rFonts w:ascii="宋体" w:hAnsi="宋体"/>
          <w:color w:val="auto"/>
        </w:rPr>
      </w:pPr>
      <w:r>
        <w:rPr>
          <w:rFonts w:hint="eastAsia" w:ascii="宋体" w:hAnsi="宋体"/>
          <w:color w:val="auto"/>
        </w:rPr>
        <w:t>致：</w:t>
      </w:r>
      <w:r>
        <w:rPr>
          <w:rFonts w:hint="eastAsia" w:ascii="宋体" w:hAnsi="宋体"/>
          <w:color w:val="auto"/>
          <w:u w:val="single"/>
        </w:rPr>
        <w:t>重庆文理学院</w:t>
      </w:r>
    </w:p>
    <w:p w14:paraId="2D8AC842">
      <w:pPr>
        <w:snapToGrid w:val="0"/>
        <w:spacing w:line="440" w:lineRule="exact"/>
        <w:ind w:firstLine="560" w:firstLineChars="200"/>
        <w:rPr>
          <w:rFonts w:ascii="宋体" w:hAnsi="宋体"/>
          <w:color w:val="auto"/>
        </w:rPr>
      </w:pPr>
      <w:r>
        <w:rPr>
          <w:rFonts w:hint="eastAsia" w:ascii="宋体" w:hAnsi="宋体"/>
          <w:color w:val="auto"/>
        </w:rPr>
        <w:t>（投标人名称）系中华人民共和国合法企业，注册地址：。我方就参加本次投标有关事项郑重声明如下：</w:t>
      </w:r>
    </w:p>
    <w:p w14:paraId="3D509BF1">
      <w:pPr>
        <w:snapToGrid w:val="0"/>
        <w:spacing w:line="440" w:lineRule="exact"/>
        <w:ind w:firstLine="560" w:firstLineChars="200"/>
        <w:rPr>
          <w:rFonts w:ascii="宋体" w:hAnsi="宋体"/>
          <w:color w:val="auto"/>
        </w:rPr>
      </w:pPr>
      <w:r>
        <w:rPr>
          <w:rFonts w:hint="eastAsia" w:ascii="宋体" w:hAnsi="宋体"/>
          <w:color w:val="auto"/>
        </w:rPr>
        <w:t>一、我方完全理解并接受该项目招标文件所有要求。</w:t>
      </w:r>
    </w:p>
    <w:p w14:paraId="50C116BD">
      <w:pPr>
        <w:snapToGrid w:val="0"/>
        <w:spacing w:line="440" w:lineRule="exact"/>
        <w:ind w:firstLine="560" w:firstLineChars="200"/>
        <w:rPr>
          <w:rFonts w:ascii="宋体" w:hAnsi="宋体"/>
          <w:color w:val="auto"/>
        </w:rPr>
      </w:pPr>
      <w:r>
        <w:rPr>
          <w:rFonts w:hint="eastAsia" w:ascii="宋体" w:hAnsi="宋体"/>
          <w:color w:val="auto"/>
        </w:rPr>
        <w:t>二、我方提交的所有投标文件、资料都是准确和真实的，如有虚假或隐瞒，我方愿意承担一切法律责任。</w:t>
      </w:r>
    </w:p>
    <w:p w14:paraId="310A2F9A">
      <w:pPr>
        <w:snapToGrid w:val="0"/>
        <w:spacing w:line="440" w:lineRule="exact"/>
        <w:ind w:firstLine="560" w:firstLineChars="200"/>
        <w:rPr>
          <w:rFonts w:ascii="宋体" w:hAnsi="宋体"/>
          <w:color w:val="auto"/>
        </w:rPr>
      </w:pPr>
      <w:r>
        <w:rPr>
          <w:rFonts w:hint="eastAsia" w:ascii="宋体" w:hAnsi="宋体"/>
          <w:color w:val="auto"/>
        </w:rPr>
        <w:t>三、我方承诺按照招标文件要求，提供招标项目的技术服务。</w:t>
      </w:r>
    </w:p>
    <w:p w14:paraId="2C8548FA">
      <w:pPr>
        <w:snapToGrid w:val="0"/>
        <w:spacing w:line="440" w:lineRule="exact"/>
        <w:ind w:firstLine="560" w:firstLineChars="200"/>
        <w:rPr>
          <w:rFonts w:ascii="宋体" w:hAnsi="宋体"/>
          <w:color w:val="auto"/>
        </w:rPr>
      </w:pPr>
      <w:r>
        <w:rPr>
          <w:rFonts w:hint="eastAsia" w:ascii="宋体" w:hAnsi="宋体"/>
          <w:color w:val="auto"/>
        </w:rPr>
        <w:t>四、我方按招标文件要求提交的投标文件为：投标文件正本</w:t>
      </w:r>
      <w:r>
        <w:rPr>
          <w:rFonts w:ascii="宋体" w:hAnsi="宋体"/>
          <w:color w:val="auto"/>
        </w:rPr>
        <w:t>1</w:t>
      </w:r>
      <w:r>
        <w:rPr>
          <w:rFonts w:hint="eastAsia" w:ascii="宋体" w:hAnsi="宋体"/>
          <w:color w:val="auto"/>
        </w:rPr>
        <w:t>份，副本</w:t>
      </w:r>
      <w:r>
        <w:rPr>
          <w:rFonts w:hint="eastAsia" w:ascii="宋体" w:hAnsi="宋体"/>
          <w:color w:val="auto"/>
          <w:lang w:val="en-US" w:eastAsia="zh-CN"/>
        </w:rPr>
        <w:t>2</w:t>
      </w:r>
      <w:r>
        <w:rPr>
          <w:rFonts w:hint="eastAsia" w:ascii="宋体" w:hAnsi="宋体"/>
          <w:color w:val="auto"/>
        </w:rPr>
        <w:t>份</w:t>
      </w:r>
      <w:r>
        <w:rPr>
          <w:rFonts w:hint="eastAsia" w:ascii="宋体" w:hAnsi="宋体"/>
          <w:color w:val="auto"/>
          <w:lang w:eastAsia="zh-CN"/>
        </w:rPr>
        <w:t>，电子文档</w:t>
      </w:r>
      <w:r>
        <w:rPr>
          <w:rFonts w:hint="eastAsia" w:ascii="宋体" w:hAnsi="宋体"/>
          <w:color w:val="auto"/>
          <w:lang w:val="en-US" w:eastAsia="zh-CN"/>
        </w:rPr>
        <w:t>1</w:t>
      </w:r>
      <w:r>
        <w:rPr>
          <w:rFonts w:hint="eastAsia" w:ascii="宋体" w:hAnsi="宋体"/>
          <w:color w:val="auto"/>
          <w:lang w:eastAsia="zh-CN"/>
        </w:rPr>
        <w:t>份</w:t>
      </w:r>
      <w:r>
        <w:rPr>
          <w:rFonts w:hint="eastAsia" w:ascii="宋体" w:hAnsi="宋体"/>
          <w:color w:val="auto"/>
        </w:rPr>
        <w:t>。</w:t>
      </w:r>
    </w:p>
    <w:p w14:paraId="32A30EA0">
      <w:pPr>
        <w:snapToGrid w:val="0"/>
        <w:spacing w:line="440" w:lineRule="exact"/>
        <w:ind w:firstLine="560" w:firstLineChars="200"/>
        <w:rPr>
          <w:rFonts w:ascii="宋体" w:hAnsi="宋体"/>
          <w:color w:val="auto"/>
        </w:rPr>
      </w:pPr>
      <w:r>
        <w:rPr>
          <w:rFonts w:hint="eastAsia" w:ascii="宋体" w:hAnsi="宋体"/>
          <w:color w:val="auto"/>
        </w:rPr>
        <w:t>五、我方承诺：本次投标的投标有效期为</w:t>
      </w:r>
      <w:r>
        <w:rPr>
          <w:rFonts w:ascii="宋体" w:hAnsi="宋体"/>
          <w:color w:val="auto"/>
        </w:rPr>
        <w:t>90</w:t>
      </w:r>
      <w:r>
        <w:rPr>
          <w:rFonts w:hint="eastAsia" w:ascii="宋体" w:hAnsi="宋体"/>
          <w:color w:val="auto"/>
        </w:rPr>
        <w:t>天。</w:t>
      </w:r>
    </w:p>
    <w:p w14:paraId="112D7D6D">
      <w:pPr>
        <w:snapToGrid w:val="0"/>
        <w:spacing w:line="440" w:lineRule="exact"/>
        <w:ind w:firstLine="560" w:firstLineChars="200"/>
        <w:rPr>
          <w:rFonts w:ascii="宋体" w:hAnsi="宋体"/>
          <w:color w:val="auto"/>
        </w:rPr>
      </w:pPr>
      <w:r>
        <w:rPr>
          <w:rFonts w:hint="eastAsia" w:ascii="宋体" w:hAnsi="宋体"/>
          <w:color w:val="auto"/>
          <w:lang w:val="en-US" w:eastAsia="zh-CN"/>
        </w:rPr>
        <w:t>六</w:t>
      </w:r>
      <w:r>
        <w:rPr>
          <w:rFonts w:hint="eastAsia" w:ascii="宋体" w:hAnsi="宋体"/>
          <w:color w:val="auto"/>
        </w:rPr>
        <w:t>、我方投标报价为闭口价。即在投标有效期和合同有效期内，该报价固定不变。</w:t>
      </w:r>
    </w:p>
    <w:p w14:paraId="0ED6953E">
      <w:pPr>
        <w:snapToGrid w:val="0"/>
        <w:spacing w:line="440" w:lineRule="exact"/>
        <w:ind w:firstLine="560" w:firstLineChars="200"/>
        <w:rPr>
          <w:rFonts w:ascii="宋体" w:hAnsi="宋体"/>
          <w:color w:val="auto"/>
        </w:rPr>
      </w:pPr>
      <w:r>
        <w:rPr>
          <w:rFonts w:hint="eastAsia" w:ascii="宋体" w:hAnsi="宋体"/>
          <w:color w:val="auto"/>
          <w:lang w:val="en-US" w:eastAsia="zh-CN"/>
        </w:rPr>
        <w:t>七</w:t>
      </w:r>
      <w:r>
        <w:rPr>
          <w:rFonts w:hint="eastAsia" w:ascii="宋体" w:hAnsi="宋体"/>
          <w:color w:val="auto"/>
        </w:rPr>
        <w:t>、如果我方中标，我方将履行招标文件中规定的各项要求以及我方投标文件的各项承诺，按《政府采购法》、《合同法》及合同约定条款承担我方责任。</w:t>
      </w:r>
    </w:p>
    <w:p w14:paraId="48B9B7F9">
      <w:pPr>
        <w:snapToGrid w:val="0"/>
        <w:spacing w:line="440" w:lineRule="exact"/>
        <w:ind w:firstLine="560" w:firstLineChars="200"/>
        <w:rPr>
          <w:rFonts w:ascii="宋体" w:hAnsi="宋体"/>
          <w:color w:val="auto"/>
        </w:rPr>
      </w:pPr>
      <w:r>
        <w:rPr>
          <w:rFonts w:hint="eastAsia" w:ascii="宋体" w:hAnsi="宋体"/>
          <w:color w:val="auto"/>
          <w:lang w:val="en-US" w:eastAsia="zh-CN"/>
        </w:rPr>
        <w:t>八</w:t>
      </w:r>
      <w:r>
        <w:rPr>
          <w:rFonts w:hint="eastAsia" w:ascii="宋体" w:hAnsi="宋体"/>
          <w:color w:val="auto"/>
        </w:rPr>
        <w:t>、我方理解，最低报价不是中标的唯一条件。</w:t>
      </w:r>
    </w:p>
    <w:p w14:paraId="1FFBAD69">
      <w:pPr>
        <w:snapToGrid w:val="0"/>
        <w:spacing w:line="440" w:lineRule="exact"/>
        <w:ind w:firstLine="560" w:firstLineChars="200"/>
        <w:rPr>
          <w:rFonts w:ascii="宋体" w:hAnsi="宋体"/>
          <w:color w:val="auto"/>
        </w:rPr>
      </w:pPr>
      <w:r>
        <w:rPr>
          <w:rFonts w:hint="eastAsia" w:ascii="宋体" w:hAnsi="宋体"/>
          <w:color w:val="auto"/>
          <w:lang w:val="en-US" w:eastAsia="zh-CN"/>
        </w:rPr>
        <w:t>九</w:t>
      </w:r>
      <w:r>
        <w:rPr>
          <w:rFonts w:hint="eastAsia" w:ascii="宋体" w:hAnsi="宋体"/>
          <w:color w:val="auto"/>
        </w:rPr>
        <w:t>、我方同意按有关规定及招标文件要求，缴纳足额投标保证金。</w:t>
      </w:r>
    </w:p>
    <w:p w14:paraId="12F472D5">
      <w:pPr>
        <w:snapToGrid w:val="0"/>
        <w:spacing w:line="440" w:lineRule="exact"/>
        <w:ind w:firstLine="560" w:firstLineChars="200"/>
        <w:rPr>
          <w:rFonts w:ascii="宋体" w:hAnsi="宋体"/>
          <w:color w:val="auto"/>
        </w:rPr>
      </w:pPr>
      <w:r>
        <w:rPr>
          <w:rFonts w:hint="eastAsia" w:ascii="宋体" w:hAnsi="宋体"/>
          <w:color w:val="auto"/>
          <w:lang w:val="en-US" w:eastAsia="zh-CN"/>
        </w:rPr>
        <w:t>十</w:t>
      </w:r>
      <w:r>
        <w:rPr>
          <w:rFonts w:hint="eastAsia" w:ascii="宋体" w:hAnsi="宋体"/>
          <w:color w:val="auto"/>
        </w:rPr>
        <w:t>、若我方中标，愿意按有关规定及招标文件要求缴纳履约保证金。</w:t>
      </w:r>
    </w:p>
    <w:p w14:paraId="295FFDA0">
      <w:pPr>
        <w:snapToGrid w:val="0"/>
        <w:spacing w:line="440" w:lineRule="exact"/>
        <w:ind w:firstLine="560" w:firstLineChars="200"/>
        <w:rPr>
          <w:rFonts w:ascii="宋体" w:hAnsi="宋体"/>
          <w:color w:val="auto"/>
        </w:rPr>
      </w:pPr>
    </w:p>
    <w:p w14:paraId="2297E3FD">
      <w:pPr>
        <w:snapToGrid w:val="0"/>
        <w:spacing w:line="440" w:lineRule="exact"/>
        <w:ind w:firstLine="6160" w:firstLineChars="2200"/>
        <w:rPr>
          <w:rFonts w:ascii="宋体" w:hAnsi="宋体"/>
          <w:color w:val="auto"/>
        </w:rPr>
      </w:pPr>
      <w:r>
        <w:rPr>
          <w:rFonts w:hint="eastAsia" w:ascii="宋体" w:hAnsi="宋体"/>
          <w:color w:val="auto"/>
        </w:rPr>
        <w:t>（投标人公章）</w:t>
      </w:r>
    </w:p>
    <w:p w14:paraId="057D2AF5">
      <w:pPr>
        <w:snapToGrid w:val="0"/>
        <w:spacing w:line="440" w:lineRule="exact"/>
        <w:ind w:firstLine="560" w:firstLineChars="200"/>
        <w:rPr>
          <w:rFonts w:ascii="宋体" w:hAnsi="宋体"/>
          <w:color w:val="auto"/>
        </w:rPr>
      </w:pPr>
    </w:p>
    <w:p w14:paraId="075B31DA">
      <w:pPr>
        <w:snapToGrid w:val="0"/>
        <w:spacing w:line="440" w:lineRule="exact"/>
        <w:ind w:firstLine="6720" w:firstLineChars="2400"/>
        <w:rPr>
          <w:rFonts w:ascii="宋体" w:hAnsi="宋体"/>
          <w:color w:val="auto"/>
        </w:rPr>
      </w:pPr>
      <w:r>
        <w:rPr>
          <w:rFonts w:hint="eastAsia" w:ascii="宋体" w:hAnsi="宋体"/>
          <w:color w:val="auto"/>
        </w:rPr>
        <w:t>年月日</w:t>
      </w:r>
    </w:p>
    <w:p w14:paraId="06E863D7">
      <w:pPr>
        <w:snapToGrid w:val="0"/>
        <w:spacing w:line="440" w:lineRule="exact"/>
        <w:ind w:firstLine="562" w:firstLineChars="200"/>
        <w:rPr>
          <w:rFonts w:ascii="宋体" w:hAnsi="宋体"/>
          <w:b/>
          <w:color w:val="auto"/>
        </w:rPr>
      </w:pPr>
    </w:p>
    <w:p w14:paraId="33F82CE7">
      <w:pPr>
        <w:snapToGrid w:val="0"/>
        <w:spacing w:line="440" w:lineRule="exact"/>
        <w:ind w:firstLine="562" w:firstLineChars="200"/>
        <w:rPr>
          <w:rFonts w:ascii="宋体" w:hAnsi="宋体"/>
          <w:b/>
          <w:color w:val="auto"/>
        </w:rPr>
      </w:pPr>
    </w:p>
    <w:p w14:paraId="4F0F5F3D">
      <w:pPr>
        <w:snapToGrid w:val="0"/>
        <w:spacing w:line="440" w:lineRule="exact"/>
        <w:ind w:firstLine="562" w:firstLineChars="200"/>
        <w:rPr>
          <w:rFonts w:ascii="宋体" w:hAnsi="宋体"/>
          <w:b/>
          <w:color w:val="auto"/>
        </w:rPr>
      </w:pPr>
    </w:p>
    <w:p w14:paraId="3FA8265F">
      <w:pPr>
        <w:snapToGrid w:val="0"/>
        <w:spacing w:line="440" w:lineRule="exact"/>
        <w:ind w:firstLine="562" w:firstLineChars="200"/>
        <w:rPr>
          <w:rFonts w:ascii="宋体" w:hAnsi="宋体"/>
          <w:b/>
          <w:color w:val="auto"/>
        </w:rPr>
      </w:pPr>
    </w:p>
    <w:p w14:paraId="4C2B21FF">
      <w:pPr>
        <w:snapToGrid w:val="0"/>
        <w:spacing w:line="440" w:lineRule="exact"/>
        <w:ind w:firstLine="562" w:firstLineChars="200"/>
        <w:rPr>
          <w:rFonts w:ascii="宋体" w:hAnsi="宋体"/>
          <w:b/>
          <w:color w:val="auto"/>
        </w:rPr>
      </w:pPr>
    </w:p>
    <w:p w14:paraId="1FE092F7">
      <w:pPr>
        <w:snapToGrid w:val="0"/>
        <w:spacing w:line="440" w:lineRule="exact"/>
        <w:ind w:firstLine="562" w:firstLineChars="200"/>
        <w:rPr>
          <w:rFonts w:ascii="宋体" w:hAnsi="宋体"/>
          <w:b/>
          <w:color w:val="auto"/>
        </w:rPr>
      </w:pPr>
    </w:p>
    <w:p w14:paraId="1C1BBB6B">
      <w:pPr>
        <w:snapToGrid w:val="0"/>
        <w:spacing w:line="440" w:lineRule="exact"/>
        <w:ind w:firstLine="562" w:firstLineChars="200"/>
        <w:rPr>
          <w:rFonts w:ascii="宋体" w:hAnsi="宋体"/>
          <w:b/>
          <w:color w:val="auto"/>
        </w:rPr>
      </w:pPr>
    </w:p>
    <w:p w14:paraId="6FD07E6D">
      <w:pPr>
        <w:snapToGrid w:val="0"/>
        <w:spacing w:line="440" w:lineRule="exact"/>
        <w:ind w:firstLine="562" w:firstLineChars="200"/>
        <w:rPr>
          <w:rFonts w:ascii="宋体" w:hAnsi="宋体"/>
          <w:b/>
          <w:color w:val="auto"/>
        </w:rPr>
      </w:pPr>
      <w:r>
        <w:rPr>
          <w:rFonts w:hint="eastAsia" w:ascii="宋体" w:hAnsi="宋体"/>
          <w:b/>
          <w:color w:val="auto"/>
        </w:rPr>
        <w:t>（二）投标人基本情况表</w:t>
      </w:r>
      <w:bookmarkEnd w:id="228"/>
      <w:bookmarkEnd w:id="229"/>
      <w:bookmarkEnd w:id="230"/>
      <w:r>
        <w:rPr>
          <w:rFonts w:hint="eastAsia" w:ascii="宋体" w:hAnsi="宋体"/>
          <w:b/>
          <w:color w:val="auto"/>
        </w:rPr>
        <w:t>及商务承诺</w:t>
      </w:r>
    </w:p>
    <w:p w14:paraId="283C52AB">
      <w:pPr>
        <w:snapToGrid w:val="0"/>
        <w:spacing w:line="440" w:lineRule="exact"/>
        <w:ind w:firstLine="562" w:firstLineChars="200"/>
        <w:rPr>
          <w:rFonts w:ascii="宋体" w:hAnsi="宋体"/>
          <w:b/>
          <w:color w:val="auto"/>
        </w:rPr>
      </w:pPr>
      <w:r>
        <w:rPr>
          <w:rFonts w:ascii="宋体" w:hAnsi="宋体"/>
          <w:b/>
          <w:color w:val="auto"/>
        </w:rPr>
        <w:t>1.</w:t>
      </w:r>
      <w:r>
        <w:rPr>
          <w:rFonts w:hint="eastAsia" w:ascii="宋体" w:hAnsi="宋体"/>
          <w:b/>
          <w:color w:val="auto"/>
        </w:rPr>
        <w:t>投标人基本情况表</w:t>
      </w:r>
    </w:p>
    <w:tbl>
      <w:tblPr>
        <w:tblStyle w:val="59"/>
        <w:tblW w:w="0" w:type="auto"/>
        <w:jc w:val="center"/>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1152"/>
        <w:gridCol w:w="1420"/>
        <w:gridCol w:w="810"/>
        <w:gridCol w:w="706"/>
        <w:gridCol w:w="841"/>
        <w:gridCol w:w="806"/>
        <w:gridCol w:w="1355"/>
      </w:tblGrid>
      <w:tr w14:paraId="3809FD0B">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tcBorders>
              <w:top w:val="thinThickSmallGap" w:color="auto" w:sz="12" w:space="0"/>
            </w:tcBorders>
            <w:vAlign w:val="center"/>
          </w:tcPr>
          <w:p w14:paraId="5F2CD0EF">
            <w:pPr>
              <w:snapToGrid w:val="0"/>
              <w:spacing w:line="440" w:lineRule="exact"/>
              <w:jc w:val="center"/>
              <w:rPr>
                <w:rFonts w:ascii="宋体" w:hAnsi="宋体"/>
                <w:color w:val="auto"/>
                <w:sz w:val="24"/>
                <w:szCs w:val="24"/>
              </w:rPr>
            </w:pPr>
            <w:r>
              <w:rPr>
                <w:rFonts w:hint="eastAsia" w:ascii="宋体" w:hAnsi="宋体"/>
                <w:color w:val="auto"/>
                <w:sz w:val="24"/>
                <w:szCs w:val="24"/>
              </w:rPr>
              <w:t>投标人名称</w:t>
            </w:r>
          </w:p>
        </w:tc>
        <w:tc>
          <w:tcPr>
            <w:tcW w:w="7090" w:type="dxa"/>
            <w:gridSpan w:val="7"/>
            <w:tcBorders>
              <w:top w:val="thinThickSmallGap" w:color="auto" w:sz="12" w:space="0"/>
            </w:tcBorders>
            <w:vAlign w:val="center"/>
          </w:tcPr>
          <w:p w14:paraId="52EA3146">
            <w:pPr>
              <w:snapToGrid w:val="0"/>
              <w:spacing w:line="440" w:lineRule="exact"/>
              <w:ind w:firstLine="480" w:firstLineChars="200"/>
              <w:jc w:val="center"/>
              <w:rPr>
                <w:rFonts w:ascii="宋体" w:hAnsi="宋体"/>
                <w:color w:val="auto"/>
                <w:sz w:val="24"/>
                <w:szCs w:val="24"/>
              </w:rPr>
            </w:pPr>
          </w:p>
        </w:tc>
      </w:tr>
      <w:tr w14:paraId="2B740FA7">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401" w:hRule="exact"/>
          <w:jc w:val="center"/>
        </w:trPr>
        <w:tc>
          <w:tcPr>
            <w:tcW w:w="1980" w:type="dxa"/>
            <w:vAlign w:val="center"/>
          </w:tcPr>
          <w:p w14:paraId="6A2474B6">
            <w:pPr>
              <w:snapToGrid w:val="0"/>
              <w:spacing w:line="440" w:lineRule="exact"/>
              <w:jc w:val="center"/>
              <w:rPr>
                <w:rFonts w:ascii="宋体" w:hAnsi="宋体"/>
                <w:color w:val="auto"/>
                <w:sz w:val="24"/>
                <w:szCs w:val="24"/>
              </w:rPr>
            </w:pPr>
            <w:r>
              <w:rPr>
                <w:rFonts w:hint="eastAsia" w:ascii="宋体" w:hAnsi="宋体"/>
                <w:color w:val="auto"/>
                <w:sz w:val="24"/>
                <w:szCs w:val="24"/>
              </w:rPr>
              <w:t>注册地址</w:t>
            </w:r>
          </w:p>
        </w:tc>
        <w:tc>
          <w:tcPr>
            <w:tcW w:w="4088" w:type="dxa"/>
            <w:gridSpan w:val="4"/>
            <w:vAlign w:val="center"/>
          </w:tcPr>
          <w:p w14:paraId="50B30A1F">
            <w:pPr>
              <w:snapToGrid w:val="0"/>
              <w:spacing w:line="440" w:lineRule="exact"/>
              <w:ind w:firstLine="480" w:firstLineChars="200"/>
              <w:jc w:val="center"/>
              <w:rPr>
                <w:rFonts w:ascii="宋体" w:hAnsi="宋体"/>
                <w:color w:val="auto"/>
                <w:sz w:val="24"/>
                <w:szCs w:val="24"/>
              </w:rPr>
            </w:pPr>
          </w:p>
        </w:tc>
        <w:tc>
          <w:tcPr>
            <w:tcW w:w="1647" w:type="dxa"/>
            <w:gridSpan w:val="2"/>
            <w:vAlign w:val="center"/>
          </w:tcPr>
          <w:p w14:paraId="4D0ABCC9">
            <w:pPr>
              <w:snapToGrid w:val="0"/>
              <w:spacing w:line="440" w:lineRule="exact"/>
              <w:jc w:val="center"/>
              <w:rPr>
                <w:rFonts w:ascii="宋体" w:hAnsi="宋体"/>
                <w:color w:val="auto"/>
                <w:sz w:val="24"/>
                <w:szCs w:val="24"/>
              </w:rPr>
            </w:pPr>
            <w:r>
              <w:rPr>
                <w:rFonts w:hint="eastAsia" w:ascii="宋体" w:hAnsi="宋体"/>
                <w:color w:val="auto"/>
                <w:sz w:val="24"/>
                <w:szCs w:val="24"/>
              </w:rPr>
              <w:t>邮政编码</w:t>
            </w:r>
          </w:p>
        </w:tc>
        <w:tc>
          <w:tcPr>
            <w:tcW w:w="1355" w:type="dxa"/>
            <w:vAlign w:val="center"/>
          </w:tcPr>
          <w:p w14:paraId="209AF154">
            <w:pPr>
              <w:snapToGrid w:val="0"/>
              <w:spacing w:line="440" w:lineRule="exact"/>
              <w:ind w:firstLine="480" w:firstLineChars="200"/>
              <w:jc w:val="center"/>
              <w:rPr>
                <w:rFonts w:ascii="宋体" w:hAnsi="宋体"/>
                <w:color w:val="auto"/>
                <w:sz w:val="24"/>
                <w:szCs w:val="24"/>
              </w:rPr>
            </w:pPr>
          </w:p>
        </w:tc>
      </w:tr>
      <w:tr w14:paraId="2271C2E2">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Merge w:val="restart"/>
            <w:vAlign w:val="center"/>
          </w:tcPr>
          <w:p w14:paraId="1D342EE6">
            <w:pPr>
              <w:snapToGrid w:val="0"/>
              <w:spacing w:line="440" w:lineRule="exact"/>
              <w:jc w:val="center"/>
              <w:rPr>
                <w:rFonts w:ascii="宋体" w:hAnsi="宋体"/>
                <w:color w:val="auto"/>
                <w:sz w:val="24"/>
                <w:szCs w:val="24"/>
              </w:rPr>
            </w:pPr>
            <w:r>
              <w:rPr>
                <w:rFonts w:hint="eastAsia" w:ascii="宋体" w:hAnsi="宋体"/>
                <w:color w:val="auto"/>
                <w:sz w:val="24"/>
                <w:szCs w:val="24"/>
              </w:rPr>
              <w:t>联系方式</w:t>
            </w:r>
          </w:p>
        </w:tc>
        <w:tc>
          <w:tcPr>
            <w:tcW w:w="1152" w:type="dxa"/>
            <w:vAlign w:val="center"/>
          </w:tcPr>
          <w:p w14:paraId="38F1462D">
            <w:pPr>
              <w:snapToGrid w:val="0"/>
              <w:spacing w:line="440" w:lineRule="exact"/>
              <w:jc w:val="center"/>
              <w:rPr>
                <w:rFonts w:ascii="宋体" w:hAnsi="宋体"/>
                <w:color w:val="auto"/>
                <w:sz w:val="24"/>
                <w:szCs w:val="24"/>
              </w:rPr>
            </w:pPr>
            <w:r>
              <w:rPr>
                <w:rFonts w:hint="eastAsia" w:ascii="宋体" w:hAnsi="宋体"/>
                <w:color w:val="auto"/>
                <w:sz w:val="24"/>
                <w:szCs w:val="24"/>
              </w:rPr>
              <w:t>联系人</w:t>
            </w:r>
          </w:p>
        </w:tc>
        <w:tc>
          <w:tcPr>
            <w:tcW w:w="2936" w:type="dxa"/>
            <w:gridSpan w:val="3"/>
            <w:vAlign w:val="center"/>
          </w:tcPr>
          <w:p w14:paraId="27EF7DED">
            <w:pPr>
              <w:snapToGrid w:val="0"/>
              <w:spacing w:line="440" w:lineRule="exact"/>
              <w:ind w:firstLine="480" w:firstLineChars="200"/>
              <w:jc w:val="center"/>
              <w:rPr>
                <w:rFonts w:ascii="宋体" w:hAnsi="宋体"/>
                <w:color w:val="auto"/>
                <w:sz w:val="24"/>
                <w:szCs w:val="24"/>
              </w:rPr>
            </w:pPr>
          </w:p>
        </w:tc>
        <w:tc>
          <w:tcPr>
            <w:tcW w:w="1647" w:type="dxa"/>
            <w:gridSpan w:val="2"/>
            <w:vAlign w:val="center"/>
          </w:tcPr>
          <w:p w14:paraId="3FE389AE">
            <w:pPr>
              <w:snapToGrid w:val="0"/>
              <w:spacing w:line="440" w:lineRule="exact"/>
              <w:jc w:val="center"/>
              <w:rPr>
                <w:rFonts w:ascii="宋体" w:hAnsi="宋体"/>
                <w:color w:val="auto"/>
                <w:sz w:val="24"/>
                <w:szCs w:val="24"/>
              </w:rPr>
            </w:pPr>
            <w:r>
              <w:rPr>
                <w:rFonts w:hint="eastAsia" w:ascii="宋体" w:hAnsi="宋体"/>
                <w:color w:val="auto"/>
                <w:sz w:val="24"/>
                <w:szCs w:val="24"/>
              </w:rPr>
              <w:t>电话</w:t>
            </w:r>
          </w:p>
        </w:tc>
        <w:tc>
          <w:tcPr>
            <w:tcW w:w="1355" w:type="dxa"/>
            <w:vAlign w:val="center"/>
          </w:tcPr>
          <w:p w14:paraId="53129C72">
            <w:pPr>
              <w:snapToGrid w:val="0"/>
              <w:spacing w:line="440" w:lineRule="exact"/>
              <w:ind w:firstLine="480" w:firstLineChars="200"/>
              <w:jc w:val="center"/>
              <w:rPr>
                <w:rFonts w:ascii="宋体" w:hAnsi="宋体"/>
                <w:color w:val="auto"/>
                <w:sz w:val="24"/>
                <w:szCs w:val="24"/>
              </w:rPr>
            </w:pPr>
          </w:p>
        </w:tc>
      </w:tr>
      <w:tr w14:paraId="2FB86BEF">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435" w:hRule="exact"/>
          <w:jc w:val="center"/>
        </w:trPr>
        <w:tc>
          <w:tcPr>
            <w:tcW w:w="1980" w:type="dxa"/>
            <w:vMerge w:val="continue"/>
            <w:vAlign w:val="center"/>
          </w:tcPr>
          <w:p w14:paraId="5A8C3874">
            <w:pPr>
              <w:snapToGrid w:val="0"/>
              <w:spacing w:line="440" w:lineRule="exact"/>
              <w:ind w:firstLine="480" w:firstLineChars="200"/>
              <w:jc w:val="center"/>
              <w:rPr>
                <w:rFonts w:ascii="宋体" w:hAnsi="宋体"/>
                <w:color w:val="auto"/>
                <w:sz w:val="24"/>
                <w:szCs w:val="24"/>
              </w:rPr>
            </w:pPr>
          </w:p>
        </w:tc>
        <w:tc>
          <w:tcPr>
            <w:tcW w:w="1152" w:type="dxa"/>
            <w:vAlign w:val="center"/>
          </w:tcPr>
          <w:p w14:paraId="318A2AEE">
            <w:pPr>
              <w:snapToGrid w:val="0"/>
              <w:spacing w:line="440" w:lineRule="exact"/>
              <w:jc w:val="center"/>
              <w:rPr>
                <w:rFonts w:ascii="宋体" w:hAnsi="宋体"/>
                <w:color w:val="auto"/>
                <w:sz w:val="24"/>
                <w:szCs w:val="24"/>
              </w:rPr>
            </w:pPr>
            <w:r>
              <w:rPr>
                <w:rFonts w:hint="eastAsia" w:ascii="宋体" w:hAnsi="宋体"/>
                <w:color w:val="auto"/>
                <w:sz w:val="24"/>
                <w:szCs w:val="24"/>
              </w:rPr>
              <w:t>传真</w:t>
            </w:r>
          </w:p>
        </w:tc>
        <w:tc>
          <w:tcPr>
            <w:tcW w:w="2936" w:type="dxa"/>
            <w:gridSpan w:val="3"/>
            <w:vAlign w:val="center"/>
          </w:tcPr>
          <w:p w14:paraId="04809BA1">
            <w:pPr>
              <w:snapToGrid w:val="0"/>
              <w:spacing w:line="440" w:lineRule="exact"/>
              <w:ind w:firstLine="480" w:firstLineChars="200"/>
              <w:jc w:val="center"/>
              <w:rPr>
                <w:rFonts w:ascii="宋体" w:hAnsi="宋体"/>
                <w:color w:val="auto"/>
                <w:sz w:val="24"/>
                <w:szCs w:val="24"/>
              </w:rPr>
            </w:pPr>
          </w:p>
        </w:tc>
        <w:tc>
          <w:tcPr>
            <w:tcW w:w="1647" w:type="dxa"/>
            <w:gridSpan w:val="2"/>
            <w:vAlign w:val="center"/>
          </w:tcPr>
          <w:p w14:paraId="27957ABC">
            <w:pPr>
              <w:snapToGrid w:val="0"/>
              <w:spacing w:line="440" w:lineRule="exact"/>
              <w:jc w:val="center"/>
              <w:rPr>
                <w:rFonts w:ascii="宋体" w:hAnsi="宋体"/>
                <w:color w:val="auto"/>
                <w:sz w:val="24"/>
                <w:szCs w:val="24"/>
              </w:rPr>
            </w:pPr>
            <w:r>
              <w:rPr>
                <w:rFonts w:hint="eastAsia" w:ascii="宋体" w:hAnsi="宋体"/>
                <w:color w:val="auto"/>
                <w:sz w:val="24"/>
                <w:szCs w:val="24"/>
              </w:rPr>
              <w:t>网址</w:t>
            </w:r>
          </w:p>
        </w:tc>
        <w:tc>
          <w:tcPr>
            <w:tcW w:w="1355" w:type="dxa"/>
            <w:vAlign w:val="center"/>
          </w:tcPr>
          <w:p w14:paraId="46FC1982">
            <w:pPr>
              <w:snapToGrid w:val="0"/>
              <w:spacing w:line="440" w:lineRule="exact"/>
              <w:ind w:firstLine="480" w:firstLineChars="200"/>
              <w:jc w:val="center"/>
              <w:rPr>
                <w:rFonts w:ascii="宋体" w:hAnsi="宋体"/>
                <w:color w:val="auto"/>
                <w:sz w:val="24"/>
                <w:szCs w:val="24"/>
              </w:rPr>
            </w:pPr>
          </w:p>
        </w:tc>
      </w:tr>
      <w:tr w14:paraId="6572BC37">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2658E2BD">
            <w:pPr>
              <w:snapToGrid w:val="0"/>
              <w:spacing w:line="440" w:lineRule="exact"/>
              <w:jc w:val="center"/>
              <w:rPr>
                <w:rFonts w:ascii="宋体" w:hAnsi="宋体"/>
                <w:color w:val="auto"/>
                <w:sz w:val="24"/>
                <w:szCs w:val="24"/>
              </w:rPr>
            </w:pPr>
            <w:r>
              <w:rPr>
                <w:rFonts w:hint="eastAsia" w:ascii="宋体" w:hAnsi="宋体"/>
                <w:color w:val="auto"/>
                <w:sz w:val="24"/>
                <w:szCs w:val="24"/>
              </w:rPr>
              <w:t>组织结构</w:t>
            </w:r>
          </w:p>
        </w:tc>
        <w:tc>
          <w:tcPr>
            <w:tcW w:w="7090" w:type="dxa"/>
            <w:gridSpan w:val="7"/>
            <w:vAlign w:val="center"/>
          </w:tcPr>
          <w:p w14:paraId="16A837A3">
            <w:pPr>
              <w:snapToGrid w:val="0"/>
              <w:spacing w:line="440" w:lineRule="exact"/>
              <w:ind w:firstLine="480" w:firstLineChars="200"/>
              <w:jc w:val="center"/>
              <w:rPr>
                <w:rFonts w:ascii="宋体" w:hAnsi="宋体"/>
                <w:color w:val="auto"/>
                <w:sz w:val="24"/>
                <w:szCs w:val="24"/>
              </w:rPr>
            </w:pPr>
          </w:p>
        </w:tc>
      </w:tr>
      <w:tr w14:paraId="4D08B130">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378A71E5">
            <w:pPr>
              <w:snapToGrid w:val="0"/>
              <w:spacing w:line="440" w:lineRule="exact"/>
              <w:jc w:val="center"/>
              <w:rPr>
                <w:rFonts w:ascii="宋体" w:hAnsi="宋体"/>
                <w:color w:val="auto"/>
                <w:sz w:val="24"/>
                <w:szCs w:val="24"/>
              </w:rPr>
            </w:pPr>
            <w:r>
              <w:rPr>
                <w:rFonts w:hint="eastAsia" w:ascii="宋体" w:hAnsi="宋体"/>
                <w:color w:val="auto"/>
                <w:sz w:val="24"/>
                <w:szCs w:val="24"/>
              </w:rPr>
              <w:t>法定代表人</w:t>
            </w:r>
          </w:p>
        </w:tc>
        <w:tc>
          <w:tcPr>
            <w:tcW w:w="1152" w:type="dxa"/>
            <w:vAlign w:val="center"/>
          </w:tcPr>
          <w:p w14:paraId="50D74F44">
            <w:pPr>
              <w:snapToGrid w:val="0"/>
              <w:spacing w:line="440" w:lineRule="exact"/>
              <w:jc w:val="center"/>
              <w:rPr>
                <w:rFonts w:ascii="宋体" w:hAnsi="宋体"/>
                <w:color w:val="auto"/>
                <w:sz w:val="24"/>
                <w:szCs w:val="24"/>
              </w:rPr>
            </w:pPr>
            <w:r>
              <w:rPr>
                <w:rFonts w:hint="eastAsia" w:ascii="宋体" w:hAnsi="宋体"/>
                <w:color w:val="auto"/>
                <w:sz w:val="24"/>
                <w:szCs w:val="24"/>
              </w:rPr>
              <w:t>姓名</w:t>
            </w:r>
          </w:p>
        </w:tc>
        <w:tc>
          <w:tcPr>
            <w:tcW w:w="1420" w:type="dxa"/>
            <w:vAlign w:val="center"/>
          </w:tcPr>
          <w:p w14:paraId="2699E9DC">
            <w:pPr>
              <w:snapToGrid w:val="0"/>
              <w:spacing w:line="440" w:lineRule="exact"/>
              <w:ind w:firstLine="480" w:firstLineChars="200"/>
              <w:jc w:val="center"/>
              <w:rPr>
                <w:rFonts w:ascii="宋体" w:hAnsi="宋体"/>
                <w:color w:val="auto"/>
                <w:sz w:val="24"/>
                <w:szCs w:val="24"/>
              </w:rPr>
            </w:pPr>
          </w:p>
        </w:tc>
        <w:tc>
          <w:tcPr>
            <w:tcW w:w="1516" w:type="dxa"/>
            <w:gridSpan w:val="2"/>
            <w:vAlign w:val="center"/>
          </w:tcPr>
          <w:p w14:paraId="7347B2C3">
            <w:pPr>
              <w:snapToGrid w:val="0"/>
              <w:spacing w:line="440" w:lineRule="exact"/>
              <w:jc w:val="center"/>
              <w:rPr>
                <w:rFonts w:ascii="宋体" w:hAnsi="宋体"/>
                <w:color w:val="auto"/>
                <w:sz w:val="24"/>
                <w:szCs w:val="24"/>
              </w:rPr>
            </w:pPr>
            <w:r>
              <w:rPr>
                <w:rFonts w:hint="eastAsia" w:ascii="宋体" w:hAnsi="宋体"/>
                <w:color w:val="auto"/>
                <w:sz w:val="24"/>
                <w:szCs w:val="24"/>
              </w:rPr>
              <w:t>技术职称</w:t>
            </w:r>
          </w:p>
        </w:tc>
        <w:tc>
          <w:tcPr>
            <w:tcW w:w="841" w:type="dxa"/>
            <w:vAlign w:val="center"/>
          </w:tcPr>
          <w:p w14:paraId="534CF5E0">
            <w:pPr>
              <w:snapToGrid w:val="0"/>
              <w:spacing w:line="440" w:lineRule="exact"/>
              <w:ind w:firstLine="480" w:firstLineChars="200"/>
              <w:jc w:val="center"/>
              <w:rPr>
                <w:rFonts w:ascii="宋体" w:hAnsi="宋体"/>
                <w:color w:val="auto"/>
                <w:sz w:val="24"/>
                <w:szCs w:val="24"/>
              </w:rPr>
            </w:pPr>
          </w:p>
        </w:tc>
        <w:tc>
          <w:tcPr>
            <w:tcW w:w="806" w:type="dxa"/>
            <w:vAlign w:val="center"/>
          </w:tcPr>
          <w:p w14:paraId="4446196F">
            <w:pPr>
              <w:snapToGrid w:val="0"/>
              <w:spacing w:line="440" w:lineRule="exact"/>
              <w:jc w:val="center"/>
              <w:rPr>
                <w:rFonts w:ascii="宋体" w:hAnsi="宋体"/>
                <w:color w:val="auto"/>
                <w:sz w:val="24"/>
                <w:szCs w:val="24"/>
              </w:rPr>
            </w:pPr>
            <w:r>
              <w:rPr>
                <w:rFonts w:hint="eastAsia" w:ascii="宋体" w:hAnsi="宋体"/>
                <w:color w:val="auto"/>
                <w:sz w:val="24"/>
                <w:szCs w:val="24"/>
              </w:rPr>
              <w:t>电话</w:t>
            </w:r>
          </w:p>
        </w:tc>
        <w:tc>
          <w:tcPr>
            <w:tcW w:w="1355" w:type="dxa"/>
            <w:vAlign w:val="center"/>
          </w:tcPr>
          <w:p w14:paraId="3FF5A38D">
            <w:pPr>
              <w:snapToGrid w:val="0"/>
              <w:spacing w:line="440" w:lineRule="exact"/>
              <w:ind w:firstLine="480" w:firstLineChars="200"/>
              <w:jc w:val="center"/>
              <w:rPr>
                <w:rFonts w:ascii="宋体" w:hAnsi="宋体"/>
                <w:color w:val="auto"/>
                <w:sz w:val="24"/>
                <w:szCs w:val="24"/>
              </w:rPr>
            </w:pPr>
          </w:p>
        </w:tc>
      </w:tr>
      <w:tr w14:paraId="1F657500">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1D134108">
            <w:pPr>
              <w:snapToGrid w:val="0"/>
              <w:spacing w:line="440" w:lineRule="exact"/>
              <w:jc w:val="center"/>
              <w:rPr>
                <w:rFonts w:ascii="宋体" w:hAnsi="宋体"/>
                <w:color w:val="auto"/>
                <w:sz w:val="24"/>
                <w:szCs w:val="24"/>
              </w:rPr>
            </w:pPr>
            <w:r>
              <w:rPr>
                <w:rFonts w:hint="eastAsia" w:ascii="宋体" w:hAnsi="宋体"/>
                <w:color w:val="auto"/>
                <w:sz w:val="24"/>
                <w:szCs w:val="24"/>
              </w:rPr>
              <w:t>技术负责人</w:t>
            </w:r>
          </w:p>
        </w:tc>
        <w:tc>
          <w:tcPr>
            <w:tcW w:w="1152" w:type="dxa"/>
            <w:vAlign w:val="center"/>
          </w:tcPr>
          <w:p w14:paraId="741D13B3">
            <w:pPr>
              <w:snapToGrid w:val="0"/>
              <w:spacing w:line="440" w:lineRule="exact"/>
              <w:jc w:val="center"/>
              <w:rPr>
                <w:rFonts w:ascii="宋体" w:hAnsi="宋体"/>
                <w:color w:val="auto"/>
                <w:sz w:val="24"/>
                <w:szCs w:val="24"/>
              </w:rPr>
            </w:pPr>
            <w:r>
              <w:rPr>
                <w:rFonts w:hint="eastAsia" w:ascii="宋体" w:hAnsi="宋体"/>
                <w:color w:val="auto"/>
                <w:sz w:val="24"/>
                <w:szCs w:val="24"/>
              </w:rPr>
              <w:t>姓名</w:t>
            </w:r>
          </w:p>
        </w:tc>
        <w:tc>
          <w:tcPr>
            <w:tcW w:w="1420" w:type="dxa"/>
            <w:vAlign w:val="center"/>
          </w:tcPr>
          <w:p w14:paraId="2CF79EA7">
            <w:pPr>
              <w:snapToGrid w:val="0"/>
              <w:spacing w:line="440" w:lineRule="exact"/>
              <w:ind w:firstLine="480" w:firstLineChars="200"/>
              <w:jc w:val="center"/>
              <w:rPr>
                <w:rFonts w:ascii="宋体" w:hAnsi="宋体"/>
                <w:color w:val="auto"/>
                <w:sz w:val="24"/>
                <w:szCs w:val="24"/>
              </w:rPr>
            </w:pPr>
          </w:p>
        </w:tc>
        <w:tc>
          <w:tcPr>
            <w:tcW w:w="1516" w:type="dxa"/>
            <w:gridSpan w:val="2"/>
            <w:vAlign w:val="center"/>
          </w:tcPr>
          <w:p w14:paraId="666CBD8B">
            <w:pPr>
              <w:snapToGrid w:val="0"/>
              <w:spacing w:line="440" w:lineRule="exact"/>
              <w:jc w:val="center"/>
              <w:rPr>
                <w:rFonts w:ascii="宋体" w:hAnsi="宋体"/>
                <w:color w:val="auto"/>
                <w:sz w:val="24"/>
                <w:szCs w:val="24"/>
              </w:rPr>
            </w:pPr>
            <w:r>
              <w:rPr>
                <w:rFonts w:hint="eastAsia" w:ascii="宋体" w:hAnsi="宋体"/>
                <w:color w:val="auto"/>
                <w:sz w:val="24"/>
                <w:szCs w:val="24"/>
              </w:rPr>
              <w:t>技术职称</w:t>
            </w:r>
          </w:p>
        </w:tc>
        <w:tc>
          <w:tcPr>
            <w:tcW w:w="841" w:type="dxa"/>
            <w:vAlign w:val="center"/>
          </w:tcPr>
          <w:p w14:paraId="080BEBA4">
            <w:pPr>
              <w:snapToGrid w:val="0"/>
              <w:spacing w:line="440" w:lineRule="exact"/>
              <w:ind w:firstLine="480" w:firstLineChars="200"/>
              <w:jc w:val="center"/>
              <w:rPr>
                <w:rFonts w:ascii="宋体" w:hAnsi="宋体"/>
                <w:color w:val="auto"/>
                <w:sz w:val="24"/>
                <w:szCs w:val="24"/>
              </w:rPr>
            </w:pPr>
          </w:p>
        </w:tc>
        <w:tc>
          <w:tcPr>
            <w:tcW w:w="806" w:type="dxa"/>
            <w:vAlign w:val="center"/>
          </w:tcPr>
          <w:p w14:paraId="7A02D938">
            <w:pPr>
              <w:snapToGrid w:val="0"/>
              <w:spacing w:line="440" w:lineRule="exact"/>
              <w:jc w:val="center"/>
              <w:rPr>
                <w:rFonts w:ascii="宋体" w:hAnsi="宋体"/>
                <w:color w:val="auto"/>
                <w:sz w:val="24"/>
                <w:szCs w:val="24"/>
              </w:rPr>
            </w:pPr>
            <w:r>
              <w:rPr>
                <w:rFonts w:hint="eastAsia" w:ascii="宋体" w:hAnsi="宋体"/>
                <w:color w:val="auto"/>
                <w:sz w:val="24"/>
                <w:szCs w:val="24"/>
              </w:rPr>
              <w:t>电话</w:t>
            </w:r>
          </w:p>
        </w:tc>
        <w:tc>
          <w:tcPr>
            <w:tcW w:w="1355" w:type="dxa"/>
            <w:vAlign w:val="center"/>
          </w:tcPr>
          <w:p w14:paraId="1DAFF880">
            <w:pPr>
              <w:snapToGrid w:val="0"/>
              <w:spacing w:line="440" w:lineRule="exact"/>
              <w:ind w:firstLine="480" w:firstLineChars="200"/>
              <w:jc w:val="center"/>
              <w:rPr>
                <w:rFonts w:ascii="宋体" w:hAnsi="宋体"/>
                <w:color w:val="auto"/>
                <w:sz w:val="24"/>
                <w:szCs w:val="24"/>
              </w:rPr>
            </w:pPr>
          </w:p>
        </w:tc>
      </w:tr>
      <w:tr w14:paraId="11F1E868">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5F3F0C01">
            <w:pPr>
              <w:snapToGrid w:val="0"/>
              <w:spacing w:line="440" w:lineRule="exact"/>
              <w:jc w:val="center"/>
              <w:rPr>
                <w:rFonts w:ascii="宋体" w:hAnsi="宋体"/>
                <w:color w:val="auto"/>
                <w:sz w:val="24"/>
                <w:szCs w:val="24"/>
              </w:rPr>
            </w:pPr>
            <w:r>
              <w:rPr>
                <w:rFonts w:hint="eastAsia" w:ascii="宋体" w:hAnsi="宋体"/>
                <w:color w:val="auto"/>
                <w:sz w:val="24"/>
                <w:szCs w:val="24"/>
              </w:rPr>
              <w:t>成立时间</w:t>
            </w:r>
          </w:p>
        </w:tc>
        <w:tc>
          <w:tcPr>
            <w:tcW w:w="2572" w:type="dxa"/>
            <w:gridSpan w:val="2"/>
            <w:vAlign w:val="center"/>
          </w:tcPr>
          <w:p w14:paraId="038CCC6A">
            <w:pPr>
              <w:snapToGrid w:val="0"/>
              <w:spacing w:line="440" w:lineRule="exact"/>
              <w:ind w:firstLine="480" w:firstLineChars="200"/>
              <w:jc w:val="center"/>
              <w:rPr>
                <w:rFonts w:ascii="宋体" w:hAnsi="宋体"/>
                <w:color w:val="auto"/>
                <w:sz w:val="24"/>
                <w:szCs w:val="24"/>
              </w:rPr>
            </w:pPr>
          </w:p>
        </w:tc>
        <w:tc>
          <w:tcPr>
            <w:tcW w:w="4518" w:type="dxa"/>
            <w:gridSpan w:val="5"/>
            <w:vAlign w:val="center"/>
          </w:tcPr>
          <w:p w14:paraId="30C9B3E8">
            <w:pPr>
              <w:snapToGrid w:val="0"/>
              <w:spacing w:line="440" w:lineRule="exact"/>
              <w:ind w:firstLine="480" w:firstLineChars="200"/>
              <w:jc w:val="center"/>
              <w:rPr>
                <w:rFonts w:ascii="宋体" w:hAnsi="宋体"/>
                <w:color w:val="auto"/>
                <w:sz w:val="24"/>
                <w:szCs w:val="24"/>
              </w:rPr>
            </w:pPr>
            <w:r>
              <w:rPr>
                <w:rFonts w:hint="eastAsia" w:ascii="宋体" w:hAnsi="宋体"/>
                <w:color w:val="auto"/>
                <w:sz w:val="24"/>
                <w:szCs w:val="24"/>
              </w:rPr>
              <w:t>员工总人数：</w:t>
            </w:r>
          </w:p>
        </w:tc>
      </w:tr>
      <w:tr w14:paraId="1BE17B0D">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4EC91EF7">
            <w:pPr>
              <w:snapToGrid w:val="0"/>
              <w:spacing w:line="440" w:lineRule="exact"/>
              <w:jc w:val="center"/>
              <w:rPr>
                <w:rFonts w:ascii="宋体" w:hAnsi="宋体"/>
                <w:color w:val="auto"/>
                <w:sz w:val="24"/>
                <w:szCs w:val="24"/>
              </w:rPr>
            </w:pPr>
            <w:r>
              <w:rPr>
                <w:rFonts w:hint="eastAsia" w:ascii="宋体" w:hAnsi="宋体"/>
                <w:color w:val="auto"/>
                <w:sz w:val="24"/>
                <w:szCs w:val="24"/>
              </w:rPr>
              <w:t>企业资质等级</w:t>
            </w:r>
          </w:p>
        </w:tc>
        <w:tc>
          <w:tcPr>
            <w:tcW w:w="2572" w:type="dxa"/>
            <w:gridSpan w:val="2"/>
            <w:vAlign w:val="center"/>
          </w:tcPr>
          <w:p w14:paraId="53B8FE4D">
            <w:pPr>
              <w:snapToGrid w:val="0"/>
              <w:spacing w:line="440" w:lineRule="exact"/>
              <w:ind w:firstLine="480" w:firstLineChars="200"/>
              <w:jc w:val="center"/>
              <w:rPr>
                <w:rFonts w:ascii="宋体" w:hAnsi="宋体"/>
                <w:color w:val="auto"/>
                <w:sz w:val="24"/>
                <w:szCs w:val="24"/>
              </w:rPr>
            </w:pPr>
          </w:p>
        </w:tc>
        <w:tc>
          <w:tcPr>
            <w:tcW w:w="810" w:type="dxa"/>
            <w:vMerge w:val="restart"/>
            <w:vAlign w:val="center"/>
          </w:tcPr>
          <w:p w14:paraId="7AAB077E">
            <w:pPr>
              <w:snapToGrid w:val="0"/>
              <w:spacing w:line="440" w:lineRule="exact"/>
              <w:jc w:val="center"/>
              <w:rPr>
                <w:rFonts w:ascii="宋体" w:hAnsi="宋体"/>
                <w:color w:val="auto"/>
                <w:sz w:val="24"/>
                <w:szCs w:val="24"/>
              </w:rPr>
            </w:pPr>
            <w:r>
              <w:rPr>
                <w:rFonts w:hint="eastAsia" w:ascii="宋体" w:hAnsi="宋体"/>
                <w:color w:val="auto"/>
                <w:sz w:val="24"/>
                <w:szCs w:val="24"/>
              </w:rPr>
              <w:t>其中</w:t>
            </w:r>
          </w:p>
        </w:tc>
        <w:tc>
          <w:tcPr>
            <w:tcW w:w="2353" w:type="dxa"/>
            <w:gridSpan w:val="3"/>
            <w:vAlign w:val="center"/>
          </w:tcPr>
          <w:p w14:paraId="6E198784">
            <w:pPr>
              <w:snapToGrid w:val="0"/>
              <w:spacing w:line="440" w:lineRule="exact"/>
              <w:jc w:val="center"/>
              <w:rPr>
                <w:rFonts w:ascii="宋体" w:hAnsi="宋体"/>
                <w:color w:val="auto"/>
                <w:sz w:val="24"/>
                <w:szCs w:val="24"/>
              </w:rPr>
            </w:pPr>
            <w:r>
              <w:rPr>
                <w:rFonts w:hint="eastAsia" w:ascii="宋体" w:hAnsi="宋体"/>
                <w:color w:val="auto"/>
                <w:sz w:val="24"/>
                <w:szCs w:val="24"/>
              </w:rPr>
              <w:t>项目经理</w:t>
            </w:r>
          </w:p>
        </w:tc>
        <w:tc>
          <w:tcPr>
            <w:tcW w:w="1355" w:type="dxa"/>
            <w:vAlign w:val="center"/>
          </w:tcPr>
          <w:p w14:paraId="2FF88B6D">
            <w:pPr>
              <w:snapToGrid w:val="0"/>
              <w:spacing w:line="440" w:lineRule="exact"/>
              <w:ind w:firstLine="480" w:firstLineChars="200"/>
              <w:jc w:val="center"/>
              <w:rPr>
                <w:rFonts w:ascii="宋体" w:hAnsi="宋体"/>
                <w:color w:val="auto"/>
                <w:sz w:val="24"/>
                <w:szCs w:val="24"/>
              </w:rPr>
            </w:pPr>
          </w:p>
        </w:tc>
      </w:tr>
      <w:tr w14:paraId="63627ABF">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1335C6DA">
            <w:pPr>
              <w:snapToGrid w:val="0"/>
              <w:spacing w:line="440" w:lineRule="exact"/>
              <w:jc w:val="center"/>
              <w:rPr>
                <w:rFonts w:ascii="宋体" w:hAnsi="宋体"/>
                <w:color w:val="auto"/>
                <w:sz w:val="24"/>
                <w:szCs w:val="24"/>
              </w:rPr>
            </w:pPr>
            <w:r>
              <w:rPr>
                <w:rFonts w:hint="eastAsia" w:ascii="宋体" w:hAnsi="宋体"/>
                <w:color w:val="auto"/>
                <w:sz w:val="24"/>
                <w:szCs w:val="24"/>
              </w:rPr>
              <w:t>营业执照号</w:t>
            </w:r>
          </w:p>
        </w:tc>
        <w:tc>
          <w:tcPr>
            <w:tcW w:w="2572" w:type="dxa"/>
            <w:gridSpan w:val="2"/>
            <w:vAlign w:val="center"/>
          </w:tcPr>
          <w:p w14:paraId="6CC773E9">
            <w:pPr>
              <w:snapToGrid w:val="0"/>
              <w:spacing w:line="440" w:lineRule="exact"/>
              <w:ind w:firstLine="480" w:firstLineChars="200"/>
              <w:jc w:val="center"/>
              <w:rPr>
                <w:rFonts w:ascii="宋体" w:hAnsi="宋体"/>
                <w:color w:val="auto"/>
                <w:sz w:val="24"/>
                <w:szCs w:val="24"/>
              </w:rPr>
            </w:pPr>
          </w:p>
        </w:tc>
        <w:tc>
          <w:tcPr>
            <w:tcW w:w="810" w:type="dxa"/>
            <w:vMerge w:val="continue"/>
            <w:vAlign w:val="center"/>
          </w:tcPr>
          <w:p w14:paraId="118A74AC">
            <w:pPr>
              <w:snapToGrid w:val="0"/>
              <w:spacing w:line="440" w:lineRule="exact"/>
              <w:ind w:firstLine="480" w:firstLineChars="200"/>
              <w:jc w:val="center"/>
              <w:rPr>
                <w:rFonts w:ascii="宋体" w:hAnsi="宋体"/>
                <w:color w:val="auto"/>
                <w:sz w:val="24"/>
                <w:szCs w:val="24"/>
              </w:rPr>
            </w:pPr>
          </w:p>
        </w:tc>
        <w:tc>
          <w:tcPr>
            <w:tcW w:w="2353" w:type="dxa"/>
            <w:gridSpan w:val="3"/>
            <w:vAlign w:val="center"/>
          </w:tcPr>
          <w:p w14:paraId="2E57508E">
            <w:pPr>
              <w:snapToGrid w:val="0"/>
              <w:spacing w:line="440" w:lineRule="exact"/>
              <w:jc w:val="center"/>
              <w:rPr>
                <w:rFonts w:ascii="宋体" w:hAnsi="宋体"/>
                <w:color w:val="auto"/>
                <w:sz w:val="24"/>
                <w:szCs w:val="24"/>
              </w:rPr>
            </w:pPr>
            <w:r>
              <w:rPr>
                <w:rFonts w:hint="eastAsia" w:ascii="宋体" w:hAnsi="宋体"/>
                <w:color w:val="auto"/>
                <w:sz w:val="24"/>
                <w:szCs w:val="24"/>
              </w:rPr>
              <w:t>高级职称人员</w:t>
            </w:r>
          </w:p>
        </w:tc>
        <w:tc>
          <w:tcPr>
            <w:tcW w:w="1355" w:type="dxa"/>
            <w:vAlign w:val="center"/>
          </w:tcPr>
          <w:p w14:paraId="3037967C">
            <w:pPr>
              <w:snapToGrid w:val="0"/>
              <w:spacing w:line="440" w:lineRule="exact"/>
              <w:ind w:firstLine="480" w:firstLineChars="200"/>
              <w:jc w:val="center"/>
              <w:rPr>
                <w:rFonts w:ascii="宋体" w:hAnsi="宋体"/>
                <w:color w:val="auto"/>
                <w:sz w:val="24"/>
                <w:szCs w:val="24"/>
              </w:rPr>
            </w:pPr>
          </w:p>
        </w:tc>
      </w:tr>
      <w:tr w14:paraId="63EA4DCE">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362118A2">
            <w:pPr>
              <w:snapToGrid w:val="0"/>
              <w:spacing w:line="440" w:lineRule="exact"/>
              <w:jc w:val="center"/>
              <w:rPr>
                <w:rFonts w:ascii="宋体" w:hAnsi="宋体"/>
                <w:color w:val="auto"/>
                <w:sz w:val="24"/>
                <w:szCs w:val="24"/>
              </w:rPr>
            </w:pPr>
            <w:r>
              <w:rPr>
                <w:rFonts w:hint="eastAsia" w:ascii="宋体" w:hAnsi="宋体"/>
                <w:color w:val="auto"/>
                <w:sz w:val="24"/>
                <w:szCs w:val="24"/>
              </w:rPr>
              <w:t>注册资金</w:t>
            </w:r>
          </w:p>
        </w:tc>
        <w:tc>
          <w:tcPr>
            <w:tcW w:w="2572" w:type="dxa"/>
            <w:gridSpan w:val="2"/>
            <w:vAlign w:val="center"/>
          </w:tcPr>
          <w:p w14:paraId="62CFB11A">
            <w:pPr>
              <w:snapToGrid w:val="0"/>
              <w:spacing w:line="440" w:lineRule="exact"/>
              <w:ind w:firstLine="480" w:firstLineChars="200"/>
              <w:jc w:val="center"/>
              <w:rPr>
                <w:rFonts w:ascii="宋体" w:hAnsi="宋体"/>
                <w:color w:val="auto"/>
                <w:sz w:val="24"/>
                <w:szCs w:val="24"/>
              </w:rPr>
            </w:pPr>
          </w:p>
        </w:tc>
        <w:tc>
          <w:tcPr>
            <w:tcW w:w="810" w:type="dxa"/>
            <w:vMerge w:val="continue"/>
            <w:vAlign w:val="center"/>
          </w:tcPr>
          <w:p w14:paraId="050B08F1">
            <w:pPr>
              <w:snapToGrid w:val="0"/>
              <w:spacing w:line="440" w:lineRule="exact"/>
              <w:ind w:firstLine="480" w:firstLineChars="200"/>
              <w:jc w:val="center"/>
              <w:rPr>
                <w:rFonts w:ascii="宋体" w:hAnsi="宋体"/>
                <w:color w:val="auto"/>
                <w:sz w:val="24"/>
                <w:szCs w:val="24"/>
              </w:rPr>
            </w:pPr>
          </w:p>
        </w:tc>
        <w:tc>
          <w:tcPr>
            <w:tcW w:w="2353" w:type="dxa"/>
            <w:gridSpan w:val="3"/>
            <w:vAlign w:val="center"/>
          </w:tcPr>
          <w:p w14:paraId="263CB599">
            <w:pPr>
              <w:snapToGrid w:val="0"/>
              <w:spacing w:line="440" w:lineRule="exact"/>
              <w:jc w:val="center"/>
              <w:rPr>
                <w:rFonts w:ascii="宋体" w:hAnsi="宋体"/>
                <w:color w:val="auto"/>
                <w:sz w:val="24"/>
                <w:szCs w:val="24"/>
              </w:rPr>
            </w:pPr>
            <w:r>
              <w:rPr>
                <w:rFonts w:hint="eastAsia" w:ascii="宋体" w:hAnsi="宋体"/>
                <w:color w:val="auto"/>
                <w:sz w:val="24"/>
                <w:szCs w:val="24"/>
              </w:rPr>
              <w:t>中级职称人员</w:t>
            </w:r>
          </w:p>
        </w:tc>
        <w:tc>
          <w:tcPr>
            <w:tcW w:w="1355" w:type="dxa"/>
            <w:vAlign w:val="center"/>
          </w:tcPr>
          <w:p w14:paraId="1B9B8F3B">
            <w:pPr>
              <w:snapToGrid w:val="0"/>
              <w:spacing w:line="440" w:lineRule="exact"/>
              <w:ind w:firstLine="480" w:firstLineChars="200"/>
              <w:jc w:val="center"/>
              <w:rPr>
                <w:rFonts w:ascii="宋体" w:hAnsi="宋体"/>
                <w:color w:val="auto"/>
                <w:sz w:val="24"/>
                <w:szCs w:val="24"/>
              </w:rPr>
            </w:pPr>
          </w:p>
        </w:tc>
      </w:tr>
      <w:tr w14:paraId="74784A8E">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1B5A4862">
            <w:pPr>
              <w:snapToGrid w:val="0"/>
              <w:spacing w:line="440" w:lineRule="exact"/>
              <w:jc w:val="center"/>
              <w:rPr>
                <w:rFonts w:ascii="宋体" w:hAnsi="宋体"/>
                <w:color w:val="auto"/>
                <w:sz w:val="24"/>
                <w:szCs w:val="24"/>
              </w:rPr>
            </w:pPr>
            <w:r>
              <w:rPr>
                <w:rFonts w:hint="eastAsia" w:ascii="宋体" w:hAnsi="宋体"/>
                <w:color w:val="auto"/>
                <w:sz w:val="24"/>
                <w:szCs w:val="24"/>
              </w:rPr>
              <w:t>开户银行</w:t>
            </w:r>
          </w:p>
        </w:tc>
        <w:tc>
          <w:tcPr>
            <w:tcW w:w="2572" w:type="dxa"/>
            <w:gridSpan w:val="2"/>
            <w:vAlign w:val="center"/>
          </w:tcPr>
          <w:p w14:paraId="2640FA88">
            <w:pPr>
              <w:snapToGrid w:val="0"/>
              <w:spacing w:line="440" w:lineRule="exact"/>
              <w:ind w:firstLine="480" w:firstLineChars="200"/>
              <w:jc w:val="center"/>
              <w:rPr>
                <w:rFonts w:ascii="宋体" w:hAnsi="宋体"/>
                <w:color w:val="auto"/>
                <w:sz w:val="24"/>
                <w:szCs w:val="24"/>
              </w:rPr>
            </w:pPr>
          </w:p>
        </w:tc>
        <w:tc>
          <w:tcPr>
            <w:tcW w:w="810" w:type="dxa"/>
            <w:vMerge w:val="continue"/>
            <w:vAlign w:val="center"/>
          </w:tcPr>
          <w:p w14:paraId="0CC8B804">
            <w:pPr>
              <w:snapToGrid w:val="0"/>
              <w:spacing w:line="440" w:lineRule="exact"/>
              <w:ind w:firstLine="480" w:firstLineChars="200"/>
              <w:jc w:val="center"/>
              <w:rPr>
                <w:rFonts w:ascii="宋体" w:hAnsi="宋体"/>
                <w:color w:val="auto"/>
                <w:sz w:val="24"/>
                <w:szCs w:val="24"/>
              </w:rPr>
            </w:pPr>
          </w:p>
        </w:tc>
        <w:tc>
          <w:tcPr>
            <w:tcW w:w="2353" w:type="dxa"/>
            <w:gridSpan w:val="3"/>
            <w:vAlign w:val="center"/>
          </w:tcPr>
          <w:p w14:paraId="54211C2A">
            <w:pPr>
              <w:snapToGrid w:val="0"/>
              <w:spacing w:line="440" w:lineRule="exact"/>
              <w:jc w:val="center"/>
              <w:rPr>
                <w:rFonts w:ascii="宋体" w:hAnsi="宋体"/>
                <w:color w:val="auto"/>
                <w:sz w:val="24"/>
                <w:szCs w:val="24"/>
              </w:rPr>
            </w:pPr>
            <w:r>
              <w:rPr>
                <w:rFonts w:hint="eastAsia" w:ascii="宋体" w:hAnsi="宋体"/>
                <w:color w:val="auto"/>
                <w:sz w:val="24"/>
                <w:szCs w:val="24"/>
              </w:rPr>
              <w:t>初级职称人员</w:t>
            </w:r>
          </w:p>
        </w:tc>
        <w:tc>
          <w:tcPr>
            <w:tcW w:w="1355" w:type="dxa"/>
            <w:vAlign w:val="center"/>
          </w:tcPr>
          <w:p w14:paraId="1DC76D1A">
            <w:pPr>
              <w:snapToGrid w:val="0"/>
              <w:spacing w:line="440" w:lineRule="exact"/>
              <w:ind w:firstLine="480" w:firstLineChars="200"/>
              <w:jc w:val="center"/>
              <w:rPr>
                <w:rFonts w:ascii="宋体" w:hAnsi="宋体"/>
                <w:color w:val="auto"/>
                <w:sz w:val="24"/>
                <w:szCs w:val="24"/>
              </w:rPr>
            </w:pPr>
          </w:p>
        </w:tc>
      </w:tr>
      <w:tr w14:paraId="2816A001">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980" w:type="dxa"/>
            <w:vAlign w:val="center"/>
          </w:tcPr>
          <w:p w14:paraId="4D2156C1">
            <w:pPr>
              <w:snapToGrid w:val="0"/>
              <w:spacing w:line="440" w:lineRule="exact"/>
              <w:jc w:val="center"/>
              <w:rPr>
                <w:rFonts w:ascii="宋体" w:hAnsi="宋体"/>
                <w:color w:val="auto"/>
                <w:sz w:val="24"/>
                <w:szCs w:val="24"/>
              </w:rPr>
            </w:pPr>
            <w:r>
              <w:rPr>
                <w:rFonts w:hint="eastAsia" w:ascii="宋体" w:hAnsi="宋体"/>
                <w:color w:val="auto"/>
                <w:sz w:val="24"/>
                <w:szCs w:val="24"/>
              </w:rPr>
              <w:t>账号</w:t>
            </w:r>
          </w:p>
        </w:tc>
        <w:tc>
          <w:tcPr>
            <w:tcW w:w="2572" w:type="dxa"/>
            <w:gridSpan w:val="2"/>
            <w:vAlign w:val="center"/>
          </w:tcPr>
          <w:p w14:paraId="34C1AF2E">
            <w:pPr>
              <w:snapToGrid w:val="0"/>
              <w:spacing w:line="440" w:lineRule="exact"/>
              <w:ind w:firstLine="480" w:firstLineChars="200"/>
              <w:jc w:val="center"/>
              <w:rPr>
                <w:rFonts w:ascii="宋体" w:hAnsi="宋体"/>
                <w:color w:val="auto"/>
                <w:sz w:val="24"/>
                <w:szCs w:val="24"/>
              </w:rPr>
            </w:pPr>
          </w:p>
        </w:tc>
        <w:tc>
          <w:tcPr>
            <w:tcW w:w="810" w:type="dxa"/>
            <w:vMerge w:val="continue"/>
            <w:vAlign w:val="center"/>
          </w:tcPr>
          <w:p w14:paraId="2B50852C">
            <w:pPr>
              <w:snapToGrid w:val="0"/>
              <w:spacing w:line="440" w:lineRule="exact"/>
              <w:ind w:firstLine="480" w:firstLineChars="200"/>
              <w:jc w:val="center"/>
              <w:rPr>
                <w:rFonts w:ascii="宋体" w:hAnsi="宋体"/>
                <w:color w:val="auto"/>
                <w:sz w:val="24"/>
                <w:szCs w:val="24"/>
              </w:rPr>
            </w:pPr>
          </w:p>
        </w:tc>
        <w:tc>
          <w:tcPr>
            <w:tcW w:w="2353" w:type="dxa"/>
            <w:gridSpan w:val="3"/>
            <w:vAlign w:val="center"/>
          </w:tcPr>
          <w:p w14:paraId="31C26CCC">
            <w:pPr>
              <w:snapToGrid w:val="0"/>
              <w:spacing w:line="440" w:lineRule="exact"/>
              <w:jc w:val="center"/>
              <w:rPr>
                <w:rFonts w:ascii="宋体" w:hAnsi="宋体"/>
                <w:color w:val="auto"/>
                <w:sz w:val="24"/>
                <w:szCs w:val="24"/>
              </w:rPr>
            </w:pPr>
            <w:r>
              <w:rPr>
                <w:rFonts w:hint="eastAsia" w:ascii="宋体" w:hAnsi="宋体"/>
                <w:color w:val="auto"/>
                <w:sz w:val="24"/>
                <w:szCs w:val="24"/>
              </w:rPr>
              <w:t>技工</w:t>
            </w:r>
          </w:p>
        </w:tc>
        <w:tc>
          <w:tcPr>
            <w:tcW w:w="1355" w:type="dxa"/>
            <w:vAlign w:val="center"/>
          </w:tcPr>
          <w:p w14:paraId="38144735">
            <w:pPr>
              <w:snapToGrid w:val="0"/>
              <w:spacing w:line="440" w:lineRule="exact"/>
              <w:ind w:firstLine="480" w:firstLineChars="200"/>
              <w:jc w:val="center"/>
              <w:rPr>
                <w:rFonts w:ascii="宋体" w:hAnsi="宋体"/>
                <w:color w:val="auto"/>
                <w:sz w:val="24"/>
                <w:szCs w:val="24"/>
              </w:rPr>
            </w:pPr>
          </w:p>
        </w:tc>
      </w:tr>
      <w:tr w14:paraId="1FFD7A77">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1283" w:hRule="exact"/>
          <w:jc w:val="center"/>
        </w:trPr>
        <w:tc>
          <w:tcPr>
            <w:tcW w:w="1980" w:type="dxa"/>
            <w:vAlign w:val="center"/>
          </w:tcPr>
          <w:p w14:paraId="35F85B48">
            <w:pPr>
              <w:snapToGrid w:val="0"/>
              <w:spacing w:line="440" w:lineRule="exact"/>
              <w:jc w:val="center"/>
              <w:rPr>
                <w:rFonts w:ascii="宋体" w:hAnsi="宋体"/>
                <w:color w:val="auto"/>
                <w:sz w:val="24"/>
                <w:szCs w:val="24"/>
              </w:rPr>
            </w:pPr>
            <w:r>
              <w:rPr>
                <w:rFonts w:hint="eastAsia" w:ascii="宋体" w:hAnsi="宋体"/>
                <w:color w:val="auto"/>
                <w:sz w:val="24"/>
                <w:szCs w:val="24"/>
              </w:rPr>
              <w:t>经营范围</w:t>
            </w:r>
          </w:p>
        </w:tc>
        <w:tc>
          <w:tcPr>
            <w:tcW w:w="7090" w:type="dxa"/>
            <w:gridSpan w:val="7"/>
            <w:vAlign w:val="center"/>
          </w:tcPr>
          <w:p w14:paraId="38FA9528">
            <w:pPr>
              <w:snapToGrid w:val="0"/>
              <w:spacing w:line="440" w:lineRule="exact"/>
              <w:ind w:firstLine="480" w:firstLineChars="200"/>
              <w:jc w:val="center"/>
              <w:rPr>
                <w:rFonts w:ascii="宋体" w:hAnsi="宋体"/>
                <w:color w:val="auto"/>
                <w:sz w:val="24"/>
                <w:szCs w:val="24"/>
              </w:rPr>
            </w:pPr>
          </w:p>
          <w:p w14:paraId="5B33517E">
            <w:pPr>
              <w:snapToGrid w:val="0"/>
              <w:spacing w:line="440" w:lineRule="exact"/>
              <w:ind w:firstLine="480" w:firstLineChars="200"/>
              <w:jc w:val="center"/>
              <w:rPr>
                <w:rFonts w:ascii="宋体" w:hAnsi="宋体"/>
                <w:color w:val="auto"/>
                <w:sz w:val="24"/>
                <w:szCs w:val="24"/>
              </w:rPr>
            </w:pPr>
          </w:p>
          <w:p w14:paraId="1C144118">
            <w:pPr>
              <w:snapToGrid w:val="0"/>
              <w:spacing w:line="440" w:lineRule="exact"/>
              <w:ind w:firstLine="480" w:firstLineChars="200"/>
              <w:jc w:val="center"/>
              <w:rPr>
                <w:rFonts w:ascii="宋体" w:hAnsi="宋体"/>
                <w:color w:val="auto"/>
                <w:sz w:val="24"/>
                <w:szCs w:val="24"/>
              </w:rPr>
            </w:pPr>
          </w:p>
          <w:p w14:paraId="0A8581A2">
            <w:pPr>
              <w:snapToGrid w:val="0"/>
              <w:spacing w:line="440" w:lineRule="exact"/>
              <w:ind w:firstLine="480" w:firstLineChars="200"/>
              <w:jc w:val="center"/>
              <w:rPr>
                <w:rFonts w:ascii="宋体" w:hAnsi="宋体"/>
                <w:color w:val="auto"/>
                <w:sz w:val="24"/>
                <w:szCs w:val="24"/>
              </w:rPr>
            </w:pPr>
          </w:p>
          <w:p w14:paraId="3B39F266">
            <w:pPr>
              <w:snapToGrid w:val="0"/>
              <w:spacing w:line="440" w:lineRule="exact"/>
              <w:ind w:firstLine="480" w:firstLineChars="200"/>
              <w:jc w:val="center"/>
              <w:rPr>
                <w:rFonts w:ascii="宋体" w:hAnsi="宋体"/>
                <w:color w:val="auto"/>
                <w:sz w:val="24"/>
                <w:szCs w:val="24"/>
              </w:rPr>
            </w:pPr>
          </w:p>
        </w:tc>
      </w:tr>
      <w:tr w14:paraId="4884D83B">
        <w:tblPrEx>
          <w:tblBorders>
            <w:top w:val="thinThickSmallGap" w:color="auto" w:sz="12" w:space="0"/>
            <w:left w:val="thinThickSmallGap" w:color="auto" w:sz="12" w:space="0"/>
            <w:bottom w:val="thinThickSmallGap" w:color="auto" w:sz="12" w:space="0"/>
            <w:right w:val="thinThickSmallGap" w:color="auto" w:sz="12" w:space="0"/>
            <w:insideH w:val="single" w:color="000000" w:sz="4" w:space="0"/>
            <w:insideV w:val="single" w:color="000000" w:sz="4" w:space="0"/>
          </w:tblBorders>
          <w:tblCellMar>
            <w:top w:w="0" w:type="dxa"/>
            <w:left w:w="108" w:type="dxa"/>
            <w:bottom w:w="0" w:type="dxa"/>
            <w:right w:w="108" w:type="dxa"/>
          </w:tblCellMar>
        </w:tblPrEx>
        <w:trPr>
          <w:trHeight w:val="947" w:hRule="exact"/>
          <w:jc w:val="center"/>
        </w:trPr>
        <w:tc>
          <w:tcPr>
            <w:tcW w:w="1980" w:type="dxa"/>
            <w:tcBorders>
              <w:bottom w:val="thinThickSmallGap" w:color="auto" w:sz="12" w:space="0"/>
            </w:tcBorders>
            <w:vAlign w:val="center"/>
          </w:tcPr>
          <w:p w14:paraId="08C7A679">
            <w:pPr>
              <w:snapToGrid w:val="0"/>
              <w:spacing w:line="440" w:lineRule="exact"/>
              <w:jc w:val="center"/>
              <w:rPr>
                <w:rFonts w:ascii="宋体" w:hAnsi="宋体"/>
                <w:color w:val="auto"/>
                <w:sz w:val="24"/>
                <w:szCs w:val="24"/>
              </w:rPr>
            </w:pPr>
            <w:r>
              <w:rPr>
                <w:rFonts w:hint="eastAsia" w:ascii="宋体" w:hAnsi="宋体"/>
                <w:color w:val="auto"/>
                <w:sz w:val="24"/>
                <w:szCs w:val="24"/>
              </w:rPr>
              <w:t>备注</w:t>
            </w:r>
          </w:p>
        </w:tc>
        <w:tc>
          <w:tcPr>
            <w:tcW w:w="7090" w:type="dxa"/>
            <w:gridSpan w:val="7"/>
            <w:tcBorders>
              <w:bottom w:val="thinThickSmallGap" w:color="auto" w:sz="12" w:space="0"/>
            </w:tcBorders>
            <w:vAlign w:val="center"/>
          </w:tcPr>
          <w:p w14:paraId="24BE959D">
            <w:pPr>
              <w:snapToGrid w:val="0"/>
              <w:spacing w:line="440" w:lineRule="exact"/>
              <w:ind w:firstLine="480" w:firstLineChars="200"/>
              <w:jc w:val="center"/>
              <w:rPr>
                <w:rFonts w:ascii="宋体" w:hAnsi="宋体"/>
                <w:color w:val="auto"/>
                <w:sz w:val="24"/>
                <w:szCs w:val="24"/>
              </w:rPr>
            </w:pPr>
          </w:p>
        </w:tc>
      </w:tr>
    </w:tbl>
    <w:p w14:paraId="74A58877">
      <w:pPr>
        <w:snapToGrid w:val="0"/>
        <w:spacing w:line="440" w:lineRule="exact"/>
        <w:ind w:firstLine="562" w:firstLineChars="200"/>
        <w:rPr>
          <w:rFonts w:ascii="宋体" w:hAnsi="宋体"/>
          <w:b/>
          <w:color w:val="auto"/>
        </w:rPr>
      </w:pPr>
    </w:p>
    <w:p w14:paraId="17382BEE">
      <w:pPr>
        <w:snapToGrid w:val="0"/>
        <w:spacing w:line="440" w:lineRule="exact"/>
        <w:ind w:firstLine="562" w:firstLineChars="200"/>
        <w:rPr>
          <w:rFonts w:ascii="宋体" w:hAnsi="宋体"/>
          <w:b/>
          <w:color w:val="auto"/>
        </w:rPr>
      </w:pPr>
    </w:p>
    <w:p w14:paraId="06E9A3FB">
      <w:pPr>
        <w:snapToGrid w:val="0"/>
        <w:spacing w:line="440" w:lineRule="exact"/>
        <w:ind w:firstLine="562" w:firstLineChars="200"/>
        <w:rPr>
          <w:rFonts w:ascii="宋体" w:hAnsi="宋体"/>
          <w:b/>
          <w:color w:val="auto"/>
        </w:rPr>
      </w:pPr>
    </w:p>
    <w:p w14:paraId="023693F4">
      <w:pPr>
        <w:snapToGrid w:val="0"/>
        <w:spacing w:line="440" w:lineRule="exact"/>
        <w:ind w:firstLine="562" w:firstLineChars="200"/>
        <w:rPr>
          <w:rFonts w:ascii="宋体" w:hAnsi="宋体"/>
          <w:b/>
          <w:color w:val="auto"/>
        </w:rPr>
      </w:pPr>
    </w:p>
    <w:p w14:paraId="0C1E14D4">
      <w:pPr>
        <w:snapToGrid w:val="0"/>
        <w:spacing w:line="440" w:lineRule="exact"/>
        <w:ind w:firstLine="562" w:firstLineChars="200"/>
        <w:rPr>
          <w:rFonts w:ascii="宋体" w:hAnsi="宋体"/>
          <w:b/>
          <w:color w:val="auto"/>
        </w:rPr>
      </w:pPr>
    </w:p>
    <w:p w14:paraId="7F70B4E2">
      <w:pPr>
        <w:snapToGrid w:val="0"/>
        <w:spacing w:line="440" w:lineRule="exact"/>
        <w:ind w:firstLine="562" w:firstLineChars="200"/>
        <w:rPr>
          <w:rFonts w:ascii="宋体" w:hAnsi="宋体"/>
          <w:b/>
          <w:color w:val="auto"/>
        </w:rPr>
      </w:pPr>
    </w:p>
    <w:p w14:paraId="0D6A476F">
      <w:pPr>
        <w:snapToGrid w:val="0"/>
        <w:spacing w:line="440" w:lineRule="exact"/>
        <w:ind w:firstLine="562" w:firstLineChars="200"/>
        <w:rPr>
          <w:rFonts w:ascii="宋体" w:hAnsi="宋体"/>
          <w:b/>
          <w:color w:val="auto"/>
        </w:rPr>
      </w:pPr>
    </w:p>
    <w:p w14:paraId="576F24A1">
      <w:pPr>
        <w:spacing w:before="159" w:after="8"/>
        <w:ind w:left="2728"/>
        <w:outlineLvl w:val="1"/>
        <w:rPr>
          <w:rFonts w:ascii="仿宋" w:hAnsi="仿宋" w:eastAsia="仿宋" w:cs="仿宋"/>
          <w:b/>
          <w:color w:val="auto"/>
        </w:rPr>
      </w:pPr>
      <w:bookmarkStart w:id="231" w:name="_Toc11718"/>
      <w:bookmarkStart w:id="232" w:name="_Toc24946"/>
      <w:bookmarkStart w:id="233" w:name="_Toc6246"/>
      <w:bookmarkStart w:id="234" w:name="_Toc25925"/>
      <w:r>
        <w:rPr>
          <w:rFonts w:hint="eastAsia" w:ascii="仿宋" w:hAnsi="仿宋" w:eastAsia="仿宋" w:cs="仿宋"/>
          <w:b/>
          <w:color w:val="auto"/>
        </w:rPr>
        <w:t>2.项目全部人员组成表（格式）</w:t>
      </w:r>
      <w:bookmarkEnd w:id="231"/>
      <w:bookmarkEnd w:id="232"/>
      <w:bookmarkEnd w:id="233"/>
      <w:bookmarkEnd w:id="234"/>
    </w:p>
    <w:p w14:paraId="44C06973">
      <w:pPr>
        <w:spacing w:before="61"/>
        <w:ind w:left="494"/>
        <w:rPr>
          <w:rFonts w:ascii="仿宋" w:hAnsi="仿宋" w:eastAsia="仿宋" w:cs="仿宋"/>
          <w:b/>
          <w:color w:val="auto"/>
          <w:sz w:val="24"/>
          <w:szCs w:val="24"/>
        </w:rPr>
      </w:pPr>
      <w:r>
        <w:rPr>
          <w:rFonts w:hint="eastAsia" w:ascii="仿宋" w:hAnsi="仿宋" w:eastAsia="仿宋" w:cs="仿宋"/>
          <w:color w:val="auto"/>
          <w:sz w:val="24"/>
          <w:szCs w:val="24"/>
        </w:rPr>
        <w:t>采购项目分包名称：</w:t>
      </w:r>
    </w:p>
    <w:tbl>
      <w:tblPr>
        <w:tblStyle w:val="59"/>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678"/>
        <w:gridCol w:w="485"/>
        <w:gridCol w:w="726"/>
        <w:gridCol w:w="686"/>
        <w:gridCol w:w="992"/>
        <w:gridCol w:w="1057"/>
        <w:gridCol w:w="582"/>
        <w:gridCol w:w="1133"/>
        <w:gridCol w:w="756"/>
        <w:gridCol w:w="754"/>
        <w:gridCol w:w="704"/>
      </w:tblGrid>
      <w:tr w14:paraId="3D57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487" w:type="dxa"/>
            <w:vAlign w:val="center"/>
          </w:tcPr>
          <w:p w14:paraId="72F257F6">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序号</w:t>
            </w:r>
          </w:p>
        </w:tc>
        <w:tc>
          <w:tcPr>
            <w:tcW w:w="678" w:type="dxa"/>
            <w:vAlign w:val="center"/>
          </w:tcPr>
          <w:p w14:paraId="24A23A7C">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姓名</w:t>
            </w:r>
          </w:p>
        </w:tc>
        <w:tc>
          <w:tcPr>
            <w:tcW w:w="485" w:type="dxa"/>
            <w:vAlign w:val="center"/>
          </w:tcPr>
          <w:p w14:paraId="688B3230">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性别</w:t>
            </w:r>
          </w:p>
        </w:tc>
        <w:tc>
          <w:tcPr>
            <w:tcW w:w="726" w:type="dxa"/>
            <w:vAlign w:val="center"/>
          </w:tcPr>
          <w:p w14:paraId="5B42CA29">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年龄</w:t>
            </w:r>
          </w:p>
        </w:tc>
        <w:tc>
          <w:tcPr>
            <w:tcW w:w="686" w:type="dxa"/>
            <w:vAlign w:val="center"/>
          </w:tcPr>
          <w:p w14:paraId="259CEF18">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学历</w:t>
            </w:r>
          </w:p>
        </w:tc>
        <w:tc>
          <w:tcPr>
            <w:tcW w:w="992" w:type="dxa"/>
            <w:vAlign w:val="center"/>
          </w:tcPr>
          <w:p w14:paraId="0B804AEB">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从业年限</w:t>
            </w:r>
          </w:p>
        </w:tc>
        <w:tc>
          <w:tcPr>
            <w:tcW w:w="1057" w:type="dxa"/>
            <w:vAlign w:val="center"/>
          </w:tcPr>
          <w:p w14:paraId="58CD282C">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拟派本项目的职务</w:t>
            </w:r>
          </w:p>
        </w:tc>
        <w:tc>
          <w:tcPr>
            <w:tcW w:w="582" w:type="dxa"/>
            <w:vAlign w:val="center"/>
          </w:tcPr>
          <w:p w14:paraId="172C9D28">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职称</w:t>
            </w:r>
          </w:p>
        </w:tc>
        <w:tc>
          <w:tcPr>
            <w:tcW w:w="1133" w:type="dxa"/>
            <w:vAlign w:val="center"/>
          </w:tcPr>
          <w:p w14:paraId="59CBF0C1">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证书名称</w:t>
            </w:r>
          </w:p>
        </w:tc>
        <w:tc>
          <w:tcPr>
            <w:tcW w:w="756" w:type="dxa"/>
            <w:vAlign w:val="center"/>
          </w:tcPr>
          <w:p w14:paraId="29CF1E94">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证号</w:t>
            </w:r>
          </w:p>
        </w:tc>
        <w:tc>
          <w:tcPr>
            <w:tcW w:w="754" w:type="dxa"/>
            <w:vAlign w:val="center"/>
          </w:tcPr>
          <w:p w14:paraId="11A55389">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专业</w:t>
            </w:r>
          </w:p>
        </w:tc>
        <w:tc>
          <w:tcPr>
            <w:tcW w:w="704" w:type="dxa"/>
            <w:vAlign w:val="center"/>
          </w:tcPr>
          <w:p w14:paraId="21BCDB30">
            <w:pPr>
              <w:pStyle w:val="244"/>
              <w:spacing w:before="60"/>
              <w:jc w:val="center"/>
              <w:rPr>
                <w:rFonts w:ascii="仿宋" w:hAnsi="仿宋" w:eastAsia="仿宋" w:cs="仿宋"/>
                <w:color w:val="auto"/>
                <w:sz w:val="21"/>
                <w:szCs w:val="21"/>
              </w:rPr>
            </w:pPr>
            <w:r>
              <w:rPr>
                <w:rFonts w:hint="eastAsia" w:ascii="仿宋" w:hAnsi="仿宋" w:eastAsia="仿宋" w:cs="仿宋"/>
                <w:color w:val="auto"/>
                <w:sz w:val="21"/>
                <w:szCs w:val="21"/>
              </w:rPr>
              <w:t>备注</w:t>
            </w:r>
          </w:p>
        </w:tc>
      </w:tr>
      <w:tr w14:paraId="0612D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587CE820">
            <w:pPr>
              <w:pStyle w:val="244"/>
              <w:rPr>
                <w:rFonts w:ascii="仿宋" w:hAnsi="仿宋" w:eastAsia="仿宋" w:cs="仿宋"/>
                <w:color w:val="auto"/>
                <w:sz w:val="21"/>
                <w:szCs w:val="21"/>
              </w:rPr>
            </w:pPr>
          </w:p>
        </w:tc>
        <w:tc>
          <w:tcPr>
            <w:tcW w:w="678" w:type="dxa"/>
          </w:tcPr>
          <w:p w14:paraId="44B1F2BD">
            <w:pPr>
              <w:pStyle w:val="244"/>
              <w:rPr>
                <w:rFonts w:ascii="仿宋" w:hAnsi="仿宋" w:eastAsia="仿宋" w:cs="仿宋"/>
                <w:color w:val="auto"/>
                <w:sz w:val="21"/>
                <w:szCs w:val="21"/>
              </w:rPr>
            </w:pPr>
          </w:p>
        </w:tc>
        <w:tc>
          <w:tcPr>
            <w:tcW w:w="485" w:type="dxa"/>
          </w:tcPr>
          <w:p w14:paraId="5C512DDC">
            <w:pPr>
              <w:pStyle w:val="244"/>
              <w:rPr>
                <w:rFonts w:ascii="仿宋" w:hAnsi="仿宋" w:eastAsia="仿宋" w:cs="仿宋"/>
                <w:color w:val="auto"/>
                <w:sz w:val="21"/>
                <w:szCs w:val="21"/>
              </w:rPr>
            </w:pPr>
          </w:p>
        </w:tc>
        <w:tc>
          <w:tcPr>
            <w:tcW w:w="726" w:type="dxa"/>
          </w:tcPr>
          <w:p w14:paraId="62986D6B">
            <w:pPr>
              <w:pStyle w:val="244"/>
              <w:rPr>
                <w:rFonts w:ascii="仿宋" w:hAnsi="仿宋" w:eastAsia="仿宋" w:cs="仿宋"/>
                <w:color w:val="auto"/>
                <w:sz w:val="21"/>
                <w:szCs w:val="21"/>
              </w:rPr>
            </w:pPr>
          </w:p>
        </w:tc>
        <w:tc>
          <w:tcPr>
            <w:tcW w:w="686" w:type="dxa"/>
          </w:tcPr>
          <w:p w14:paraId="706E7B1D">
            <w:pPr>
              <w:pStyle w:val="244"/>
              <w:rPr>
                <w:rFonts w:ascii="仿宋" w:hAnsi="仿宋" w:eastAsia="仿宋" w:cs="仿宋"/>
                <w:color w:val="auto"/>
                <w:sz w:val="21"/>
                <w:szCs w:val="21"/>
              </w:rPr>
            </w:pPr>
          </w:p>
        </w:tc>
        <w:tc>
          <w:tcPr>
            <w:tcW w:w="992" w:type="dxa"/>
          </w:tcPr>
          <w:p w14:paraId="53B4EA44">
            <w:pPr>
              <w:pStyle w:val="244"/>
              <w:rPr>
                <w:rFonts w:ascii="仿宋" w:hAnsi="仿宋" w:eastAsia="仿宋" w:cs="仿宋"/>
                <w:color w:val="auto"/>
                <w:sz w:val="21"/>
                <w:szCs w:val="21"/>
              </w:rPr>
            </w:pPr>
          </w:p>
        </w:tc>
        <w:tc>
          <w:tcPr>
            <w:tcW w:w="1057" w:type="dxa"/>
          </w:tcPr>
          <w:p w14:paraId="5C6F2C6F">
            <w:pPr>
              <w:pStyle w:val="244"/>
              <w:rPr>
                <w:rFonts w:ascii="仿宋" w:hAnsi="仿宋" w:eastAsia="仿宋" w:cs="仿宋"/>
                <w:color w:val="auto"/>
                <w:sz w:val="21"/>
                <w:szCs w:val="21"/>
              </w:rPr>
            </w:pPr>
          </w:p>
        </w:tc>
        <w:tc>
          <w:tcPr>
            <w:tcW w:w="582" w:type="dxa"/>
          </w:tcPr>
          <w:p w14:paraId="60904E51">
            <w:pPr>
              <w:pStyle w:val="244"/>
              <w:rPr>
                <w:rFonts w:ascii="仿宋" w:hAnsi="仿宋" w:eastAsia="仿宋" w:cs="仿宋"/>
                <w:color w:val="auto"/>
                <w:sz w:val="21"/>
                <w:szCs w:val="21"/>
              </w:rPr>
            </w:pPr>
          </w:p>
        </w:tc>
        <w:tc>
          <w:tcPr>
            <w:tcW w:w="1133" w:type="dxa"/>
          </w:tcPr>
          <w:p w14:paraId="50CC6612">
            <w:pPr>
              <w:pStyle w:val="244"/>
              <w:rPr>
                <w:rFonts w:ascii="仿宋" w:hAnsi="仿宋" w:eastAsia="仿宋" w:cs="仿宋"/>
                <w:color w:val="auto"/>
                <w:sz w:val="21"/>
                <w:szCs w:val="21"/>
              </w:rPr>
            </w:pPr>
          </w:p>
        </w:tc>
        <w:tc>
          <w:tcPr>
            <w:tcW w:w="756" w:type="dxa"/>
          </w:tcPr>
          <w:p w14:paraId="39EFF9A5">
            <w:pPr>
              <w:pStyle w:val="244"/>
              <w:rPr>
                <w:rFonts w:ascii="仿宋" w:hAnsi="仿宋" w:eastAsia="仿宋" w:cs="仿宋"/>
                <w:color w:val="auto"/>
                <w:sz w:val="21"/>
                <w:szCs w:val="21"/>
              </w:rPr>
            </w:pPr>
          </w:p>
        </w:tc>
        <w:tc>
          <w:tcPr>
            <w:tcW w:w="754" w:type="dxa"/>
          </w:tcPr>
          <w:p w14:paraId="16C4FFE6">
            <w:pPr>
              <w:pStyle w:val="244"/>
              <w:rPr>
                <w:rFonts w:ascii="仿宋" w:hAnsi="仿宋" w:eastAsia="仿宋" w:cs="仿宋"/>
                <w:color w:val="auto"/>
                <w:sz w:val="21"/>
                <w:szCs w:val="21"/>
              </w:rPr>
            </w:pPr>
          </w:p>
        </w:tc>
        <w:tc>
          <w:tcPr>
            <w:tcW w:w="704" w:type="dxa"/>
          </w:tcPr>
          <w:p w14:paraId="6A3339F9">
            <w:pPr>
              <w:pStyle w:val="244"/>
              <w:rPr>
                <w:rFonts w:ascii="仿宋" w:hAnsi="仿宋" w:eastAsia="仿宋" w:cs="仿宋"/>
                <w:color w:val="auto"/>
                <w:sz w:val="21"/>
                <w:szCs w:val="21"/>
              </w:rPr>
            </w:pPr>
          </w:p>
        </w:tc>
      </w:tr>
      <w:tr w14:paraId="6FA42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487" w:type="dxa"/>
          </w:tcPr>
          <w:p w14:paraId="4972C760">
            <w:pPr>
              <w:pStyle w:val="244"/>
              <w:rPr>
                <w:rFonts w:ascii="仿宋" w:hAnsi="仿宋" w:eastAsia="仿宋" w:cs="仿宋"/>
                <w:color w:val="auto"/>
                <w:sz w:val="21"/>
                <w:szCs w:val="21"/>
              </w:rPr>
            </w:pPr>
          </w:p>
        </w:tc>
        <w:tc>
          <w:tcPr>
            <w:tcW w:w="678" w:type="dxa"/>
          </w:tcPr>
          <w:p w14:paraId="1837F6B0">
            <w:pPr>
              <w:pStyle w:val="244"/>
              <w:rPr>
                <w:rFonts w:ascii="仿宋" w:hAnsi="仿宋" w:eastAsia="仿宋" w:cs="仿宋"/>
                <w:color w:val="auto"/>
                <w:sz w:val="21"/>
                <w:szCs w:val="21"/>
              </w:rPr>
            </w:pPr>
          </w:p>
        </w:tc>
        <w:tc>
          <w:tcPr>
            <w:tcW w:w="485" w:type="dxa"/>
          </w:tcPr>
          <w:p w14:paraId="624E96DB">
            <w:pPr>
              <w:pStyle w:val="244"/>
              <w:rPr>
                <w:rFonts w:ascii="仿宋" w:hAnsi="仿宋" w:eastAsia="仿宋" w:cs="仿宋"/>
                <w:color w:val="auto"/>
                <w:sz w:val="21"/>
                <w:szCs w:val="21"/>
              </w:rPr>
            </w:pPr>
          </w:p>
        </w:tc>
        <w:tc>
          <w:tcPr>
            <w:tcW w:w="726" w:type="dxa"/>
          </w:tcPr>
          <w:p w14:paraId="7D70F172">
            <w:pPr>
              <w:pStyle w:val="244"/>
              <w:rPr>
                <w:rFonts w:ascii="仿宋" w:hAnsi="仿宋" w:eastAsia="仿宋" w:cs="仿宋"/>
                <w:color w:val="auto"/>
                <w:sz w:val="21"/>
                <w:szCs w:val="21"/>
              </w:rPr>
            </w:pPr>
          </w:p>
        </w:tc>
        <w:tc>
          <w:tcPr>
            <w:tcW w:w="686" w:type="dxa"/>
          </w:tcPr>
          <w:p w14:paraId="551CCA7B">
            <w:pPr>
              <w:pStyle w:val="244"/>
              <w:rPr>
                <w:rFonts w:ascii="仿宋" w:hAnsi="仿宋" w:eastAsia="仿宋" w:cs="仿宋"/>
                <w:color w:val="auto"/>
                <w:sz w:val="21"/>
                <w:szCs w:val="21"/>
              </w:rPr>
            </w:pPr>
          </w:p>
        </w:tc>
        <w:tc>
          <w:tcPr>
            <w:tcW w:w="992" w:type="dxa"/>
          </w:tcPr>
          <w:p w14:paraId="1C7AE889">
            <w:pPr>
              <w:pStyle w:val="244"/>
              <w:rPr>
                <w:rFonts w:ascii="仿宋" w:hAnsi="仿宋" w:eastAsia="仿宋" w:cs="仿宋"/>
                <w:color w:val="auto"/>
                <w:sz w:val="21"/>
                <w:szCs w:val="21"/>
              </w:rPr>
            </w:pPr>
          </w:p>
        </w:tc>
        <w:tc>
          <w:tcPr>
            <w:tcW w:w="1057" w:type="dxa"/>
          </w:tcPr>
          <w:p w14:paraId="34BBC194">
            <w:pPr>
              <w:pStyle w:val="244"/>
              <w:rPr>
                <w:rFonts w:ascii="仿宋" w:hAnsi="仿宋" w:eastAsia="仿宋" w:cs="仿宋"/>
                <w:color w:val="auto"/>
                <w:sz w:val="21"/>
                <w:szCs w:val="21"/>
              </w:rPr>
            </w:pPr>
          </w:p>
        </w:tc>
        <w:tc>
          <w:tcPr>
            <w:tcW w:w="582" w:type="dxa"/>
          </w:tcPr>
          <w:p w14:paraId="7A7DD422">
            <w:pPr>
              <w:pStyle w:val="244"/>
              <w:rPr>
                <w:rFonts w:ascii="仿宋" w:hAnsi="仿宋" w:eastAsia="仿宋" w:cs="仿宋"/>
                <w:color w:val="auto"/>
                <w:sz w:val="21"/>
                <w:szCs w:val="21"/>
              </w:rPr>
            </w:pPr>
          </w:p>
        </w:tc>
        <w:tc>
          <w:tcPr>
            <w:tcW w:w="1133" w:type="dxa"/>
          </w:tcPr>
          <w:p w14:paraId="0F74CCFE">
            <w:pPr>
              <w:pStyle w:val="244"/>
              <w:rPr>
                <w:rFonts w:ascii="仿宋" w:hAnsi="仿宋" w:eastAsia="仿宋" w:cs="仿宋"/>
                <w:color w:val="auto"/>
                <w:sz w:val="21"/>
                <w:szCs w:val="21"/>
              </w:rPr>
            </w:pPr>
          </w:p>
        </w:tc>
        <w:tc>
          <w:tcPr>
            <w:tcW w:w="756" w:type="dxa"/>
          </w:tcPr>
          <w:p w14:paraId="1BA07232">
            <w:pPr>
              <w:pStyle w:val="244"/>
              <w:rPr>
                <w:rFonts w:ascii="仿宋" w:hAnsi="仿宋" w:eastAsia="仿宋" w:cs="仿宋"/>
                <w:color w:val="auto"/>
                <w:sz w:val="21"/>
                <w:szCs w:val="21"/>
              </w:rPr>
            </w:pPr>
          </w:p>
        </w:tc>
        <w:tc>
          <w:tcPr>
            <w:tcW w:w="754" w:type="dxa"/>
          </w:tcPr>
          <w:p w14:paraId="62119D88">
            <w:pPr>
              <w:pStyle w:val="244"/>
              <w:rPr>
                <w:rFonts w:ascii="仿宋" w:hAnsi="仿宋" w:eastAsia="仿宋" w:cs="仿宋"/>
                <w:color w:val="auto"/>
                <w:sz w:val="21"/>
                <w:szCs w:val="21"/>
              </w:rPr>
            </w:pPr>
          </w:p>
        </w:tc>
        <w:tc>
          <w:tcPr>
            <w:tcW w:w="704" w:type="dxa"/>
          </w:tcPr>
          <w:p w14:paraId="2BE313D3">
            <w:pPr>
              <w:pStyle w:val="244"/>
              <w:rPr>
                <w:rFonts w:ascii="仿宋" w:hAnsi="仿宋" w:eastAsia="仿宋" w:cs="仿宋"/>
                <w:color w:val="auto"/>
                <w:sz w:val="21"/>
                <w:szCs w:val="21"/>
              </w:rPr>
            </w:pPr>
          </w:p>
        </w:tc>
      </w:tr>
      <w:tr w14:paraId="5755B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78AE136F">
            <w:pPr>
              <w:pStyle w:val="244"/>
              <w:rPr>
                <w:rFonts w:ascii="仿宋" w:hAnsi="仿宋" w:eastAsia="仿宋" w:cs="仿宋"/>
                <w:color w:val="auto"/>
                <w:sz w:val="21"/>
                <w:szCs w:val="21"/>
              </w:rPr>
            </w:pPr>
          </w:p>
        </w:tc>
        <w:tc>
          <w:tcPr>
            <w:tcW w:w="678" w:type="dxa"/>
          </w:tcPr>
          <w:p w14:paraId="564CBFA1">
            <w:pPr>
              <w:pStyle w:val="244"/>
              <w:rPr>
                <w:rFonts w:ascii="仿宋" w:hAnsi="仿宋" w:eastAsia="仿宋" w:cs="仿宋"/>
                <w:color w:val="auto"/>
                <w:sz w:val="21"/>
                <w:szCs w:val="21"/>
              </w:rPr>
            </w:pPr>
          </w:p>
        </w:tc>
        <w:tc>
          <w:tcPr>
            <w:tcW w:w="485" w:type="dxa"/>
          </w:tcPr>
          <w:p w14:paraId="653EBFB3">
            <w:pPr>
              <w:pStyle w:val="244"/>
              <w:rPr>
                <w:rFonts w:ascii="仿宋" w:hAnsi="仿宋" w:eastAsia="仿宋" w:cs="仿宋"/>
                <w:color w:val="auto"/>
                <w:sz w:val="21"/>
                <w:szCs w:val="21"/>
              </w:rPr>
            </w:pPr>
          </w:p>
        </w:tc>
        <w:tc>
          <w:tcPr>
            <w:tcW w:w="726" w:type="dxa"/>
          </w:tcPr>
          <w:p w14:paraId="0814DD3D">
            <w:pPr>
              <w:pStyle w:val="244"/>
              <w:rPr>
                <w:rFonts w:ascii="仿宋" w:hAnsi="仿宋" w:eastAsia="仿宋" w:cs="仿宋"/>
                <w:color w:val="auto"/>
                <w:sz w:val="21"/>
                <w:szCs w:val="21"/>
              </w:rPr>
            </w:pPr>
          </w:p>
        </w:tc>
        <w:tc>
          <w:tcPr>
            <w:tcW w:w="686" w:type="dxa"/>
          </w:tcPr>
          <w:p w14:paraId="48287B57">
            <w:pPr>
              <w:pStyle w:val="244"/>
              <w:rPr>
                <w:rFonts w:ascii="仿宋" w:hAnsi="仿宋" w:eastAsia="仿宋" w:cs="仿宋"/>
                <w:color w:val="auto"/>
                <w:sz w:val="21"/>
                <w:szCs w:val="21"/>
              </w:rPr>
            </w:pPr>
          </w:p>
        </w:tc>
        <w:tc>
          <w:tcPr>
            <w:tcW w:w="992" w:type="dxa"/>
          </w:tcPr>
          <w:p w14:paraId="1A2BDE67">
            <w:pPr>
              <w:pStyle w:val="244"/>
              <w:rPr>
                <w:rFonts w:ascii="仿宋" w:hAnsi="仿宋" w:eastAsia="仿宋" w:cs="仿宋"/>
                <w:color w:val="auto"/>
                <w:sz w:val="21"/>
                <w:szCs w:val="21"/>
              </w:rPr>
            </w:pPr>
          </w:p>
        </w:tc>
        <w:tc>
          <w:tcPr>
            <w:tcW w:w="1057" w:type="dxa"/>
          </w:tcPr>
          <w:p w14:paraId="75A33047">
            <w:pPr>
              <w:pStyle w:val="244"/>
              <w:rPr>
                <w:rFonts w:ascii="仿宋" w:hAnsi="仿宋" w:eastAsia="仿宋" w:cs="仿宋"/>
                <w:color w:val="auto"/>
                <w:sz w:val="21"/>
                <w:szCs w:val="21"/>
              </w:rPr>
            </w:pPr>
          </w:p>
        </w:tc>
        <w:tc>
          <w:tcPr>
            <w:tcW w:w="582" w:type="dxa"/>
          </w:tcPr>
          <w:p w14:paraId="55D36982">
            <w:pPr>
              <w:pStyle w:val="244"/>
              <w:rPr>
                <w:rFonts w:ascii="仿宋" w:hAnsi="仿宋" w:eastAsia="仿宋" w:cs="仿宋"/>
                <w:color w:val="auto"/>
                <w:sz w:val="21"/>
                <w:szCs w:val="21"/>
              </w:rPr>
            </w:pPr>
          </w:p>
        </w:tc>
        <w:tc>
          <w:tcPr>
            <w:tcW w:w="1133" w:type="dxa"/>
          </w:tcPr>
          <w:p w14:paraId="4576107B">
            <w:pPr>
              <w:pStyle w:val="244"/>
              <w:rPr>
                <w:rFonts w:ascii="仿宋" w:hAnsi="仿宋" w:eastAsia="仿宋" w:cs="仿宋"/>
                <w:color w:val="auto"/>
                <w:sz w:val="21"/>
                <w:szCs w:val="21"/>
              </w:rPr>
            </w:pPr>
          </w:p>
        </w:tc>
        <w:tc>
          <w:tcPr>
            <w:tcW w:w="756" w:type="dxa"/>
          </w:tcPr>
          <w:p w14:paraId="2448715D">
            <w:pPr>
              <w:pStyle w:val="244"/>
              <w:rPr>
                <w:rFonts w:ascii="仿宋" w:hAnsi="仿宋" w:eastAsia="仿宋" w:cs="仿宋"/>
                <w:color w:val="auto"/>
                <w:sz w:val="21"/>
                <w:szCs w:val="21"/>
              </w:rPr>
            </w:pPr>
          </w:p>
        </w:tc>
        <w:tc>
          <w:tcPr>
            <w:tcW w:w="754" w:type="dxa"/>
          </w:tcPr>
          <w:p w14:paraId="431E3B1C">
            <w:pPr>
              <w:pStyle w:val="244"/>
              <w:rPr>
                <w:rFonts w:ascii="仿宋" w:hAnsi="仿宋" w:eastAsia="仿宋" w:cs="仿宋"/>
                <w:color w:val="auto"/>
                <w:sz w:val="21"/>
                <w:szCs w:val="21"/>
              </w:rPr>
            </w:pPr>
          </w:p>
        </w:tc>
        <w:tc>
          <w:tcPr>
            <w:tcW w:w="704" w:type="dxa"/>
          </w:tcPr>
          <w:p w14:paraId="24C5DA3F">
            <w:pPr>
              <w:pStyle w:val="244"/>
              <w:rPr>
                <w:rFonts w:ascii="仿宋" w:hAnsi="仿宋" w:eastAsia="仿宋" w:cs="仿宋"/>
                <w:color w:val="auto"/>
                <w:sz w:val="21"/>
                <w:szCs w:val="21"/>
              </w:rPr>
            </w:pPr>
          </w:p>
        </w:tc>
      </w:tr>
      <w:tr w14:paraId="092F6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380C4EBB">
            <w:pPr>
              <w:pStyle w:val="244"/>
              <w:rPr>
                <w:rFonts w:ascii="仿宋" w:hAnsi="仿宋" w:eastAsia="仿宋" w:cs="仿宋"/>
                <w:color w:val="auto"/>
                <w:sz w:val="21"/>
                <w:szCs w:val="21"/>
              </w:rPr>
            </w:pPr>
          </w:p>
        </w:tc>
        <w:tc>
          <w:tcPr>
            <w:tcW w:w="678" w:type="dxa"/>
          </w:tcPr>
          <w:p w14:paraId="0D7E7DD6">
            <w:pPr>
              <w:pStyle w:val="244"/>
              <w:rPr>
                <w:rFonts w:ascii="仿宋" w:hAnsi="仿宋" w:eastAsia="仿宋" w:cs="仿宋"/>
                <w:color w:val="auto"/>
                <w:sz w:val="21"/>
                <w:szCs w:val="21"/>
              </w:rPr>
            </w:pPr>
          </w:p>
        </w:tc>
        <w:tc>
          <w:tcPr>
            <w:tcW w:w="485" w:type="dxa"/>
          </w:tcPr>
          <w:p w14:paraId="15CB113E">
            <w:pPr>
              <w:pStyle w:val="244"/>
              <w:rPr>
                <w:rFonts w:ascii="仿宋" w:hAnsi="仿宋" w:eastAsia="仿宋" w:cs="仿宋"/>
                <w:color w:val="auto"/>
                <w:sz w:val="21"/>
                <w:szCs w:val="21"/>
              </w:rPr>
            </w:pPr>
          </w:p>
        </w:tc>
        <w:tc>
          <w:tcPr>
            <w:tcW w:w="726" w:type="dxa"/>
          </w:tcPr>
          <w:p w14:paraId="60DBB233">
            <w:pPr>
              <w:pStyle w:val="244"/>
              <w:rPr>
                <w:rFonts w:ascii="仿宋" w:hAnsi="仿宋" w:eastAsia="仿宋" w:cs="仿宋"/>
                <w:color w:val="auto"/>
                <w:sz w:val="21"/>
                <w:szCs w:val="21"/>
              </w:rPr>
            </w:pPr>
          </w:p>
        </w:tc>
        <w:tc>
          <w:tcPr>
            <w:tcW w:w="686" w:type="dxa"/>
          </w:tcPr>
          <w:p w14:paraId="6887B0B0">
            <w:pPr>
              <w:pStyle w:val="244"/>
              <w:rPr>
                <w:rFonts w:ascii="仿宋" w:hAnsi="仿宋" w:eastAsia="仿宋" w:cs="仿宋"/>
                <w:color w:val="auto"/>
                <w:sz w:val="21"/>
                <w:szCs w:val="21"/>
              </w:rPr>
            </w:pPr>
          </w:p>
        </w:tc>
        <w:tc>
          <w:tcPr>
            <w:tcW w:w="992" w:type="dxa"/>
          </w:tcPr>
          <w:p w14:paraId="25D7BF8A">
            <w:pPr>
              <w:pStyle w:val="244"/>
              <w:rPr>
                <w:rFonts w:ascii="仿宋" w:hAnsi="仿宋" w:eastAsia="仿宋" w:cs="仿宋"/>
                <w:color w:val="auto"/>
                <w:sz w:val="21"/>
                <w:szCs w:val="21"/>
              </w:rPr>
            </w:pPr>
          </w:p>
        </w:tc>
        <w:tc>
          <w:tcPr>
            <w:tcW w:w="1057" w:type="dxa"/>
          </w:tcPr>
          <w:p w14:paraId="19A81F95">
            <w:pPr>
              <w:pStyle w:val="244"/>
              <w:rPr>
                <w:rFonts w:ascii="仿宋" w:hAnsi="仿宋" w:eastAsia="仿宋" w:cs="仿宋"/>
                <w:color w:val="auto"/>
                <w:sz w:val="21"/>
                <w:szCs w:val="21"/>
              </w:rPr>
            </w:pPr>
          </w:p>
        </w:tc>
        <w:tc>
          <w:tcPr>
            <w:tcW w:w="582" w:type="dxa"/>
          </w:tcPr>
          <w:p w14:paraId="1E0BE354">
            <w:pPr>
              <w:pStyle w:val="244"/>
              <w:rPr>
                <w:rFonts w:ascii="仿宋" w:hAnsi="仿宋" w:eastAsia="仿宋" w:cs="仿宋"/>
                <w:color w:val="auto"/>
                <w:sz w:val="21"/>
                <w:szCs w:val="21"/>
              </w:rPr>
            </w:pPr>
          </w:p>
        </w:tc>
        <w:tc>
          <w:tcPr>
            <w:tcW w:w="1133" w:type="dxa"/>
          </w:tcPr>
          <w:p w14:paraId="04017B0B">
            <w:pPr>
              <w:pStyle w:val="244"/>
              <w:rPr>
                <w:rFonts w:ascii="仿宋" w:hAnsi="仿宋" w:eastAsia="仿宋" w:cs="仿宋"/>
                <w:color w:val="auto"/>
                <w:sz w:val="21"/>
                <w:szCs w:val="21"/>
              </w:rPr>
            </w:pPr>
          </w:p>
        </w:tc>
        <w:tc>
          <w:tcPr>
            <w:tcW w:w="756" w:type="dxa"/>
          </w:tcPr>
          <w:p w14:paraId="11DF4CD9">
            <w:pPr>
              <w:pStyle w:val="244"/>
              <w:rPr>
                <w:rFonts w:ascii="仿宋" w:hAnsi="仿宋" w:eastAsia="仿宋" w:cs="仿宋"/>
                <w:color w:val="auto"/>
                <w:sz w:val="21"/>
                <w:szCs w:val="21"/>
              </w:rPr>
            </w:pPr>
          </w:p>
        </w:tc>
        <w:tc>
          <w:tcPr>
            <w:tcW w:w="754" w:type="dxa"/>
          </w:tcPr>
          <w:p w14:paraId="1492B51D">
            <w:pPr>
              <w:pStyle w:val="244"/>
              <w:rPr>
                <w:rFonts w:ascii="仿宋" w:hAnsi="仿宋" w:eastAsia="仿宋" w:cs="仿宋"/>
                <w:color w:val="auto"/>
                <w:sz w:val="21"/>
                <w:szCs w:val="21"/>
              </w:rPr>
            </w:pPr>
          </w:p>
        </w:tc>
        <w:tc>
          <w:tcPr>
            <w:tcW w:w="704" w:type="dxa"/>
          </w:tcPr>
          <w:p w14:paraId="07858FE1">
            <w:pPr>
              <w:pStyle w:val="244"/>
              <w:rPr>
                <w:rFonts w:ascii="仿宋" w:hAnsi="仿宋" w:eastAsia="仿宋" w:cs="仿宋"/>
                <w:color w:val="auto"/>
                <w:sz w:val="21"/>
                <w:szCs w:val="21"/>
              </w:rPr>
            </w:pPr>
          </w:p>
        </w:tc>
      </w:tr>
      <w:tr w14:paraId="47F7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7800019E">
            <w:pPr>
              <w:pStyle w:val="244"/>
              <w:rPr>
                <w:rFonts w:ascii="仿宋" w:hAnsi="仿宋" w:eastAsia="仿宋" w:cs="仿宋"/>
                <w:color w:val="auto"/>
                <w:sz w:val="21"/>
                <w:szCs w:val="21"/>
              </w:rPr>
            </w:pPr>
          </w:p>
        </w:tc>
        <w:tc>
          <w:tcPr>
            <w:tcW w:w="678" w:type="dxa"/>
          </w:tcPr>
          <w:p w14:paraId="6C854706">
            <w:pPr>
              <w:pStyle w:val="244"/>
              <w:rPr>
                <w:rFonts w:ascii="仿宋" w:hAnsi="仿宋" w:eastAsia="仿宋" w:cs="仿宋"/>
                <w:color w:val="auto"/>
                <w:sz w:val="21"/>
                <w:szCs w:val="21"/>
              </w:rPr>
            </w:pPr>
          </w:p>
        </w:tc>
        <w:tc>
          <w:tcPr>
            <w:tcW w:w="485" w:type="dxa"/>
          </w:tcPr>
          <w:p w14:paraId="1FD5C2FC">
            <w:pPr>
              <w:pStyle w:val="244"/>
              <w:rPr>
                <w:rFonts w:ascii="仿宋" w:hAnsi="仿宋" w:eastAsia="仿宋" w:cs="仿宋"/>
                <w:color w:val="auto"/>
                <w:sz w:val="21"/>
                <w:szCs w:val="21"/>
              </w:rPr>
            </w:pPr>
          </w:p>
        </w:tc>
        <w:tc>
          <w:tcPr>
            <w:tcW w:w="726" w:type="dxa"/>
          </w:tcPr>
          <w:p w14:paraId="1912C5AE">
            <w:pPr>
              <w:pStyle w:val="244"/>
              <w:rPr>
                <w:rFonts w:ascii="仿宋" w:hAnsi="仿宋" w:eastAsia="仿宋" w:cs="仿宋"/>
                <w:color w:val="auto"/>
                <w:sz w:val="21"/>
                <w:szCs w:val="21"/>
              </w:rPr>
            </w:pPr>
          </w:p>
        </w:tc>
        <w:tc>
          <w:tcPr>
            <w:tcW w:w="686" w:type="dxa"/>
          </w:tcPr>
          <w:p w14:paraId="3CB0A2CA">
            <w:pPr>
              <w:pStyle w:val="244"/>
              <w:rPr>
                <w:rFonts w:ascii="仿宋" w:hAnsi="仿宋" w:eastAsia="仿宋" w:cs="仿宋"/>
                <w:color w:val="auto"/>
                <w:sz w:val="21"/>
                <w:szCs w:val="21"/>
              </w:rPr>
            </w:pPr>
          </w:p>
        </w:tc>
        <w:tc>
          <w:tcPr>
            <w:tcW w:w="992" w:type="dxa"/>
          </w:tcPr>
          <w:p w14:paraId="56FDB8EC">
            <w:pPr>
              <w:pStyle w:val="244"/>
              <w:rPr>
                <w:rFonts w:ascii="仿宋" w:hAnsi="仿宋" w:eastAsia="仿宋" w:cs="仿宋"/>
                <w:color w:val="auto"/>
                <w:sz w:val="21"/>
                <w:szCs w:val="21"/>
              </w:rPr>
            </w:pPr>
          </w:p>
        </w:tc>
        <w:tc>
          <w:tcPr>
            <w:tcW w:w="1057" w:type="dxa"/>
          </w:tcPr>
          <w:p w14:paraId="12E51B2A">
            <w:pPr>
              <w:pStyle w:val="244"/>
              <w:rPr>
                <w:rFonts w:ascii="仿宋" w:hAnsi="仿宋" w:eastAsia="仿宋" w:cs="仿宋"/>
                <w:color w:val="auto"/>
                <w:sz w:val="21"/>
                <w:szCs w:val="21"/>
              </w:rPr>
            </w:pPr>
          </w:p>
        </w:tc>
        <w:tc>
          <w:tcPr>
            <w:tcW w:w="582" w:type="dxa"/>
          </w:tcPr>
          <w:p w14:paraId="5CAE5F97">
            <w:pPr>
              <w:pStyle w:val="244"/>
              <w:rPr>
                <w:rFonts w:ascii="仿宋" w:hAnsi="仿宋" w:eastAsia="仿宋" w:cs="仿宋"/>
                <w:color w:val="auto"/>
                <w:sz w:val="21"/>
                <w:szCs w:val="21"/>
              </w:rPr>
            </w:pPr>
          </w:p>
        </w:tc>
        <w:tc>
          <w:tcPr>
            <w:tcW w:w="1133" w:type="dxa"/>
          </w:tcPr>
          <w:p w14:paraId="0A6B19D8">
            <w:pPr>
              <w:pStyle w:val="244"/>
              <w:rPr>
                <w:rFonts w:ascii="仿宋" w:hAnsi="仿宋" w:eastAsia="仿宋" w:cs="仿宋"/>
                <w:color w:val="auto"/>
                <w:sz w:val="21"/>
                <w:szCs w:val="21"/>
              </w:rPr>
            </w:pPr>
          </w:p>
        </w:tc>
        <w:tc>
          <w:tcPr>
            <w:tcW w:w="756" w:type="dxa"/>
          </w:tcPr>
          <w:p w14:paraId="19779B6D">
            <w:pPr>
              <w:pStyle w:val="244"/>
              <w:rPr>
                <w:rFonts w:ascii="仿宋" w:hAnsi="仿宋" w:eastAsia="仿宋" w:cs="仿宋"/>
                <w:color w:val="auto"/>
                <w:sz w:val="21"/>
                <w:szCs w:val="21"/>
              </w:rPr>
            </w:pPr>
          </w:p>
        </w:tc>
        <w:tc>
          <w:tcPr>
            <w:tcW w:w="754" w:type="dxa"/>
          </w:tcPr>
          <w:p w14:paraId="620B14A1">
            <w:pPr>
              <w:pStyle w:val="244"/>
              <w:rPr>
                <w:rFonts w:ascii="仿宋" w:hAnsi="仿宋" w:eastAsia="仿宋" w:cs="仿宋"/>
                <w:color w:val="auto"/>
                <w:sz w:val="21"/>
                <w:szCs w:val="21"/>
              </w:rPr>
            </w:pPr>
          </w:p>
        </w:tc>
        <w:tc>
          <w:tcPr>
            <w:tcW w:w="704" w:type="dxa"/>
          </w:tcPr>
          <w:p w14:paraId="41D4F578">
            <w:pPr>
              <w:pStyle w:val="244"/>
              <w:rPr>
                <w:rFonts w:ascii="仿宋" w:hAnsi="仿宋" w:eastAsia="仿宋" w:cs="仿宋"/>
                <w:color w:val="auto"/>
                <w:sz w:val="21"/>
                <w:szCs w:val="21"/>
              </w:rPr>
            </w:pPr>
          </w:p>
        </w:tc>
      </w:tr>
      <w:tr w14:paraId="2A187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03B028CB">
            <w:pPr>
              <w:pStyle w:val="244"/>
              <w:rPr>
                <w:rFonts w:ascii="仿宋" w:hAnsi="仿宋" w:eastAsia="仿宋" w:cs="仿宋"/>
                <w:color w:val="auto"/>
                <w:sz w:val="21"/>
                <w:szCs w:val="21"/>
              </w:rPr>
            </w:pPr>
          </w:p>
        </w:tc>
        <w:tc>
          <w:tcPr>
            <w:tcW w:w="678" w:type="dxa"/>
          </w:tcPr>
          <w:p w14:paraId="108EF68B">
            <w:pPr>
              <w:pStyle w:val="244"/>
              <w:rPr>
                <w:rFonts w:ascii="仿宋" w:hAnsi="仿宋" w:eastAsia="仿宋" w:cs="仿宋"/>
                <w:color w:val="auto"/>
                <w:sz w:val="21"/>
                <w:szCs w:val="21"/>
              </w:rPr>
            </w:pPr>
          </w:p>
        </w:tc>
        <w:tc>
          <w:tcPr>
            <w:tcW w:w="485" w:type="dxa"/>
          </w:tcPr>
          <w:p w14:paraId="322B4827">
            <w:pPr>
              <w:pStyle w:val="244"/>
              <w:rPr>
                <w:rFonts w:ascii="仿宋" w:hAnsi="仿宋" w:eastAsia="仿宋" w:cs="仿宋"/>
                <w:color w:val="auto"/>
                <w:sz w:val="21"/>
                <w:szCs w:val="21"/>
              </w:rPr>
            </w:pPr>
          </w:p>
        </w:tc>
        <w:tc>
          <w:tcPr>
            <w:tcW w:w="726" w:type="dxa"/>
          </w:tcPr>
          <w:p w14:paraId="235F6170">
            <w:pPr>
              <w:pStyle w:val="244"/>
              <w:rPr>
                <w:rFonts w:ascii="仿宋" w:hAnsi="仿宋" w:eastAsia="仿宋" w:cs="仿宋"/>
                <w:color w:val="auto"/>
                <w:sz w:val="21"/>
                <w:szCs w:val="21"/>
              </w:rPr>
            </w:pPr>
          </w:p>
        </w:tc>
        <w:tc>
          <w:tcPr>
            <w:tcW w:w="686" w:type="dxa"/>
          </w:tcPr>
          <w:p w14:paraId="49E16F74">
            <w:pPr>
              <w:pStyle w:val="244"/>
              <w:rPr>
                <w:rFonts w:ascii="仿宋" w:hAnsi="仿宋" w:eastAsia="仿宋" w:cs="仿宋"/>
                <w:color w:val="auto"/>
                <w:sz w:val="21"/>
                <w:szCs w:val="21"/>
              </w:rPr>
            </w:pPr>
          </w:p>
        </w:tc>
        <w:tc>
          <w:tcPr>
            <w:tcW w:w="992" w:type="dxa"/>
          </w:tcPr>
          <w:p w14:paraId="4F8A066C">
            <w:pPr>
              <w:pStyle w:val="244"/>
              <w:rPr>
                <w:rFonts w:ascii="仿宋" w:hAnsi="仿宋" w:eastAsia="仿宋" w:cs="仿宋"/>
                <w:color w:val="auto"/>
                <w:sz w:val="21"/>
                <w:szCs w:val="21"/>
              </w:rPr>
            </w:pPr>
          </w:p>
        </w:tc>
        <w:tc>
          <w:tcPr>
            <w:tcW w:w="1057" w:type="dxa"/>
          </w:tcPr>
          <w:p w14:paraId="48CF3900">
            <w:pPr>
              <w:pStyle w:val="244"/>
              <w:rPr>
                <w:rFonts w:ascii="仿宋" w:hAnsi="仿宋" w:eastAsia="仿宋" w:cs="仿宋"/>
                <w:color w:val="auto"/>
                <w:sz w:val="21"/>
                <w:szCs w:val="21"/>
              </w:rPr>
            </w:pPr>
          </w:p>
        </w:tc>
        <w:tc>
          <w:tcPr>
            <w:tcW w:w="582" w:type="dxa"/>
          </w:tcPr>
          <w:p w14:paraId="4FD39DA4">
            <w:pPr>
              <w:pStyle w:val="244"/>
              <w:rPr>
                <w:rFonts w:ascii="仿宋" w:hAnsi="仿宋" w:eastAsia="仿宋" w:cs="仿宋"/>
                <w:color w:val="auto"/>
                <w:sz w:val="21"/>
                <w:szCs w:val="21"/>
              </w:rPr>
            </w:pPr>
          </w:p>
        </w:tc>
        <w:tc>
          <w:tcPr>
            <w:tcW w:w="1133" w:type="dxa"/>
          </w:tcPr>
          <w:p w14:paraId="358EE5C9">
            <w:pPr>
              <w:pStyle w:val="244"/>
              <w:rPr>
                <w:rFonts w:ascii="仿宋" w:hAnsi="仿宋" w:eastAsia="仿宋" w:cs="仿宋"/>
                <w:color w:val="auto"/>
                <w:sz w:val="21"/>
                <w:szCs w:val="21"/>
              </w:rPr>
            </w:pPr>
          </w:p>
        </w:tc>
        <w:tc>
          <w:tcPr>
            <w:tcW w:w="756" w:type="dxa"/>
          </w:tcPr>
          <w:p w14:paraId="318ECC29">
            <w:pPr>
              <w:pStyle w:val="244"/>
              <w:rPr>
                <w:rFonts w:ascii="仿宋" w:hAnsi="仿宋" w:eastAsia="仿宋" w:cs="仿宋"/>
                <w:color w:val="auto"/>
                <w:sz w:val="21"/>
                <w:szCs w:val="21"/>
              </w:rPr>
            </w:pPr>
          </w:p>
        </w:tc>
        <w:tc>
          <w:tcPr>
            <w:tcW w:w="754" w:type="dxa"/>
          </w:tcPr>
          <w:p w14:paraId="00DB2CA5">
            <w:pPr>
              <w:pStyle w:val="244"/>
              <w:rPr>
                <w:rFonts w:ascii="仿宋" w:hAnsi="仿宋" w:eastAsia="仿宋" w:cs="仿宋"/>
                <w:color w:val="auto"/>
                <w:sz w:val="21"/>
                <w:szCs w:val="21"/>
              </w:rPr>
            </w:pPr>
          </w:p>
        </w:tc>
        <w:tc>
          <w:tcPr>
            <w:tcW w:w="704" w:type="dxa"/>
          </w:tcPr>
          <w:p w14:paraId="2A100ED3">
            <w:pPr>
              <w:pStyle w:val="244"/>
              <w:rPr>
                <w:rFonts w:ascii="仿宋" w:hAnsi="仿宋" w:eastAsia="仿宋" w:cs="仿宋"/>
                <w:color w:val="auto"/>
                <w:sz w:val="21"/>
                <w:szCs w:val="21"/>
              </w:rPr>
            </w:pPr>
          </w:p>
        </w:tc>
      </w:tr>
      <w:tr w14:paraId="320E0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6B44D818">
            <w:pPr>
              <w:pStyle w:val="244"/>
              <w:rPr>
                <w:rFonts w:ascii="仿宋" w:hAnsi="仿宋" w:eastAsia="仿宋" w:cs="仿宋"/>
                <w:color w:val="auto"/>
                <w:sz w:val="21"/>
                <w:szCs w:val="21"/>
              </w:rPr>
            </w:pPr>
          </w:p>
        </w:tc>
        <w:tc>
          <w:tcPr>
            <w:tcW w:w="678" w:type="dxa"/>
          </w:tcPr>
          <w:p w14:paraId="7AE25E41">
            <w:pPr>
              <w:pStyle w:val="244"/>
              <w:rPr>
                <w:rFonts w:ascii="仿宋" w:hAnsi="仿宋" w:eastAsia="仿宋" w:cs="仿宋"/>
                <w:color w:val="auto"/>
                <w:sz w:val="21"/>
                <w:szCs w:val="21"/>
              </w:rPr>
            </w:pPr>
          </w:p>
        </w:tc>
        <w:tc>
          <w:tcPr>
            <w:tcW w:w="485" w:type="dxa"/>
          </w:tcPr>
          <w:p w14:paraId="35B06E32">
            <w:pPr>
              <w:pStyle w:val="244"/>
              <w:rPr>
                <w:rFonts w:ascii="仿宋" w:hAnsi="仿宋" w:eastAsia="仿宋" w:cs="仿宋"/>
                <w:color w:val="auto"/>
                <w:sz w:val="21"/>
                <w:szCs w:val="21"/>
              </w:rPr>
            </w:pPr>
          </w:p>
        </w:tc>
        <w:tc>
          <w:tcPr>
            <w:tcW w:w="726" w:type="dxa"/>
          </w:tcPr>
          <w:p w14:paraId="5C23D62D">
            <w:pPr>
              <w:pStyle w:val="244"/>
              <w:rPr>
                <w:rFonts w:ascii="仿宋" w:hAnsi="仿宋" w:eastAsia="仿宋" w:cs="仿宋"/>
                <w:color w:val="auto"/>
                <w:sz w:val="21"/>
                <w:szCs w:val="21"/>
              </w:rPr>
            </w:pPr>
          </w:p>
        </w:tc>
        <w:tc>
          <w:tcPr>
            <w:tcW w:w="686" w:type="dxa"/>
          </w:tcPr>
          <w:p w14:paraId="63DDE545">
            <w:pPr>
              <w:pStyle w:val="244"/>
              <w:rPr>
                <w:rFonts w:ascii="仿宋" w:hAnsi="仿宋" w:eastAsia="仿宋" w:cs="仿宋"/>
                <w:color w:val="auto"/>
                <w:sz w:val="21"/>
                <w:szCs w:val="21"/>
              </w:rPr>
            </w:pPr>
          </w:p>
        </w:tc>
        <w:tc>
          <w:tcPr>
            <w:tcW w:w="992" w:type="dxa"/>
          </w:tcPr>
          <w:p w14:paraId="1A705903">
            <w:pPr>
              <w:pStyle w:val="244"/>
              <w:rPr>
                <w:rFonts w:ascii="仿宋" w:hAnsi="仿宋" w:eastAsia="仿宋" w:cs="仿宋"/>
                <w:color w:val="auto"/>
                <w:sz w:val="21"/>
                <w:szCs w:val="21"/>
              </w:rPr>
            </w:pPr>
          </w:p>
        </w:tc>
        <w:tc>
          <w:tcPr>
            <w:tcW w:w="1057" w:type="dxa"/>
          </w:tcPr>
          <w:p w14:paraId="1623F603">
            <w:pPr>
              <w:pStyle w:val="244"/>
              <w:rPr>
                <w:rFonts w:ascii="仿宋" w:hAnsi="仿宋" w:eastAsia="仿宋" w:cs="仿宋"/>
                <w:color w:val="auto"/>
                <w:sz w:val="21"/>
                <w:szCs w:val="21"/>
              </w:rPr>
            </w:pPr>
          </w:p>
        </w:tc>
        <w:tc>
          <w:tcPr>
            <w:tcW w:w="582" w:type="dxa"/>
          </w:tcPr>
          <w:p w14:paraId="60C63C6D">
            <w:pPr>
              <w:pStyle w:val="244"/>
              <w:rPr>
                <w:rFonts w:ascii="仿宋" w:hAnsi="仿宋" w:eastAsia="仿宋" w:cs="仿宋"/>
                <w:color w:val="auto"/>
                <w:sz w:val="21"/>
                <w:szCs w:val="21"/>
              </w:rPr>
            </w:pPr>
          </w:p>
        </w:tc>
        <w:tc>
          <w:tcPr>
            <w:tcW w:w="1133" w:type="dxa"/>
          </w:tcPr>
          <w:p w14:paraId="387A6497">
            <w:pPr>
              <w:pStyle w:val="244"/>
              <w:rPr>
                <w:rFonts w:ascii="仿宋" w:hAnsi="仿宋" w:eastAsia="仿宋" w:cs="仿宋"/>
                <w:color w:val="auto"/>
                <w:sz w:val="21"/>
                <w:szCs w:val="21"/>
              </w:rPr>
            </w:pPr>
          </w:p>
        </w:tc>
        <w:tc>
          <w:tcPr>
            <w:tcW w:w="756" w:type="dxa"/>
          </w:tcPr>
          <w:p w14:paraId="31EB42D1">
            <w:pPr>
              <w:pStyle w:val="244"/>
              <w:rPr>
                <w:rFonts w:ascii="仿宋" w:hAnsi="仿宋" w:eastAsia="仿宋" w:cs="仿宋"/>
                <w:color w:val="auto"/>
                <w:sz w:val="21"/>
                <w:szCs w:val="21"/>
              </w:rPr>
            </w:pPr>
          </w:p>
        </w:tc>
        <w:tc>
          <w:tcPr>
            <w:tcW w:w="754" w:type="dxa"/>
          </w:tcPr>
          <w:p w14:paraId="4C670C4E">
            <w:pPr>
              <w:pStyle w:val="244"/>
              <w:rPr>
                <w:rFonts w:ascii="仿宋" w:hAnsi="仿宋" w:eastAsia="仿宋" w:cs="仿宋"/>
                <w:color w:val="auto"/>
                <w:sz w:val="21"/>
                <w:szCs w:val="21"/>
              </w:rPr>
            </w:pPr>
          </w:p>
        </w:tc>
        <w:tc>
          <w:tcPr>
            <w:tcW w:w="704" w:type="dxa"/>
          </w:tcPr>
          <w:p w14:paraId="5E59C2D9">
            <w:pPr>
              <w:pStyle w:val="244"/>
              <w:rPr>
                <w:rFonts w:ascii="仿宋" w:hAnsi="仿宋" w:eastAsia="仿宋" w:cs="仿宋"/>
                <w:color w:val="auto"/>
                <w:sz w:val="21"/>
                <w:szCs w:val="21"/>
              </w:rPr>
            </w:pPr>
          </w:p>
        </w:tc>
      </w:tr>
      <w:tr w14:paraId="1E92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87" w:type="dxa"/>
          </w:tcPr>
          <w:p w14:paraId="72306FE8">
            <w:pPr>
              <w:pStyle w:val="244"/>
              <w:rPr>
                <w:rFonts w:ascii="仿宋" w:hAnsi="仿宋" w:eastAsia="仿宋" w:cs="仿宋"/>
                <w:color w:val="auto"/>
                <w:sz w:val="21"/>
                <w:szCs w:val="21"/>
              </w:rPr>
            </w:pPr>
          </w:p>
        </w:tc>
        <w:tc>
          <w:tcPr>
            <w:tcW w:w="678" w:type="dxa"/>
          </w:tcPr>
          <w:p w14:paraId="592230D0">
            <w:pPr>
              <w:pStyle w:val="244"/>
              <w:rPr>
                <w:rFonts w:ascii="仿宋" w:hAnsi="仿宋" w:eastAsia="仿宋" w:cs="仿宋"/>
                <w:color w:val="auto"/>
                <w:sz w:val="21"/>
                <w:szCs w:val="21"/>
              </w:rPr>
            </w:pPr>
          </w:p>
        </w:tc>
        <w:tc>
          <w:tcPr>
            <w:tcW w:w="485" w:type="dxa"/>
          </w:tcPr>
          <w:p w14:paraId="3584E49A">
            <w:pPr>
              <w:pStyle w:val="244"/>
              <w:rPr>
                <w:rFonts w:ascii="仿宋" w:hAnsi="仿宋" w:eastAsia="仿宋" w:cs="仿宋"/>
                <w:color w:val="auto"/>
                <w:sz w:val="21"/>
                <w:szCs w:val="21"/>
              </w:rPr>
            </w:pPr>
          </w:p>
        </w:tc>
        <w:tc>
          <w:tcPr>
            <w:tcW w:w="726" w:type="dxa"/>
          </w:tcPr>
          <w:p w14:paraId="35ACD525">
            <w:pPr>
              <w:pStyle w:val="244"/>
              <w:rPr>
                <w:rFonts w:ascii="仿宋" w:hAnsi="仿宋" w:eastAsia="仿宋" w:cs="仿宋"/>
                <w:color w:val="auto"/>
                <w:sz w:val="21"/>
                <w:szCs w:val="21"/>
              </w:rPr>
            </w:pPr>
          </w:p>
        </w:tc>
        <w:tc>
          <w:tcPr>
            <w:tcW w:w="686" w:type="dxa"/>
          </w:tcPr>
          <w:p w14:paraId="681AC153">
            <w:pPr>
              <w:pStyle w:val="244"/>
              <w:rPr>
                <w:rFonts w:ascii="仿宋" w:hAnsi="仿宋" w:eastAsia="仿宋" w:cs="仿宋"/>
                <w:color w:val="auto"/>
                <w:sz w:val="21"/>
                <w:szCs w:val="21"/>
              </w:rPr>
            </w:pPr>
          </w:p>
        </w:tc>
        <w:tc>
          <w:tcPr>
            <w:tcW w:w="992" w:type="dxa"/>
          </w:tcPr>
          <w:p w14:paraId="7C87E068">
            <w:pPr>
              <w:pStyle w:val="244"/>
              <w:rPr>
                <w:rFonts w:ascii="仿宋" w:hAnsi="仿宋" w:eastAsia="仿宋" w:cs="仿宋"/>
                <w:color w:val="auto"/>
                <w:sz w:val="21"/>
                <w:szCs w:val="21"/>
              </w:rPr>
            </w:pPr>
          </w:p>
        </w:tc>
        <w:tc>
          <w:tcPr>
            <w:tcW w:w="1057" w:type="dxa"/>
          </w:tcPr>
          <w:p w14:paraId="26CDBDDD">
            <w:pPr>
              <w:pStyle w:val="244"/>
              <w:rPr>
                <w:rFonts w:ascii="仿宋" w:hAnsi="仿宋" w:eastAsia="仿宋" w:cs="仿宋"/>
                <w:color w:val="auto"/>
                <w:sz w:val="21"/>
                <w:szCs w:val="21"/>
              </w:rPr>
            </w:pPr>
          </w:p>
        </w:tc>
        <w:tc>
          <w:tcPr>
            <w:tcW w:w="582" w:type="dxa"/>
          </w:tcPr>
          <w:p w14:paraId="3E1E8DA0">
            <w:pPr>
              <w:pStyle w:val="244"/>
              <w:rPr>
                <w:rFonts w:ascii="仿宋" w:hAnsi="仿宋" w:eastAsia="仿宋" w:cs="仿宋"/>
                <w:color w:val="auto"/>
                <w:sz w:val="21"/>
                <w:szCs w:val="21"/>
              </w:rPr>
            </w:pPr>
          </w:p>
        </w:tc>
        <w:tc>
          <w:tcPr>
            <w:tcW w:w="1133" w:type="dxa"/>
          </w:tcPr>
          <w:p w14:paraId="6B1DAC73">
            <w:pPr>
              <w:pStyle w:val="244"/>
              <w:rPr>
                <w:rFonts w:ascii="仿宋" w:hAnsi="仿宋" w:eastAsia="仿宋" w:cs="仿宋"/>
                <w:color w:val="auto"/>
                <w:sz w:val="21"/>
                <w:szCs w:val="21"/>
              </w:rPr>
            </w:pPr>
          </w:p>
        </w:tc>
        <w:tc>
          <w:tcPr>
            <w:tcW w:w="756" w:type="dxa"/>
          </w:tcPr>
          <w:p w14:paraId="785543BE">
            <w:pPr>
              <w:pStyle w:val="244"/>
              <w:rPr>
                <w:rFonts w:ascii="仿宋" w:hAnsi="仿宋" w:eastAsia="仿宋" w:cs="仿宋"/>
                <w:color w:val="auto"/>
                <w:sz w:val="21"/>
                <w:szCs w:val="21"/>
              </w:rPr>
            </w:pPr>
          </w:p>
        </w:tc>
        <w:tc>
          <w:tcPr>
            <w:tcW w:w="754" w:type="dxa"/>
          </w:tcPr>
          <w:p w14:paraId="201C11F9">
            <w:pPr>
              <w:pStyle w:val="244"/>
              <w:rPr>
                <w:rFonts w:ascii="仿宋" w:hAnsi="仿宋" w:eastAsia="仿宋" w:cs="仿宋"/>
                <w:color w:val="auto"/>
                <w:sz w:val="21"/>
                <w:szCs w:val="21"/>
              </w:rPr>
            </w:pPr>
          </w:p>
        </w:tc>
        <w:tc>
          <w:tcPr>
            <w:tcW w:w="704" w:type="dxa"/>
          </w:tcPr>
          <w:p w14:paraId="2E927419">
            <w:pPr>
              <w:pStyle w:val="244"/>
              <w:rPr>
                <w:rFonts w:ascii="仿宋" w:hAnsi="仿宋" w:eastAsia="仿宋" w:cs="仿宋"/>
                <w:color w:val="auto"/>
                <w:sz w:val="21"/>
                <w:szCs w:val="21"/>
              </w:rPr>
            </w:pPr>
          </w:p>
        </w:tc>
      </w:tr>
      <w:tr w14:paraId="1982D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1FB793A3">
            <w:pPr>
              <w:pStyle w:val="244"/>
              <w:rPr>
                <w:rFonts w:ascii="仿宋" w:hAnsi="仿宋" w:eastAsia="仿宋" w:cs="仿宋"/>
                <w:color w:val="auto"/>
                <w:sz w:val="21"/>
                <w:szCs w:val="21"/>
              </w:rPr>
            </w:pPr>
          </w:p>
        </w:tc>
        <w:tc>
          <w:tcPr>
            <w:tcW w:w="678" w:type="dxa"/>
          </w:tcPr>
          <w:p w14:paraId="735A486F">
            <w:pPr>
              <w:pStyle w:val="244"/>
              <w:rPr>
                <w:rFonts w:ascii="仿宋" w:hAnsi="仿宋" w:eastAsia="仿宋" w:cs="仿宋"/>
                <w:color w:val="auto"/>
                <w:sz w:val="21"/>
                <w:szCs w:val="21"/>
              </w:rPr>
            </w:pPr>
          </w:p>
        </w:tc>
        <w:tc>
          <w:tcPr>
            <w:tcW w:w="485" w:type="dxa"/>
          </w:tcPr>
          <w:p w14:paraId="46896889">
            <w:pPr>
              <w:pStyle w:val="244"/>
              <w:rPr>
                <w:rFonts w:ascii="仿宋" w:hAnsi="仿宋" w:eastAsia="仿宋" w:cs="仿宋"/>
                <w:color w:val="auto"/>
                <w:sz w:val="21"/>
                <w:szCs w:val="21"/>
              </w:rPr>
            </w:pPr>
          </w:p>
        </w:tc>
        <w:tc>
          <w:tcPr>
            <w:tcW w:w="726" w:type="dxa"/>
          </w:tcPr>
          <w:p w14:paraId="4E52C927">
            <w:pPr>
              <w:pStyle w:val="244"/>
              <w:rPr>
                <w:rFonts w:ascii="仿宋" w:hAnsi="仿宋" w:eastAsia="仿宋" w:cs="仿宋"/>
                <w:color w:val="auto"/>
                <w:sz w:val="21"/>
                <w:szCs w:val="21"/>
              </w:rPr>
            </w:pPr>
          </w:p>
        </w:tc>
        <w:tc>
          <w:tcPr>
            <w:tcW w:w="686" w:type="dxa"/>
          </w:tcPr>
          <w:p w14:paraId="7F9B8DE7">
            <w:pPr>
              <w:pStyle w:val="244"/>
              <w:rPr>
                <w:rFonts w:ascii="仿宋" w:hAnsi="仿宋" w:eastAsia="仿宋" w:cs="仿宋"/>
                <w:color w:val="auto"/>
                <w:sz w:val="21"/>
                <w:szCs w:val="21"/>
              </w:rPr>
            </w:pPr>
          </w:p>
        </w:tc>
        <w:tc>
          <w:tcPr>
            <w:tcW w:w="992" w:type="dxa"/>
          </w:tcPr>
          <w:p w14:paraId="22395F1D">
            <w:pPr>
              <w:pStyle w:val="244"/>
              <w:rPr>
                <w:rFonts w:ascii="仿宋" w:hAnsi="仿宋" w:eastAsia="仿宋" w:cs="仿宋"/>
                <w:color w:val="auto"/>
                <w:sz w:val="21"/>
                <w:szCs w:val="21"/>
              </w:rPr>
            </w:pPr>
          </w:p>
        </w:tc>
        <w:tc>
          <w:tcPr>
            <w:tcW w:w="1057" w:type="dxa"/>
          </w:tcPr>
          <w:p w14:paraId="3E176A2C">
            <w:pPr>
              <w:pStyle w:val="244"/>
              <w:rPr>
                <w:rFonts w:ascii="仿宋" w:hAnsi="仿宋" w:eastAsia="仿宋" w:cs="仿宋"/>
                <w:color w:val="auto"/>
                <w:sz w:val="21"/>
                <w:szCs w:val="21"/>
              </w:rPr>
            </w:pPr>
          </w:p>
        </w:tc>
        <w:tc>
          <w:tcPr>
            <w:tcW w:w="582" w:type="dxa"/>
          </w:tcPr>
          <w:p w14:paraId="7ED396B4">
            <w:pPr>
              <w:pStyle w:val="244"/>
              <w:rPr>
                <w:rFonts w:ascii="仿宋" w:hAnsi="仿宋" w:eastAsia="仿宋" w:cs="仿宋"/>
                <w:color w:val="auto"/>
                <w:sz w:val="21"/>
                <w:szCs w:val="21"/>
              </w:rPr>
            </w:pPr>
          </w:p>
        </w:tc>
        <w:tc>
          <w:tcPr>
            <w:tcW w:w="1133" w:type="dxa"/>
          </w:tcPr>
          <w:p w14:paraId="1250A480">
            <w:pPr>
              <w:pStyle w:val="244"/>
              <w:rPr>
                <w:rFonts w:ascii="仿宋" w:hAnsi="仿宋" w:eastAsia="仿宋" w:cs="仿宋"/>
                <w:color w:val="auto"/>
                <w:sz w:val="21"/>
                <w:szCs w:val="21"/>
              </w:rPr>
            </w:pPr>
          </w:p>
        </w:tc>
        <w:tc>
          <w:tcPr>
            <w:tcW w:w="756" w:type="dxa"/>
          </w:tcPr>
          <w:p w14:paraId="693CABEC">
            <w:pPr>
              <w:pStyle w:val="244"/>
              <w:rPr>
                <w:rFonts w:ascii="仿宋" w:hAnsi="仿宋" w:eastAsia="仿宋" w:cs="仿宋"/>
                <w:color w:val="auto"/>
                <w:sz w:val="21"/>
                <w:szCs w:val="21"/>
              </w:rPr>
            </w:pPr>
          </w:p>
        </w:tc>
        <w:tc>
          <w:tcPr>
            <w:tcW w:w="754" w:type="dxa"/>
          </w:tcPr>
          <w:p w14:paraId="5EE72A3E">
            <w:pPr>
              <w:pStyle w:val="244"/>
              <w:rPr>
                <w:rFonts w:ascii="仿宋" w:hAnsi="仿宋" w:eastAsia="仿宋" w:cs="仿宋"/>
                <w:color w:val="auto"/>
                <w:sz w:val="21"/>
                <w:szCs w:val="21"/>
              </w:rPr>
            </w:pPr>
          </w:p>
        </w:tc>
        <w:tc>
          <w:tcPr>
            <w:tcW w:w="704" w:type="dxa"/>
          </w:tcPr>
          <w:p w14:paraId="3E0483B0">
            <w:pPr>
              <w:pStyle w:val="244"/>
              <w:rPr>
                <w:rFonts w:ascii="仿宋" w:hAnsi="仿宋" w:eastAsia="仿宋" w:cs="仿宋"/>
                <w:color w:val="auto"/>
                <w:sz w:val="21"/>
                <w:szCs w:val="21"/>
              </w:rPr>
            </w:pPr>
          </w:p>
        </w:tc>
      </w:tr>
      <w:tr w14:paraId="2B94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3846E390">
            <w:pPr>
              <w:pStyle w:val="244"/>
              <w:rPr>
                <w:rFonts w:ascii="仿宋" w:hAnsi="仿宋" w:eastAsia="仿宋" w:cs="仿宋"/>
                <w:color w:val="auto"/>
                <w:sz w:val="21"/>
                <w:szCs w:val="21"/>
              </w:rPr>
            </w:pPr>
          </w:p>
        </w:tc>
        <w:tc>
          <w:tcPr>
            <w:tcW w:w="678" w:type="dxa"/>
          </w:tcPr>
          <w:p w14:paraId="7C751951">
            <w:pPr>
              <w:pStyle w:val="244"/>
              <w:rPr>
                <w:rFonts w:ascii="仿宋" w:hAnsi="仿宋" w:eastAsia="仿宋" w:cs="仿宋"/>
                <w:color w:val="auto"/>
                <w:sz w:val="21"/>
                <w:szCs w:val="21"/>
              </w:rPr>
            </w:pPr>
          </w:p>
        </w:tc>
        <w:tc>
          <w:tcPr>
            <w:tcW w:w="485" w:type="dxa"/>
          </w:tcPr>
          <w:p w14:paraId="29D779B8">
            <w:pPr>
              <w:pStyle w:val="244"/>
              <w:rPr>
                <w:rFonts w:ascii="仿宋" w:hAnsi="仿宋" w:eastAsia="仿宋" w:cs="仿宋"/>
                <w:color w:val="auto"/>
                <w:sz w:val="21"/>
                <w:szCs w:val="21"/>
              </w:rPr>
            </w:pPr>
          </w:p>
        </w:tc>
        <w:tc>
          <w:tcPr>
            <w:tcW w:w="726" w:type="dxa"/>
          </w:tcPr>
          <w:p w14:paraId="196E9F89">
            <w:pPr>
              <w:pStyle w:val="244"/>
              <w:rPr>
                <w:rFonts w:ascii="仿宋" w:hAnsi="仿宋" w:eastAsia="仿宋" w:cs="仿宋"/>
                <w:color w:val="auto"/>
                <w:sz w:val="21"/>
                <w:szCs w:val="21"/>
              </w:rPr>
            </w:pPr>
          </w:p>
        </w:tc>
        <w:tc>
          <w:tcPr>
            <w:tcW w:w="686" w:type="dxa"/>
          </w:tcPr>
          <w:p w14:paraId="2312BA9D">
            <w:pPr>
              <w:pStyle w:val="244"/>
              <w:rPr>
                <w:rFonts w:ascii="仿宋" w:hAnsi="仿宋" w:eastAsia="仿宋" w:cs="仿宋"/>
                <w:color w:val="auto"/>
                <w:sz w:val="21"/>
                <w:szCs w:val="21"/>
              </w:rPr>
            </w:pPr>
          </w:p>
        </w:tc>
        <w:tc>
          <w:tcPr>
            <w:tcW w:w="992" w:type="dxa"/>
          </w:tcPr>
          <w:p w14:paraId="67C1F47F">
            <w:pPr>
              <w:pStyle w:val="244"/>
              <w:rPr>
                <w:rFonts w:ascii="仿宋" w:hAnsi="仿宋" w:eastAsia="仿宋" w:cs="仿宋"/>
                <w:color w:val="auto"/>
                <w:sz w:val="21"/>
                <w:szCs w:val="21"/>
              </w:rPr>
            </w:pPr>
          </w:p>
        </w:tc>
        <w:tc>
          <w:tcPr>
            <w:tcW w:w="1057" w:type="dxa"/>
          </w:tcPr>
          <w:p w14:paraId="37A309E2">
            <w:pPr>
              <w:pStyle w:val="244"/>
              <w:rPr>
                <w:rFonts w:ascii="仿宋" w:hAnsi="仿宋" w:eastAsia="仿宋" w:cs="仿宋"/>
                <w:color w:val="auto"/>
                <w:sz w:val="21"/>
                <w:szCs w:val="21"/>
              </w:rPr>
            </w:pPr>
          </w:p>
        </w:tc>
        <w:tc>
          <w:tcPr>
            <w:tcW w:w="582" w:type="dxa"/>
          </w:tcPr>
          <w:p w14:paraId="4502D19E">
            <w:pPr>
              <w:pStyle w:val="244"/>
              <w:rPr>
                <w:rFonts w:ascii="仿宋" w:hAnsi="仿宋" w:eastAsia="仿宋" w:cs="仿宋"/>
                <w:color w:val="auto"/>
                <w:sz w:val="21"/>
                <w:szCs w:val="21"/>
              </w:rPr>
            </w:pPr>
          </w:p>
        </w:tc>
        <w:tc>
          <w:tcPr>
            <w:tcW w:w="1133" w:type="dxa"/>
          </w:tcPr>
          <w:p w14:paraId="5B470392">
            <w:pPr>
              <w:pStyle w:val="244"/>
              <w:rPr>
                <w:rFonts w:ascii="仿宋" w:hAnsi="仿宋" w:eastAsia="仿宋" w:cs="仿宋"/>
                <w:color w:val="auto"/>
                <w:sz w:val="21"/>
                <w:szCs w:val="21"/>
              </w:rPr>
            </w:pPr>
          </w:p>
        </w:tc>
        <w:tc>
          <w:tcPr>
            <w:tcW w:w="756" w:type="dxa"/>
          </w:tcPr>
          <w:p w14:paraId="11FF99AE">
            <w:pPr>
              <w:pStyle w:val="244"/>
              <w:rPr>
                <w:rFonts w:ascii="仿宋" w:hAnsi="仿宋" w:eastAsia="仿宋" w:cs="仿宋"/>
                <w:color w:val="auto"/>
                <w:sz w:val="21"/>
                <w:szCs w:val="21"/>
              </w:rPr>
            </w:pPr>
          </w:p>
        </w:tc>
        <w:tc>
          <w:tcPr>
            <w:tcW w:w="754" w:type="dxa"/>
          </w:tcPr>
          <w:p w14:paraId="1B7A348A">
            <w:pPr>
              <w:pStyle w:val="244"/>
              <w:rPr>
                <w:rFonts w:ascii="仿宋" w:hAnsi="仿宋" w:eastAsia="仿宋" w:cs="仿宋"/>
                <w:color w:val="auto"/>
                <w:sz w:val="21"/>
                <w:szCs w:val="21"/>
              </w:rPr>
            </w:pPr>
          </w:p>
        </w:tc>
        <w:tc>
          <w:tcPr>
            <w:tcW w:w="704" w:type="dxa"/>
          </w:tcPr>
          <w:p w14:paraId="68FBF27A">
            <w:pPr>
              <w:pStyle w:val="244"/>
              <w:rPr>
                <w:rFonts w:ascii="仿宋" w:hAnsi="仿宋" w:eastAsia="仿宋" w:cs="仿宋"/>
                <w:color w:val="auto"/>
                <w:sz w:val="21"/>
                <w:szCs w:val="21"/>
              </w:rPr>
            </w:pPr>
          </w:p>
        </w:tc>
      </w:tr>
      <w:tr w14:paraId="2E9F9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4F02CAA0">
            <w:pPr>
              <w:pStyle w:val="244"/>
              <w:rPr>
                <w:rFonts w:ascii="仿宋" w:hAnsi="仿宋" w:eastAsia="仿宋" w:cs="仿宋"/>
                <w:color w:val="auto"/>
                <w:sz w:val="21"/>
                <w:szCs w:val="21"/>
              </w:rPr>
            </w:pPr>
          </w:p>
        </w:tc>
        <w:tc>
          <w:tcPr>
            <w:tcW w:w="678" w:type="dxa"/>
          </w:tcPr>
          <w:p w14:paraId="0E51EF30">
            <w:pPr>
              <w:pStyle w:val="244"/>
              <w:rPr>
                <w:rFonts w:ascii="仿宋" w:hAnsi="仿宋" w:eastAsia="仿宋" w:cs="仿宋"/>
                <w:color w:val="auto"/>
                <w:sz w:val="21"/>
                <w:szCs w:val="21"/>
              </w:rPr>
            </w:pPr>
          </w:p>
        </w:tc>
        <w:tc>
          <w:tcPr>
            <w:tcW w:w="485" w:type="dxa"/>
          </w:tcPr>
          <w:p w14:paraId="538E4778">
            <w:pPr>
              <w:pStyle w:val="244"/>
              <w:rPr>
                <w:rFonts w:ascii="仿宋" w:hAnsi="仿宋" w:eastAsia="仿宋" w:cs="仿宋"/>
                <w:color w:val="auto"/>
                <w:sz w:val="21"/>
                <w:szCs w:val="21"/>
              </w:rPr>
            </w:pPr>
          </w:p>
        </w:tc>
        <w:tc>
          <w:tcPr>
            <w:tcW w:w="726" w:type="dxa"/>
          </w:tcPr>
          <w:p w14:paraId="49727627">
            <w:pPr>
              <w:pStyle w:val="244"/>
              <w:rPr>
                <w:rFonts w:ascii="仿宋" w:hAnsi="仿宋" w:eastAsia="仿宋" w:cs="仿宋"/>
                <w:color w:val="auto"/>
                <w:sz w:val="21"/>
                <w:szCs w:val="21"/>
              </w:rPr>
            </w:pPr>
          </w:p>
        </w:tc>
        <w:tc>
          <w:tcPr>
            <w:tcW w:w="686" w:type="dxa"/>
          </w:tcPr>
          <w:p w14:paraId="0E1C80DA">
            <w:pPr>
              <w:pStyle w:val="244"/>
              <w:rPr>
                <w:rFonts w:ascii="仿宋" w:hAnsi="仿宋" w:eastAsia="仿宋" w:cs="仿宋"/>
                <w:color w:val="auto"/>
                <w:sz w:val="21"/>
                <w:szCs w:val="21"/>
              </w:rPr>
            </w:pPr>
          </w:p>
        </w:tc>
        <w:tc>
          <w:tcPr>
            <w:tcW w:w="992" w:type="dxa"/>
          </w:tcPr>
          <w:p w14:paraId="3F8D75E6">
            <w:pPr>
              <w:pStyle w:val="244"/>
              <w:rPr>
                <w:rFonts w:ascii="仿宋" w:hAnsi="仿宋" w:eastAsia="仿宋" w:cs="仿宋"/>
                <w:color w:val="auto"/>
                <w:sz w:val="21"/>
                <w:szCs w:val="21"/>
              </w:rPr>
            </w:pPr>
          </w:p>
        </w:tc>
        <w:tc>
          <w:tcPr>
            <w:tcW w:w="1057" w:type="dxa"/>
          </w:tcPr>
          <w:p w14:paraId="6511AAEA">
            <w:pPr>
              <w:pStyle w:val="244"/>
              <w:rPr>
                <w:rFonts w:ascii="仿宋" w:hAnsi="仿宋" w:eastAsia="仿宋" w:cs="仿宋"/>
                <w:color w:val="auto"/>
                <w:sz w:val="21"/>
                <w:szCs w:val="21"/>
              </w:rPr>
            </w:pPr>
          </w:p>
        </w:tc>
        <w:tc>
          <w:tcPr>
            <w:tcW w:w="582" w:type="dxa"/>
          </w:tcPr>
          <w:p w14:paraId="45D550C5">
            <w:pPr>
              <w:pStyle w:val="244"/>
              <w:rPr>
                <w:rFonts w:ascii="仿宋" w:hAnsi="仿宋" w:eastAsia="仿宋" w:cs="仿宋"/>
                <w:color w:val="auto"/>
                <w:sz w:val="21"/>
                <w:szCs w:val="21"/>
              </w:rPr>
            </w:pPr>
          </w:p>
        </w:tc>
        <w:tc>
          <w:tcPr>
            <w:tcW w:w="1133" w:type="dxa"/>
          </w:tcPr>
          <w:p w14:paraId="3140B5CE">
            <w:pPr>
              <w:pStyle w:val="244"/>
              <w:rPr>
                <w:rFonts w:ascii="仿宋" w:hAnsi="仿宋" w:eastAsia="仿宋" w:cs="仿宋"/>
                <w:color w:val="auto"/>
                <w:sz w:val="21"/>
                <w:szCs w:val="21"/>
              </w:rPr>
            </w:pPr>
          </w:p>
        </w:tc>
        <w:tc>
          <w:tcPr>
            <w:tcW w:w="756" w:type="dxa"/>
          </w:tcPr>
          <w:p w14:paraId="6F3A607E">
            <w:pPr>
              <w:pStyle w:val="244"/>
              <w:rPr>
                <w:rFonts w:ascii="仿宋" w:hAnsi="仿宋" w:eastAsia="仿宋" w:cs="仿宋"/>
                <w:color w:val="auto"/>
                <w:sz w:val="21"/>
                <w:szCs w:val="21"/>
              </w:rPr>
            </w:pPr>
          </w:p>
        </w:tc>
        <w:tc>
          <w:tcPr>
            <w:tcW w:w="754" w:type="dxa"/>
          </w:tcPr>
          <w:p w14:paraId="65125455">
            <w:pPr>
              <w:pStyle w:val="244"/>
              <w:rPr>
                <w:rFonts w:ascii="仿宋" w:hAnsi="仿宋" w:eastAsia="仿宋" w:cs="仿宋"/>
                <w:color w:val="auto"/>
                <w:sz w:val="21"/>
                <w:szCs w:val="21"/>
              </w:rPr>
            </w:pPr>
          </w:p>
        </w:tc>
        <w:tc>
          <w:tcPr>
            <w:tcW w:w="704" w:type="dxa"/>
          </w:tcPr>
          <w:p w14:paraId="12DEF3F4">
            <w:pPr>
              <w:pStyle w:val="244"/>
              <w:rPr>
                <w:rFonts w:ascii="仿宋" w:hAnsi="仿宋" w:eastAsia="仿宋" w:cs="仿宋"/>
                <w:color w:val="auto"/>
                <w:sz w:val="21"/>
                <w:szCs w:val="21"/>
              </w:rPr>
            </w:pPr>
          </w:p>
        </w:tc>
      </w:tr>
      <w:tr w14:paraId="16950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4F152CB9">
            <w:pPr>
              <w:pStyle w:val="244"/>
              <w:rPr>
                <w:rFonts w:ascii="仿宋" w:hAnsi="仿宋" w:eastAsia="仿宋" w:cs="仿宋"/>
                <w:color w:val="auto"/>
                <w:sz w:val="21"/>
                <w:szCs w:val="21"/>
              </w:rPr>
            </w:pPr>
          </w:p>
        </w:tc>
        <w:tc>
          <w:tcPr>
            <w:tcW w:w="678" w:type="dxa"/>
          </w:tcPr>
          <w:p w14:paraId="2958C45B">
            <w:pPr>
              <w:pStyle w:val="244"/>
              <w:rPr>
                <w:rFonts w:ascii="仿宋" w:hAnsi="仿宋" w:eastAsia="仿宋" w:cs="仿宋"/>
                <w:color w:val="auto"/>
                <w:sz w:val="21"/>
                <w:szCs w:val="21"/>
              </w:rPr>
            </w:pPr>
          </w:p>
        </w:tc>
        <w:tc>
          <w:tcPr>
            <w:tcW w:w="485" w:type="dxa"/>
          </w:tcPr>
          <w:p w14:paraId="7D61C1ED">
            <w:pPr>
              <w:pStyle w:val="244"/>
              <w:rPr>
                <w:rFonts w:ascii="仿宋" w:hAnsi="仿宋" w:eastAsia="仿宋" w:cs="仿宋"/>
                <w:color w:val="auto"/>
                <w:sz w:val="21"/>
                <w:szCs w:val="21"/>
              </w:rPr>
            </w:pPr>
          </w:p>
        </w:tc>
        <w:tc>
          <w:tcPr>
            <w:tcW w:w="726" w:type="dxa"/>
          </w:tcPr>
          <w:p w14:paraId="23F0ED9B">
            <w:pPr>
              <w:pStyle w:val="244"/>
              <w:rPr>
                <w:rFonts w:ascii="仿宋" w:hAnsi="仿宋" w:eastAsia="仿宋" w:cs="仿宋"/>
                <w:color w:val="auto"/>
                <w:sz w:val="21"/>
                <w:szCs w:val="21"/>
              </w:rPr>
            </w:pPr>
          </w:p>
        </w:tc>
        <w:tc>
          <w:tcPr>
            <w:tcW w:w="686" w:type="dxa"/>
          </w:tcPr>
          <w:p w14:paraId="41E0A99D">
            <w:pPr>
              <w:pStyle w:val="244"/>
              <w:rPr>
                <w:rFonts w:ascii="仿宋" w:hAnsi="仿宋" w:eastAsia="仿宋" w:cs="仿宋"/>
                <w:color w:val="auto"/>
                <w:sz w:val="21"/>
                <w:szCs w:val="21"/>
              </w:rPr>
            </w:pPr>
          </w:p>
        </w:tc>
        <w:tc>
          <w:tcPr>
            <w:tcW w:w="992" w:type="dxa"/>
          </w:tcPr>
          <w:p w14:paraId="7ACB4441">
            <w:pPr>
              <w:pStyle w:val="244"/>
              <w:rPr>
                <w:rFonts w:ascii="仿宋" w:hAnsi="仿宋" w:eastAsia="仿宋" w:cs="仿宋"/>
                <w:color w:val="auto"/>
                <w:sz w:val="21"/>
                <w:szCs w:val="21"/>
              </w:rPr>
            </w:pPr>
          </w:p>
        </w:tc>
        <w:tc>
          <w:tcPr>
            <w:tcW w:w="1057" w:type="dxa"/>
          </w:tcPr>
          <w:p w14:paraId="4FA40EDF">
            <w:pPr>
              <w:pStyle w:val="244"/>
              <w:rPr>
                <w:rFonts w:ascii="仿宋" w:hAnsi="仿宋" w:eastAsia="仿宋" w:cs="仿宋"/>
                <w:color w:val="auto"/>
                <w:sz w:val="21"/>
                <w:szCs w:val="21"/>
              </w:rPr>
            </w:pPr>
          </w:p>
        </w:tc>
        <w:tc>
          <w:tcPr>
            <w:tcW w:w="582" w:type="dxa"/>
          </w:tcPr>
          <w:p w14:paraId="7A5099E5">
            <w:pPr>
              <w:pStyle w:val="244"/>
              <w:rPr>
                <w:rFonts w:ascii="仿宋" w:hAnsi="仿宋" w:eastAsia="仿宋" w:cs="仿宋"/>
                <w:color w:val="auto"/>
                <w:sz w:val="21"/>
                <w:szCs w:val="21"/>
              </w:rPr>
            </w:pPr>
          </w:p>
        </w:tc>
        <w:tc>
          <w:tcPr>
            <w:tcW w:w="1133" w:type="dxa"/>
          </w:tcPr>
          <w:p w14:paraId="4315BDFC">
            <w:pPr>
              <w:pStyle w:val="244"/>
              <w:rPr>
                <w:rFonts w:ascii="仿宋" w:hAnsi="仿宋" w:eastAsia="仿宋" w:cs="仿宋"/>
                <w:color w:val="auto"/>
                <w:sz w:val="21"/>
                <w:szCs w:val="21"/>
              </w:rPr>
            </w:pPr>
          </w:p>
        </w:tc>
        <w:tc>
          <w:tcPr>
            <w:tcW w:w="756" w:type="dxa"/>
          </w:tcPr>
          <w:p w14:paraId="496602A8">
            <w:pPr>
              <w:pStyle w:val="244"/>
              <w:rPr>
                <w:rFonts w:ascii="仿宋" w:hAnsi="仿宋" w:eastAsia="仿宋" w:cs="仿宋"/>
                <w:color w:val="auto"/>
                <w:sz w:val="21"/>
                <w:szCs w:val="21"/>
              </w:rPr>
            </w:pPr>
          </w:p>
        </w:tc>
        <w:tc>
          <w:tcPr>
            <w:tcW w:w="754" w:type="dxa"/>
          </w:tcPr>
          <w:p w14:paraId="570BA919">
            <w:pPr>
              <w:pStyle w:val="244"/>
              <w:rPr>
                <w:rFonts w:ascii="仿宋" w:hAnsi="仿宋" w:eastAsia="仿宋" w:cs="仿宋"/>
                <w:color w:val="auto"/>
                <w:sz w:val="21"/>
                <w:szCs w:val="21"/>
              </w:rPr>
            </w:pPr>
          </w:p>
        </w:tc>
        <w:tc>
          <w:tcPr>
            <w:tcW w:w="704" w:type="dxa"/>
          </w:tcPr>
          <w:p w14:paraId="2394A374">
            <w:pPr>
              <w:pStyle w:val="244"/>
              <w:rPr>
                <w:rFonts w:ascii="仿宋" w:hAnsi="仿宋" w:eastAsia="仿宋" w:cs="仿宋"/>
                <w:color w:val="auto"/>
                <w:sz w:val="21"/>
                <w:szCs w:val="21"/>
              </w:rPr>
            </w:pPr>
          </w:p>
        </w:tc>
      </w:tr>
      <w:tr w14:paraId="73CD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7D984962">
            <w:pPr>
              <w:pStyle w:val="244"/>
              <w:rPr>
                <w:rFonts w:ascii="仿宋" w:hAnsi="仿宋" w:eastAsia="仿宋" w:cs="仿宋"/>
                <w:color w:val="auto"/>
                <w:sz w:val="21"/>
                <w:szCs w:val="21"/>
              </w:rPr>
            </w:pPr>
          </w:p>
        </w:tc>
        <w:tc>
          <w:tcPr>
            <w:tcW w:w="678" w:type="dxa"/>
          </w:tcPr>
          <w:p w14:paraId="38BA3E6F">
            <w:pPr>
              <w:pStyle w:val="244"/>
              <w:rPr>
                <w:rFonts w:ascii="仿宋" w:hAnsi="仿宋" w:eastAsia="仿宋" w:cs="仿宋"/>
                <w:color w:val="auto"/>
                <w:sz w:val="21"/>
                <w:szCs w:val="21"/>
              </w:rPr>
            </w:pPr>
          </w:p>
        </w:tc>
        <w:tc>
          <w:tcPr>
            <w:tcW w:w="485" w:type="dxa"/>
          </w:tcPr>
          <w:p w14:paraId="2B68CDD0">
            <w:pPr>
              <w:pStyle w:val="244"/>
              <w:rPr>
                <w:rFonts w:ascii="仿宋" w:hAnsi="仿宋" w:eastAsia="仿宋" w:cs="仿宋"/>
                <w:color w:val="auto"/>
                <w:sz w:val="21"/>
                <w:szCs w:val="21"/>
              </w:rPr>
            </w:pPr>
          </w:p>
        </w:tc>
        <w:tc>
          <w:tcPr>
            <w:tcW w:w="726" w:type="dxa"/>
          </w:tcPr>
          <w:p w14:paraId="264257CA">
            <w:pPr>
              <w:pStyle w:val="244"/>
              <w:rPr>
                <w:rFonts w:ascii="仿宋" w:hAnsi="仿宋" w:eastAsia="仿宋" w:cs="仿宋"/>
                <w:color w:val="auto"/>
                <w:sz w:val="21"/>
                <w:szCs w:val="21"/>
              </w:rPr>
            </w:pPr>
          </w:p>
        </w:tc>
        <w:tc>
          <w:tcPr>
            <w:tcW w:w="686" w:type="dxa"/>
          </w:tcPr>
          <w:p w14:paraId="043AD2A1">
            <w:pPr>
              <w:pStyle w:val="244"/>
              <w:rPr>
                <w:rFonts w:ascii="仿宋" w:hAnsi="仿宋" w:eastAsia="仿宋" w:cs="仿宋"/>
                <w:color w:val="auto"/>
                <w:sz w:val="21"/>
                <w:szCs w:val="21"/>
              </w:rPr>
            </w:pPr>
          </w:p>
        </w:tc>
        <w:tc>
          <w:tcPr>
            <w:tcW w:w="992" w:type="dxa"/>
          </w:tcPr>
          <w:p w14:paraId="68383298">
            <w:pPr>
              <w:pStyle w:val="244"/>
              <w:rPr>
                <w:rFonts w:ascii="仿宋" w:hAnsi="仿宋" w:eastAsia="仿宋" w:cs="仿宋"/>
                <w:color w:val="auto"/>
                <w:sz w:val="21"/>
                <w:szCs w:val="21"/>
              </w:rPr>
            </w:pPr>
          </w:p>
        </w:tc>
        <w:tc>
          <w:tcPr>
            <w:tcW w:w="1057" w:type="dxa"/>
          </w:tcPr>
          <w:p w14:paraId="524F00F0">
            <w:pPr>
              <w:pStyle w:val="244"/>
              <w:rPr>
                <w:rFonts w:ascii="仿宋" w:hAnsi="仿宋" w:eastAsia="仿宋" w:cs="仿宋"/>
                <w:color w:val="auto"/>
                <w:sz w:val="21"/>
                <w:szCs w:val="21"/>
              </w:rPr>
            </w:pPr>
          </w:p>
        </w:tc>
        <w:tc>
          <w:tcPr>
            <w:tcW w:w="582" w:type="dxa"/>
          </w:tcPr>
          <w:p w14:paraId="41CB38D9">
            <w:pPr>
              <w:pStyle w:val="244"/>
              <w:rPr>
                <w:rFonts w:ascii="仿宋" w:hAnsi="仿宋" w:eastAsia="仿宋" w:cs="仿宋"/>
                <w:color w:val="auto"/>
                <w:sz w:val="21"/>
                <w:szCs w:val="21"/>
              </w:rPr>
            </w:pPr>
          </w:p>
        </w:tc>
        <w:tc>
          <w:tcPr>
            <w:tcW w:w="1133" w:type="dxa"/>
          </w:tcPr>
          <w:p w14:paraId="46F66957">
            <w:pPr>
              <w:pStyle w:val="244"/>
              <w:rPr>
                <w:rFonts w:ascii="仿宋" w:hAnsi="仿宋" w:eastAsia="仿宋" w:cs="仿宋"/>
                <w:color w:val="auto"/>
                <w:sz w:val="21"/>
                <w:szCs w:val="21"/>
              </w:rPr>
            </w:pPr>
          </w:p>
        </w:tc>
        <w:tc>
          <w:tcPr>
            <w:tcW w:w="756" w:type="dxa"/>
          </w:tcPr>
          <w:p w14:paraId="42C0C7E4">
            <w:pPr>
              <w:pStyle w:val="244"/>
              <w:rPr>
                <w:rFonts w:ascii="仿宋" w:hAnsi="仿宋" w:eastAsia="仿宋" w:cs="仿宋"/>
                <w:color w:val="auto"/>
                <w:sz w:val="21"/>
                <w:szCs w:val="21"/>
              </w:rPr>
            </w:pPr>
          </w:p>
        </w:tc>
        <w:tc>
          <w:tcPr>
            <w:tcW w:w="754" w:type="dxa"/>
          </w:tcPr>
          <w:p w14:paraId="07CFE8BD">
            <w:pPr>
              <w:pStyle w:val="244"/>
              <w:rPr>
                <w:rFonts w:ascii="仿宋" w:hAnsi="仿宋" w:eastAsia="仿宋" w:cs="仿宋"/>
                <w:color w:val="auto"/>
                <w:sz w:val="21"/>
                <w:szCs w:val="21"/>
              </w:rPr>
            </w:pPr>
          </w:p>
        </w:tc>
        <w:tc>
          <w:tcPr>
            <w:tcW w:w="704" w:type="dxa"/>
          </w:tcPr>
          <w:p w14:paraId="67E559CE">
            <w:pPr>
              <w:pStyle w:val="244"/>
              <w:rPr>
                <w:rFonts w:ascii="仿宋" w:hAnsi="仿宋" w:eastAsia="仿宋" w:cs="仿宋"/>
                <w:color w:val="auto"/>
                <w:sz w:val="21"/>
                <w:szCs w:val="21"/>
              </w:rPr>
            </w:pPr>
          </w:p>
        </w:tc>
      </w:tr>
      <w:tr w14:paraId="60A3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87" w:type="dxa"/>
          </w:tcPr>
          <w:p w14:paraId="11273F0F">
            <w:pPr>
              <w:pStyle w:val="244"/>
              <w:rPr>
                <w:rFonts w:ascii="仿宋" w:hAnsi="仿宋" w:eastAsia="仿宋" w:cs="仿宋"/>
                <w:color w:val="auto"/>
                <w:sz w:val="21"/>
                <w:szCs w:val="21"/>
              </w:rPr>
            </w:pPr>
          </w:p>
        </w:tc>
        <w:tc>
          <w:tcPr>
            <w:tcW w:w="678" w:type="dxa"/>
          </w:tcPr>
          <w:p w14:paraId="58AF0633">
            <w:pPr>
              <w:pStyle w:val="244"/>
              <w:rPr>
                <w:rFonts w:ascii="仿宋" w:hAnsi="仿宋" w:eastAsia="仿宋" w:cs="仿宋"/>
                <w:color w:val="auto"/>
                <w:sz w:val="21"/>
                <w:szCs w:val="21"/>
              </w:rPr>
            </w:pPr>
          </w:p>
        </w:tc>
        <w:tc>
          <w:tcPr>
            <w:tcW w:w="485" w:type="dxa"/>
          </w:tcPr>
          <w:p w14:paraId="2436292E">
            <w:pPr>
              <w:pStyle w:val="244"/>
              <w:rPr>
                <w:rFonts w:ascii="仿宋" w:hAnsi="仿宋" w:eastAsia="仿宋" w:cs="仿宋"/>
                <w:color w:val="auto"/>
                <w:sz w:val="21"/>
                <w:szCs w:val="21"/>
              </w:rPr>
            </w:pPr>
          </w:p>
        </w:tc>
        <w:tc>
          <w:tcPr>
            <w:tcW w:w="726" w:type="dxa"/>
          </w:tcPr>
          <w:p w14:paraId="22146F34">
            <w:pPr>
              <w:pStyle w:val="244"/>
              <w:rPr>
                <w:rFonts w:ascii="仿宋" w:hAnsi="仿宋" w:eastAsia="仿宋" w:cs="仿宋"/>
                <w:color w:val="auto"/>
                <w:sz w:val="21"/>
                <w:szCs w:val="21"/>
              </w:rPr>
            </w:pPr>
          </w:p>
        </w:tc>
        <w:tc>
          <w:tcPr>
            <w:tcW w:w="686" w:type="dxa"/>
          </w:tcPr>
          <w:p w14:paraId="763C9695">
            <w:pPr>
              <w:pStyle w:val="244"/>
              <w:rPr>
                <w:rFonts w:ascii="仿宋" w:hAnsi="仿宋" w:eastAsia="仿宋" w:cs="仿宋"/>
                <w:color w:val="auto"/>
                <w:sz w:val="21"/>
                <w:szCs w:val="21"/>
              </w:rPr>
            </w:pPr>
          </w:p>
        </w:tc>
        <w:tc>
          <w:tcPr>
            <w:tcW w:w="992" w:type="dxa"/>
          </w:tcPr>
          <w:p w14:paraId="01C96701">
            <w:pPr>
              <w:pStyle w:val="244"/>
              <w:rPr>
                <w:rFonts w:ascii="仿宋" w:hAnsi="仿宋" w:eastAsia="仿宋" w:cs="仿宋"/>
                <w:color w:val="auto"/>
                <w:sz w:val="21"/>
                <w:szCs w:val="21"/>
              </w:rPr>
            </w:pPr>
          </w:p>
        </w:tc>
        <w:tc>
          <w:tcPr>
            <w:tcW w:w="1057" w:type="dxa"/>
          </w:tcPr>
          <w:p w14:paraId="1A989DDC">
            <w:pPr>
              <w:pStyle w:val="244"/>
              <w:rPr>
                <w:rFonts w:ascii="仿宋" w:hAnsi="仿宋" w:eastAsia="仿宋" w:cs="仿宋"/>
                <w:color w:val="auto"/>
                <w:sz w:val="21"/>
                <w:szCs w:val="21"/>
              </w:rPr>
            </w:pPr>
          </w:p>
        </w:tc>
        <w:tc>
          <w:tcPr>
            <w:tcW w:w="582" w:type="dxa"/>
          </w:tcPr>
          <w:p w14:paraId="3ECD1417">
            <w:pPr>
              <w:pStyle w:val="244"/>
              <w:rPr>
                <w:rFonts w:ascii="仿宋" w:hAnsi="仿宋" w:eastAsia="仿宋" w:cs="仿宋"/>
                <w:color w:val="auto"/>
                <w:sz w:val="21"/>
                <w:szCs w:val="21"/>
              </w:rPr>
            </w:pPr>
          </w:p>
        </w:tc>
        <w:tc>
          <w:tcPr>
            <w:tcW w:w="1133" w:type="dxa"/>
          </w:tcPr>
          <w:p w14:paraId="543C45E2">
            <w:pPr>
              <w:pStyle w:val="244"/>
              <w:rPr>
                <w:rFonts w:ascii="仿宋" w:hAnsi="仿宋" w:eastAsia="仿宋" w:cs="仿宋"/>
                <w:color w:val="auto"/>
                <w:sz w:val="21"/>
                <w:szCs w:val="21"/>
              </w:rPr>
            </w:pPr>
          </w:p>
        </w:tc>
        <w:tc>
          <w:tcPr>
            <w:tcW w:w="756" w:type="dxa"/>
          </w:tcPr>
          <w:p w14:paraId="011BF821">
            <w:pPr>
              <w:pStyle w:val="244"/>
              <w:rPr>
                <w:rFonts w:ascii="仿宋" w:hAnsi="仿宋" w:eastAsia="仿宋" w:cs="仿宋"/>
                <w:color w:val="auto"/>
                <w:sz w:val="21"/>
                <w:szCs w:val="21"/>
              </w:rPr>
            </w:pPr>
          </w:p>
        </w:tc>
        <w:tc>
          <w:tcPr>
            <w:tcW w:w="754" w:type="dxa"/>
          </w:tcPr>
          <w:p w14:paraId="24DA3924">
            <w:pPr>
              <w:pStyle w:val="244"/>
              <w:rPr>
                <w:rFonts w:ascii="仿宋" w:hAnsi="仿宋" w:eastAsia="仿宋" w:cs="仿宋"/>
                <w:color w:val="auto"/>
                <w:sz w:val="21"/>
                <w:szCs w:val="21"/>
              </w:rPr>
            </w:pPr>
          </w:p>
        </w:tc>
        <w:tc>
          <w:tcPr>
            <w:tcW w:w="704" w:type="dxa"/>
          </w:tcPr>
          <w:p w14:paraId="110A772D">
            <w:pPr>
              <w:pStyle w:val="244"/>
              <w:rPr>
                <w:rFonts w:ascii="仿宋" w:hAnsi="仿宋" w:eastAsia="仿宋" w:cs="仿宋"/>
                <w:color w:val="auto"/>
                <w:sz w:val="21"/>
                <w:szCs w:val="21"/>
              </w:rPr>
            </w:pPr>
          </w:p>
        </w:tc>
      </w:tr>
      <w:tr w14:paraId="50E0A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487" w:type="dxa"/>
          </w:tcPr>
          <w:p w14:paraId="4DC44D79">
            <w:pPr>
              <w:pStyle w:val="244"/>
              <w:rPr>
                <w:rFonts w:ascii="仿宋" w:hAnsi="仿宋" w:eastAsia="仿宋" w:cs="仿宋"/>
                <w:color w:val="auto"/>
                <w:sz w:val="21"/>
                <w:szCs w:val="21"/>
              </w:rPr>
            </w:pPr>
          </w:p>
        </w:tc>
        <w:tc>
          <w:tcPr>
            <w:tcW w:w="678" w:type="dxa"/>
          </w:tcPr>
          <w:p w14:paraId="5F229597">
            <w:pPr>
              <w:pStyle w:val="244"/>
              <w:rPr>
                <w:rFonts w:ascii="仿宋" w:hAnsi="仿宋" w:eastAsia="仿宋" w:cs="仿宋"/>
                <w:color w:val="auto"/>
                <w:sz w:val="21"/>
                <w:szCs w:val="21"/>
              </w:rPr>
            </w:pPr>
          </w:p>
        </w:tc>
        <w:tc>
          <w:tcPr>
            <w:tcW w:w="485" w:type="dxa"/>
          </w:tcPr>
          <w:p w14:paraId="1DAFB349">
            <w:pPr>
              <w:pStyle w:val="244"/>
              <w:rPr>
                <w:rFonts w:ascii="仿宋" w:hAnsi="仿宋" w:eastAsia="仿宋" w:cs="仿宋"/>
                <w:color w:val="auto"/>
                <w:sz w:val="21"/>
                <w:szCs w:val="21"/>
              </w:rPr>
            </w:pPr>
          </w:p>
        </w:tc>
        <w:tc>
          <w:tcPr>
            <w:tcW w:w="726" w:type="dxa"/>
          </w:tcPr>
          <w:p w14:paraId="1C1C9E25">
            <w:pPr>
              <w:pStyle w:val="244"/>
              <w:rPr>
                <w:rFonts w:ascii="仿宋" w:hAnsi="仿宋" w:eastAsia="仿宋" w:cs="仿宋"/>
                <w:color w:val="auto"/>
                <w:sz w:val="21"/>
                <w:szCs w:val="21"/>
              </w:rPr>
            </w:pPr>
          </w:p>
        </w:tc>
        <w:tc>
          <w:tcPr>
            <w:tcW w:w="686" w:type="dxa"/>
          </w:tcPr>
          <w:p w14:paraId="5FB382F7">
            <w:pPr>
              <w:pStyle w:val="244"/>
              <w:rPr>
                <w:rFonts w:ascii="仿宋" w:hAnsi="仿宋" w:eastAsia="仿宋" w:cs="仿宋"/>
                <w:color w:val="auto"/>
                <w:sz w:val="21"/>
                <w:szCs w:val="21"/>
              </w:rPr>
            </w:pPr>
          </w:p>
        </w:tc>
        <w:tc>
          <w:tcPr>
            <w:tcW w:w="992" w:type="dxa"/>
          </w:tcPr>
          <w:p w14:paraId="6BCB8CBC">
            <w:pPr>
              <w:pStyle w:val="244"/>
              <w:rPr>
                <w:rFonts w:ascii="仿宋" w:hAnsi="仿宋" w:eastAsia="仿宋" w:cs="仿宋"/>
                <w:color w:val="auto"/>
                <w:sz w:val="21"/>
                <w:szCs w:val="21"/>
              </w:rPr>
            </w:pPr>
          </w:p>
        </w:tc>
        <w:tc>
          <w:tcPr>
            <w:tcW w:w="1057" w:type="dxa"/>
          </w:tcPr>
          <w:p w14:paraId="3B5B4058">
            <w:pPr>
              <w:pStyle w:val="244"/>
              <w:rPr>
                <w:rFonts w:ascii="仿宋" w:hAnsi="仿宋" w:eastAsia="仿宋" w:cs="仿宋"/>
                <w:color w:val="auto"/>
                <w:sz w:val="21"/>
                <w:szCs w:val="21"/>
              </w:rPr>
            </w:pPr>
          </w:p>
        </w:tc>
        <w:tc>
          <w:tcPr>
            <w:tcW w:w="582" w:type="dxa"/>
          </w:tcPr>
          <w:p w14:paraId="3C389A82">
            <w:pPr>
              <w:pStyle w:val="244"/>
              <w:rPr>
                <w:rFonts w:ascii="仿宋" w:hAnsi="仿宋" w:eastAsia="仿宋" w:cs="仿宋"/>
                <w:color w:val="auto"/>
                <w:sz w:val="21"/>
                <w:szCs w:val="21"/>
              </w:rPr>
            </w:pPr>
          </w:p>
        </w:tc>
        <w:tc>
          <w:tcPr>
            <w:tcW w:w="1133" w:type="dxa"/>
          </w:tcPr>
          <w:p w14:paraId="4B9DB703">
            <w:pPr>
              <w:pStyle w:val="244"/>
              <w:rPr>
                <w:rFonts w:ascii="仿宋" w:hAnsi="仿宋" w:eastAsia="仿宋" w:cs="仿宋"/>
                <w:color w:val="auto"/>
                <w:sz w:val="21"/>
                <w:szCs w:val="21"/>
              </w:rPr>
            </w:pPr>
          </w:p>
        </w:tc>
        <w:tc>
          <w:tcPr>
            <w:tcW w:w="756" w:type="dxa"/>
          </w:tcPr>
          <w:p w14:paraId="44083689">
            <w:pPr>
              <w:pStyle w:val="244"/>
              <w:rPr>
                <w:rFonts w:ascii="仿宋" w:hAnsi="仿宋" w:eastAsia="仿宋" w:cs="仿宋"/>
                <w:color w:val="auto"/>
                <w:sz w:val="21"/>
                <w:szCs w:val="21"/>
              </w:rPr>
            </w:pPr>
          </w:p>
        </w:tc>
        <w:tc>
          <w:tcPr>
            <w:tcW w:w="754" w:type="dxa"/>
          </w:tcPr>
          <w:p w14:paraId="019D499F">
            <w:pPr>
              <w:pStyle w:val="244"/>
              <w:rPr>
                <w:rFonts w:ascii="仿宋" w:hAnsi="仿宋" w:eastAsia="仿宋" w:cs="仿宋"/>
                <w:color w:val="auto"/>
                <w:sz w:val="21"/>
                <w:szCs w:val="21"/>
              </w:rPr>
            </w:pPr>
          </w:p>
        </w:tc>
        <w:tc>
          <w:tcPr>
            <w:tcW w:w="704" w:type="dxa"/>
          </w:tcPr>
          <w:p w14:paraId="6A496906">
            <w:pPr>
              <w:pStyle w:val="244"/>
              <w:rPr>
                <w:rFonts w:ascii="仿宋" w:hAnsi="仿宋" w:eastAsia="仿宋" w:cs="仿宋"/>
                <w:color w:val="auto"/>
                <w:sz w:val="21"/>
                <w:szCs w:val="21"/>
              </w:rPr>
            </w:pPr>
          </w:p>
        </w:tc>
      </w:tr>
    </w:tbl>
    <w:p w14:paraId="2066B905">
      <w:pPr>
        <w:spacing w:before="62"/>
        <w:ind w:left="998"/>
        <w:rPr>
          <w:rFonts w:ascii="仿宋" w:hAnsi="仿宋" w:eastAsia="仿宋" w:cs="仿宋"/>
          <w:color w:val="auto"/>
          <w:sz w:val="24"/>
          <w:szCs w:val="24"/>
        </w:rPr>
      </w:pPr>
    </w:p>
    <w:p w14:paraId="0FE0F959">
      <w:pPr>
        <w:spacing w:before="203"/>
        <w:ind w:left="998"/>
        <w:rPr>
          <w:rFonts w:ascii="仿宋" w:hAnsi="仿宋" w:eastAsia="仿宋" w:cs="仿宋"/>
          <w:color w:val="auto"/>
          <w:sz w:val="24"/>
          <w:szCs w:val="24"/>
        </w:rPr>
      </w:pPr>
      <w:r>
        <w:rPr>
          <w:rFonts w:hint="eastAsia" w:ascii="仿宋" w:hAnsi="仿宋" w:eastAsia="仿宋" w:cs="仿宋"/>
          <w:color w:val="auto"/>
          <w:sz w:val="24"/>
          <w:szCs w:val="24"/>
        </w:rPr>
        <w:t>法定代表人（单位负责人）或委托代理人（签字或盖章）：</w:t>
      </w:r>
    </w:p>
    <w:p w14:paraId="07E0EC2D">
      <w:pPr>
        <w:tabs>
          <w:tab w:val="left" w:pos="6545"/>
          <w:tab w:val="left" w:pos="7428"/>
          <w:tab w:val="left" w:pos="8312"/>
        </w:tabs>
        <w:spacing w:before="71"/>
        <w:ind w:left="5032"/>
        <w:rPr>
          <w:rFonts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pacing w:val="-27"/>
          <w:sz w:val="24"/>
          <w:szCs w:val="24"/>
        </w:rPr>
        <w:t>年</w:t>
      </w:r>
      <w:r>
        <w:rPr>
          <w:rFonts w:hint="eastAsia" w:ascii="仿宋" w:hAnsi="仿宋" w:eastAsia="仿宋" w:cs="仿宋"/>
          <w:color w:val="auto"/>
          <w:spacing w:val="-27"/>
          <w:sz w:val="24"/>
          <w:szCs w:val="24"/>
          <w:u w:val="single"/>
        </w:rPr>
        <w:tab/>
      </w:r>
      <w:r>
        <w:rPr>
          <w:rFonts w:hint="eastAsia" w:ascii="仿宋" w:hAnsi="仿宋" w:eastAsia="仿宋" w:cs="仿宋"/>
          <w:color w:val="auto"/>
          <w:spacing w:val="-29"/>
          <w:sz w:val="24"/>
          <w:szCs w:val="24"/>
        </w:rPr>
        <w:t>月</w:t>
      </w:r>
      <w:r>
        <w:rPr>
          <w:rFonts w:hint="eastAsia" w:ascii="仿宋" w:hAnsi="仿宋" w:eastAsia="仿宋" w:cs="仿宋"/>
          <w:color w:val="auto"/>
          <w:spacing w:val="-29"/>
          <w:sz w:val="24"/>
          <w:szCs w:val="24"/>
          <w:u w:val="single"/>
        </w:rPr>
        <w:tab/>
      </w:r>
      <w:r>
        <w:rPr>
          <w:rFonts w:hint="eastAsia" w:ascii="仿宋" w:hAnsi="仿宋" w:eastAsia="仿宋" w:cs="仿宋"/>
          <w:color w:val="auto"/>
          <w:sz w:val="24"/>
          <w:szCs w:val="24"/>
        </w:rPr>
        <w:t>日</w:t>
      </w:r>
    </w:p>
    <w:p w14:paraId="7A6B390A">
      <w:pPr>
        <w:rPr>
          <w:rFonts w:ascii="宋体" w:hAnsi="宋体" w:cs="宋体"/>
          <w:bCs/>
          <w:color w:val="auto"/>
          <w:sz w:val="24"/>
          <w:szCs w:val="24"/>
        </w:rPr>
      </w:pPr>
    </w:p>
    <w:p w14:paraId="5E8F2F80">
      <w:pPr>
        <w:rPr>
          <w:rFonts w:ascii="宋体" w:hAnsi="宋体" w:cs="宋体"/>
          <w:bCs/>
          <w:color w:val="auto"/>
          <w:sz w:val="24"/>
          <w:szCs w:val="24"/>
        </w:rPr>
      </w:pPr>
      <w:r>
        <w:rPr>
          <w:rFonts w:hint="eastAsia" w:ascii="宋体" w:hAnsi="宋体" w:cs="宋体"/>
          <w:bCs/>
          <w:color w:val="auto"/>
          <w:sz w:val="24"/>
          <w:szCs w:val="24"/>
        </w:rPr>
        <w:t>说明：</w:t>
      </w:r>
    </w:p>
    <w:p w14:paraId="19FE3DCE">
      <w:pPr>
        <w:rPr>
          <w:rFonts w:ascii="宋体" w:hAnsi="宋体" w:cs="宋体"/>
          <w:bCs/>
          <w:color w:val="auto"/>
          <w:sz w:val="24"/>
          <w:szCs w:val="24"/>
        </w:rPr>
      </w:pPr>
      <w:r>
        <w:rPr>
          <w:rFonts w:hint="eastAsia" w:ascii="宋体" w:hAnsi="宋体" w:cs="宋体"/>
          <w:bCs/>
          <w:color w:val="auto"/>
          <w:sz w:val="24"/>
          <w:szCs w:val="24"/>
        </w:rPr>
        <w:t>1.中标人达到开业条件后，须完整填报上表，并报采购人书面备案。上表人员包含但不限于项目</w:t>
      </w:r>
      <w:r>
        <w:rPr>
          <w:rFonts w:hint="eastAsia" w:ascii="宋体" w:hAnsi="宋体" w:cs="仿宋"/>
          <w:color w:val="auto"/>
          <w:sz w:val="24"/>
          <w:szCs w:val="24"/>
        </w:rPr>
        <w:t>负责人、厨师、厨工、管理人员、其他人员等在内的为本项目服务的所有档口工作人员及管理人员。</w:t>
      </w:r>
      <w:r>
        <w:rPr>
          <w:rFonts w:hint="eastAsia" w:ascii="宋体" w:hAnsi="宋体" w:cs="宋体"/>
          <w:bCs/>
          <w:color w:val="auto"/>
          <w:sz w:val="24"/>
          <w:szCs w:val="24"/>
        </w:rPr>
        <w:t>采购人定期或不定期对所有档口工作人员的聘用合同、缴纳社保的材料、上岗情况及工资流水进行查验。此表将作为查验的基础数据和依据。</w:t>
      </w:r>
    </w:p>
    <w:p w14:paraId="5B233DDD">
      <w:pPr>
        <w:snapToGrid w:val="0"/>
        <w:spacing w:line="440" w:lineRule="exact"/>
        <w:ind w:firstLine="480" w:firstLineChars="200"/>
        <w:rPr>
          <w:rFonts w:ascii="宋体" w:hAnsi="宋体"/>
          <w:b/>
          <w:color w:val="auto"/>
        </w:rPr>
      </w:pPr>
      <w:r>
        <w:rPr>
          <w:rFonts w:hint="eastAsia" w:ascii="宋体" w:hAnsi="宋体" w:cs="仿宋"/>
          <w:color w:val="auto"/>
          <w:sz w:val="24"/>
          <w:szCs w:val="24"/>
        </w:rPr>
        <w:t>2.中标人须依法用工，工资待遇和社会保险按国家规定执行；中标人不得拖欠员工工资和第三方货物等经营款项，自行负责妥善处理各类纠纷（含用工纠纷）和投诉，并自行承担由此造成的一切经济、安全责任和法律责任；中标人自行承担员工和经营范围内发生的人身财产安全、食品卫生、消防安全等事故造成的一切经济、行政和法律责任。</w:t>
      </w:r>
    </w:p>
    <w:p w14:paraId="727A0D9A">
      <w:pPr>
        <w:snapToGrid w:val="0"/>
        <w:spacing w:line="440" w:lineRule="exact"/>
        <w:ind w:firstLine="562" w:firstLineChars="200"/>
        <w:rPr>
          <w:rFonts w:ascii="宋体" w:hAnsi="宋体"/>
          <w:b/>
          <w:color w:val="auto"/>
        </w:rPr>
      </w:pPr>
      <w:r>
        <w:rPr>
          <w:rFonts w:hint="eastAsia" w:ascii="宋体" w:hAnsi="宋体"/>
          <w:b/>
          <w:color w:val="auto"/>
        </w:rPr>
        <w:t>3</w:t>
      </w:r>
      <w:r>
        <w:rPr>
          <w:rFonts w:ascii="宋体" w:hAnsi="宋体"/>
          <w:b/>
          <w:color w:val="auto"/>
        </w:rPr>
        <w:t>.</w:t>
      </w:r>
      <w:r>
        <w:rPr>
          <w:rFonts w:hint="eastAsia" w:ascii="宋体" w:hAnsi="宋体"/>
          <w:b/>
          <w:color w:val="auto"/>
        </w:rPr>
        <w:t>商务承诺</w:t>
      </w:r>
    </w:p>
    <w:p w14:paraId="1BB1F794">
      <w:pPr>
        <w:snapToGrid w:val="0"/>
        <w:spacing w:line="440" w:lineRule="exact"/>
        <w:ind w:firstLine="560" w:firstLineChars="200"/>
        <w:rPr>
          <w:rFonts w:ascii="宋体" w:hAnsi="宋体"/>
          <w:color w:val="auto"/>
        </w:rPr>
      </w:pPr>
    </w:p>
    <w:p w14:paraId="00BC0736">
      <w:pPr>
        <w:snapToGrid w:val="0"/>
        <w:spacing w:line="440" w:lineRule="exact"/>
        <w:ind w:firstLine="560" w:firstLineChars="200"/>
        <w:rPr>
          <w:rFonts w:ascii="宋体" w:hAnsi="宋体"/>
          <w:color w:val="auto"/>
        </w:rPr>
      </w:pPr>
    </w:p>
    <w:p w14:paraId="6678588E">
      <w:pPr>
        <w:snapToGrid w:val="0"/>
        <w:spacing w:line="440" w:lineRule="exact"/>
        <w:ind w:firstLine="560" w:firstLineChars="200"/>
        <w:rPr>
          <w:rFonts w:ascii="宋体" w:hAnsi="宋体"/>
          <w:color w:val="auto"/>
        </w:rPr>
      </w:pPr>
    </w:p>
    <w:p w14:paraId="58D3189B">
      <w:pPr>
        <w:snapToGrid w:val="0"/>
        <w:spacing w:line="440" w:lineRule="exact"/>
        <w:ind w:firstLine="560" w:firstLineChars="200"/>
        <w:rPr>
          <w:rFonts w:ascii="宋体" w:hAnsi="宋体"/>
          <w:color w:val="auto"/>
        </w:rPr>
      </w:pPr>
    </w:p>
    <w:p w14:paraId="2D210151">
      <w:pPr>
        <w:snapToGrid w:val="0"/>
        <w:spacing w:line="440" w:lineRule="exact"/>
        <w:ind w:firstLine="560" w:firstLineChars="200"/>
        <w:rPr>
          <w:rFonts w:ascii="宋体" w:hAnsi="宋体"/>
          <w:color w:val="auto"/>
        </w:rPr>
      </w:pPr>
    </w:p>
    <w:p w14:paraId="20B8C3E9">
      <w:pPr>
        <w:snapToGrid w:val="0"/>
        <w:spacing w:line="440" w:lineRule="exact"/>
        <w:ind w:firstLine="560" w:firstLineChars="200"/>
        <w:rPr>
          <w:rFonts w:ascii="宋体" w:hAnsi="宋体"/>
          <w:color w:val="auto"/>
        </w:rPr>
      </w:pPr>
    </w:p>
    <w:p w14:paraId="009AAAD9">
      <w:pPr>
        <w:snapToGrid w:val="0"/>
        <w:spacing w:line="440" w:lineRule="exact"/>
        <w:ind w:firstLine="560" w:firstLineChars="200"/>
        <w:rPr>
          <w:rFonts w:ascii="宋体" w:hAnsi="宋体"/>
          <w:color w:val="auto"/>
        </w:rPr>
      </w:pPr>
    </w:p>
    <w:p w14:paraId="3B85742D">
      <w:pPr>
        <w:snapToGrid w:val="0"/>
        <w:spacing w:line="440" w:lineRule="exact"/>
        <w:ind w:firstLine="560" w:firstLineChars="200"/>
        <w:rPr>
          <w:rFonts w:ascii="宋体" w:hAnsi="宋体"/>
          <w:color w:val="auto"/>
        </w:rPr>
      </w:pPr>
    </w:p>
    <w:p w14:paraId="1A262B93">
      <w:pPr>
        <w:snapToGrid w:val="0"/>
        <w:spacing w:line="440" w:lineRule="exact"/>
        <w:ind w:firstLine="560" w:firstLineChars="200"/>
        <w:rPr>
          <w:rFonts w:ascii="宋体" w:hAnsi="宋体"/>
          <w:color w:val="auto"/>
        </w:rPr>
      </w:pPr>
    </w:p>
    <w:p w14:paraId="25EA4C19">
      <w:pPr>
        <w:snapToGrid w:val="0"/>
        <w:spacing w:line="440" w:lineRule="exact"/>
        <w:ind w:firstLine="560" w:firstLineChars="200"/>
        <w:rPr>
          <w:rFonts w:ascii="宋体" w:hAnsi="宋体"/>
          <w:color w:val="auto"/>
        </w:rPr>
      </w:pPr>
    </w:p>
    <w:p w14:paraId="777A2467">
      <w:pPr>
        <w:snapToGrid w:val="0"/>
        <w:spacing w:line="440" w:lineRule="exact"/>
        <w:ind w:firstLine="560" w:firstLineChars="200"/>
        <w:rPr>
          <w:rFonts w:ascii="宋体" w:hAnsi="宋体"/>
          <w:color w:val="auto"/>
        </w:rPr>
      </w:pPr>
    </w:p>
    <w:p w14:paraId="11B0D9D2">
      <w:pPr>
        <w:snapToGrid w:val="0"/>
        <w:spacing w:line="440" w:lineRule="exact"/>
        <w:ind w:firstLine="560" w:firstLineChars="200"/>
        <w:rPr>
          <w:rFonts w:ascii="宋体" w:hAnsi="宋体"/>
          <w:color w:val="auto"/>
        </w:rPr>
      </w:pPr>
    </w:p>
    <w:p w14:paraId="0C6D1F4A">
      <w:pPr>
        <w:snapToGrid w:val="0"/>
        <w:spacing w:line="440" w:lineRule="exact"/>
        <w:ind w:firstLine="560" w:firstLineChars="200"/>
        <w:rPr>
          <w:rFonts w:ascii="宋体" w:hAnsi="宋体"/>
          <w:color w:val="auto"/>
        </w:rPr>
      </w:pPr>
    </w:p>
    <w:p w14:paraId="40830432">
      <w:pPr>
        <w:snapToGrid w:val="0"/>
        <w:spacing w:line="440" w:lineRule="exact"/>
        <w:ind w:firstLine="560" w:firstLineChars="200"/>
        <w:rPr>
          <w:rFonts w:ascii="宋体" w:hAnsi="宋体"/>
          <w:color w:val="auto"/>
        </w:rPr>
      </w:pPr>
    </w:p>
    <w:p w14:paraId="0CE15DBD">
      <w:pPr>
        <w:snapToGrid w:val="0"/>
        <w:spacing w:line="440" w:lineRule="exact"/>
        <w:ind w:firstLine="560" w:firstLineChars="200"/>
        <w:rPr>
          <w:rFonts w:ascii="宋体" w:hAnsi="宋体"/>
          <w:color w:val="auto"/>
        </w:rPr>
      </w:pPr>
    </w:p>
    <w:p w14:paraId="45CF8A51">
      <w:pPr>
        <w:snapToGrid w:val="0"/>
        <w:spacing w:line="440" w:lineRule="exact"/>
        <w:ind w:firstLine="560" w:firstLineChars="200"/>
        <w:rPr>
          <w:rFonts w:ascii="宋体" w:hAnsi="宋体"/>
          <w:color w:val="auto"/>
        </w:rPr>
      </w:pPr>
    </w:p>
    <w:p w14:paraId="1FF064C3">
      <w:pPr>
        <w:snapToGrid w:val="0"/>
        <w:spacing w:line="440" w:lineRule="exact"/>
        <w:ind w:firstLine="560" w:firstLineChars="200"/>
        <w:rPr>
          <w:rFonts w:ascii="宋体" w:hAnsi="宋体"/>
          <w:color w:val="auto"/>
        </w:rPr>
      </w:pPr>
    </w:p>
    <w:p w14:paraId="14479E16">
      <w:pPr>
        <w:snapToGrid w:val="0"/>
        <w:spacing w:line="440" w:lineRule="exact"/>
        <w:ind w:firstLine="560" w:firstLineChars="200"/>
        <w:rPr>
          <w:rFonts w:ascii="宋体" w:hAnsi="宋体"/>
          <w:color w:val="auto"/>
        </w:rPr>
      </w:pPr>
    </w:p>
    <w:p w14:paraId="17A43DD7">
      <w:pPr>
        <w:snapToGrid w:val="0"/>
        <w:spacing w:line="440" w:lineRule="exact"/>
        <w:ind w:firstLine="560" w:firstLineChars="200"/>
        <w:rPr>
          <w:rFonts w:ascii="宋体" w:hAnsi="宋体"/>
          <w:color w:val="auto"/>
        </w:rPr>
      </w:pPr>
    </w:p>
    <w:p w14:paraId="16D5D3B3">
      <w:pPr>
        <w:snapToGrid w:val="0"/>
        <w:spacing w:line="440" w:lineRule="exact"/>
        <w:ind w:firstLine="560" w:firstLineChars="200"/>
        <w:rPr>
          <w:rFonts w:ascii="宋体" w:hAnsi="宋体"/>
          <w:color w:val="auto"/>
        </w:rPr>
      </w:pPr>
    </w:p>
    <w:p w14:paraId="1A9B33E7">
      <w:pPr>
        <w:snapToGrid w:val="0"/>
        <w:spacing w:line="440" w:lineRule="exact"/>
        <w:ind w:firstLine="560" w:firstLineChars="200"/>
        <w:rPr>
          <w:rFonts w:ascii="宋体" w:hAnsi="宋体"/>
          <w:color w:val="auto"/>
        </w:rPr>
      </w:pPr>
    </w:p>
    <w:p w14:paraId="7776438C">
      <w:pPr>
        <w:snapToGrid w:val="0"/>
        <w:spacing w:line="440" w:lineRule="exact"/>
        <w:ind w:firstLine="560" w:firstLineChars="200"/>
        <w:rPr>
          <w:rFonts w:ascii="宋体" w:hAnsi="宋体"/>
          <w:color w:val="auto"/>
        </w:rPr>
      </w:pPr>
    </w:p>
    <w:p w14:paraId="7EDC9E1A">
      <w:pPr>
        <w:snapToGrid w:val="0"/>
        <w:spacing w:line="440" w:lineRule="exact"/>
        <w:ind w:firstLine="560" w:firstLineChars="200"/>
        <w:rPr>
          <w:rFonts w:ascii="宋体" w:hAnsi="宋体"/>
          <w:color w:val="auto"/>
        </w:rPr>
      </w:pPr>
    </w:p>
    <w:p w14:paraId="0F0BC8AF">
      <w:pPr>
        <w:snapToGrid w:val="0"/>
        <w:spacing w:line="440" w:lineRule="exact"/>
        <w:ind w:firstLine="560" w:firstLineChars="200"/>
        <w:rPr>
          <w:rFonts w:ascii="宋体" w:hAnsi="宋体"/>
          <w:color w:val="auto"/>
        </w:rPr>
      </w:pPr>
    </w:p>
    <w:p w14:paraId="76A034EB">
      <w:pPr>
        <w:snapToGrid w:val="0"/>
        <w:spacing w:line="440" w:lineRule="exact"/>
        <w:ind w:firstLine="560" w:firstLineChars="200"/>
        <w:rPr>
          <w:rFonts w:ascii="宋体" w:hAnsi="宋体"/>
          <w:color w:val="auto"/>
        </w:rPr>
      </w:pPr>
    </w:p>
    <w:p w14:paraId="142C90F1">
      <w:pPr>
        <w:snapToGrid w:val="0"/>
        <w:spacing w:line="440" w:lineRule="exact"/>
        <w:ind w:firstLine="560" w:firstLineChars="200"/>
        <w:rPr>
          <w:rFonts w:ascii="宋体" w:hAnsi="宋体"/>
          <w:color w:val="auto"/>
        </w:rPr>
      </w:pPr>
    </w:p>
    <w:p w14:paraId="17BECE0E">
      <w:pPr>
        <w:snapToGrid w:val="0"/>
        <w:spacing w:line="440" w:lineRule="exact"/>
        <w:ind w:firstLine="560" w:firstLineChars="200"/>
        <w:rPr>
          <w:rFonts w:ascii="宋体" w:hAnsi="宋体"/>
          <w:color w:val="auto"/>
        </w:rPr>
      </w:pPr>
    </w:p>
    <w:p w14:paraId="181BCE73">
      <w:pPr>
        <w:snapToGrid w:val="0"/>
        <w:spacing w:line="440" w:lineRule="exact"/>
        <w:ind w:firstLine="560" w:firstLineChars="200"/>
        <w:rPr>
          <w:rFonts w:ascii="宋体" w:hAnsi="宋体"/>
          <w:color w:val="auto"/>
        </w:rPr>
      </w:pPr>
    </w:p>
    <w:p w14:paraId="78A1E618">
      <w:pPr>
        <w:snapToGrid w:val="0"/>
        <w:spacing w:line="440" w:lineRule="exact"/>
        <w:ind w:firstLine="560" w:firstLineChars="200"/>
        <w:rPr>
          <w:rFonts w:ascii="宋体" w:hAnsi="宋体"/>
          <w:color w:val="auto"/>
        </w:rPr>
      </w:pPr>
    </w:p>
    <w:p w14:paraId="46596F2D">
      <w:pPr>
        <w:snapToGrid w:val="0"/>
        <w:spacing w:line="440" w:lineRule="exact"/>
        <w:ind w:firstLine="560" w:firstLineChars="200"/>
        <w:rPr>
          <w:rFonts w:ascii="宋体" w:hAnsi="宋体"/>
          <w:color w:val="auto"/>
        </w:rPr>
      </w:pPr>
    </w:p>
    <w:p w14:paraId="4C79EE70">
      <w:pPr>
        <w:snapToGrid w:val="0"/>
        <w:spacing w:line="440" w:lineRule="exact"/>
        <w:ind w:firstLine="562" w:firstLineChars="200"/>
        <w:rPr>
          <w:rFonts w:ascii="宋体" w:hAnsi="宋体"/>
          <w:b/>
          <w:color w:val="auto"/>
        </w:rPr>
      </w:pPr>
    </w:p>
    <w:p w14:paraId="6C942357">
      <w:pPr>
        <w:snapToGrid w:val="0"/>
        <w:spacing w:line="440" w:lineRule="exact"/>
        <w:ind w:firstLine="562" w:firstLineChars="200"/>
        <w:rPr>
          <w:rFonts w:ascii="宋体" w:hAnsi="宋体"/>
          <w:b/>
          <w:color w:val="auto"/>
        </w:rPr>
      </w:pPr>
      <w:r>
        <w:rPr>
          <w:rFonts w:hint="eastAsia" w:ascii="宋体" w:hAnsi="宋体"/>
          <w:b/>
          <w:color w:val="auto"/>
          <w:lang w:val="en-US" w:eastAsia="zh-CN"/>
        </w:rPr>
        <w:t>4.</w:t>
      </w:r>
      <w:r>
        <w:rPr>
          <w:rFonts w:hint="eastAsia" w:ascii="宋体" w:hAnsi="宋体"/>
          <w:b/>
          <w:color w:val="auto"/>
        </w:rPr>
        <w:t>商务部分</w:t>
      </w:r>
    </w:p>
    <w:p w14:paraId="3546F9AC">
      <w:pPr>
        <w:snapToGrid w:val="0"/>
        <w:spacing w:line="440" w:lineRule="exact"/>
        <w:ind w:firstLine="560" w:firstLineChars="200"/>
        <w:rPr>
          <w:rFonts w:ascii="宋体" w:hAnsi="宋体"/>
          <w:color w:val="auto"/>
        </w:rPr>
      </w:pPr>
      <w:r>
        <w:rPr>
          <w:rFonts w:hint="eastAsia" w:ascii="宋体" w:hAnsi="宋体"/>
          <w:color w:val="auto"/>
        </w:rPr>
        <w:t>按第三篇商务要求内容撰写，格式自定义。</w:t>
      </w:r>
    </w:p>
    <w:p w14:paraId="46DDD350">
      <w:pPr>
        <w:snapToGrid w:val="0"/>
        <w:spacing w:line="440" w:lineRule="exact"/>
        <w:ind w:firstLine="560" w:firstLineChars="200"/>
        <w:rPr>
          <w:rFonts w:ascii="宋体" w:hAnsi="宋体"/>
          <w:color w:val="auto"/>
        </w:rPr>
      </w:pPr>
    </w:p>
    <w:p w14:paraId="5A4BCA17">
      <w:pPr>
        <w:snapToGrid w:val="0"/>
        <w:spacing w:line="440" w:lineRule="exact"/>
        <w:ind w:firstLine="560" w:firstLineChars="200"/>
        <w:rPr>
          <w:rFonts w:ascii="宋体" w:hAnsi="宋体"/>
          <w:color w:val="auto"/>
        </w:rPr>
      </w:pPr>
    </w:p>
    <w:p w14:paraId="4A1A5D3A">
      <w:pPr>
        <w:snapToGrid w:val="0"/>
        <w:spacing w:line="440" w:lineRule="exact"/>
        <w:ind w:firstLine="560" w:firstLineChars="200"/>
        <w:rPr>
          <w:rFonts w:ascii="宋体" w:hAnsi="宋体"/>
          <w:color w:val="auto"/>
        </w:rPr>
      </w:pPr>
    </w:p>
    <w:p w14:paraId="23EF423B">
      <w:pPr>
        <w:snapToGrid w:val="0"/>
        <w:spacing w:line="440" w:lineRule="exact"/>
        <w:ind w:firstLine="560" w:firstLineChars="200"/>
        <w:rPr>
          <w:rFonts w:ascii="宋体" w:hAnsi="宋体"/>
          <w:color w:val="auto"/>
        </w:rPr>
      </w:pPr>
    </w:p>
    <w:p w14:paraId="072BC7FE">
      <w:pPr>
        <w:snapToGrid w:val="0"/>
        <w:spacing w:line="440" w:lineRule="exact"/>
        <w:ind w:firstLine="560" w:firstLineChars="200"/>
        <w:rPr>
          <w:rFonts w:ascii="宋体" w:hAnsi="宋体"/>
          <w:color w:val="auto"/>
        </w:rPr>
      </w:pPr>
    </w:p>
    <w:p w14:paraId="253651A0">
      <w:pPr>
        <w:snapToGrid w:val="0"/>
        <w:spacing w:line="440" w:lineRule="exact"/>
        <w:ind w:firstLine="560" w:firstLineChars="200"/>
        <w:rPr>
          <w:rFonts w:ascii="宋体" w:hAnsi="宋体"/>
          <w:color w:val="auto"/>
        </w:rPr>
      </w:pPr>
    </w:p>
    <w:p w14:paraId="2F5AE59D">
      <w:pPr>
        <w:snapToGrid w:val="0"/>
        <w:spacing w:line="440" w:lineRule="exact"/>
        <w:ind w:firstLine="560" w:firstLineChars="200"/>
        <w:rPr>
          <w:rFonts w:ascii="宋体" w:hAnsi="宋体"/>
          <w:color w:val="auto"/>
        </w:rPr>
      </w:pPr>
    </w:p>
    <w:p w14:paraId="69E1B409">
      <w:pPr>
        <w:snapToGrid w:val="0"/>
        <w:spacing w:line="440" w:lineRule="exact"/>
        <w:ind w:firstLine="560" w:firstLineChars="200"/>
        <w:rPr>
          <w:rFonts w:ascii="宋体" w:hAnsi="宋体"/>
          <w:color w:val="auto"/>
        </w:rPr>
      </w:pPr>
    </w:p>
    <w:p w14:paraId="58BF713E">
      <w:pPr>
        <w:snapToGrid w:val="0"/>
        <w:spacing w:line="440" w:lineRule="exact"/>
        <w:ind w:firstLine="560" w:firstLineChars="200"/>
        <w:rPr>
          <w:rFonts w:ascii="宋体" w:hAnsi="宋体"/>
          <w:color w:val="auto"/>
        </w:rPr>
      </w:pPr>
    </w:p>
    <w:p w14:paraId="76D5D282">
      <w:pPr>
        <w:snapToGrid w:val="0"/>
        <w:spacing w:line="440" w:lineRule="exact"/>
        <w:ind w:firstLine="560" w:firstLineChars="200"/>
        <w:rPr>
          <w:rFonts w:ascii="宋体" w:hAnsi="宋体"/>
          <w:color w:val="auto"/>
        </w:rPr>
      </w:pPr>
    </w:p>
    <w:p w14:paraId="3AB4E18D">
      <w:pPr>
        <w:snapToGrid w:val="0"/>
        <w:spacing w:line="440" w:lineRule="exact"/>
        <w:ind w:firstLine="560" w:firstLineChars="200"/>
        <w:rPr>
          <w:rFonts w:ascii="宋体" w:hAnsi="宋体"/>
          <w:color w:val="auto"/>
        </w:rPr>
      </w:pPr>
    </w:p>
    <w:p w14:paraId="3DD73F51">
      <w:pPr>
        <w:snapToGrid w:val="0"/>
        <w:spacing w:line="440" w:lineRule="exact"/>
        <w:ind w:firstLine="560" w:firstLineChars="200"/>
        <w:rPr>
          <w:rFonts w:ascii="宋体" w:hAnsi="宋体"/>
          <w:color w:val="auto"/>
        </w:rPr>
      </w:pPr>
    </w:p>
    <w:p w14:paraId="45FE984C">
      <w:pPr>
        <w:snapToGrid w:val="0"/>
        <w:spacing w:line="440" w:lineRule="exact"/>
        <w:ind w:firstLine="560" w:firstLineChars="200"/>
        <w:rPr>
          <w:rFonts w:ascii="宋体" w:hAnsi="宋体"/>
          <w:color w:val="auto"/>
        </w:rPr>
      </w:pPr>
    </w:p>
    <w:p w14:paraId="60D73736">
      <w:pPr>
        <w:snapToGrid w:val="0"/>
        <w:spacing w:line="440" w:lineRule="exact"/>
        <w:ind w:firstLine="560" w:firstLineChars="200"/>
        <w:rPr>
          <w:rFonts w:ascii="宋体" w:hAnsi="宋体"/>
          <w:color w:val="auto"/>
        </w:rPr>
      </w:pPr>
    </w:p>
    <w:p w14:paraId="40DCA352">
      <w:pPr>
        <w:snapToGrid w:val="0"/>
        <w:spacing w:line="440" w:lineRule="exact"/>
        <w:ind w:firstLine="560" w:firstLineChars="200"/>
        <w:rPr>
          <w:rFonts w:ascii="宋体" w:hAnsi="宋体"/>
          <w:color w:val="auto"/>
        </w:rPr>
      </w:pPr>
    </w:p>
    <w:p w14:paraId="6A6D6A35">
      <w:pPr>
        <w:snapToGrid w:val="0"/>
        <w:spacing w:line="440" w:lineRule="exact"/>
        <w:ind w:firstLine="560" w:firstLineChars="200"/>
        <w:rPr>
          <w:rFonts w:ascii="宋体" w:hAnsi="宋体"/>
          <w:color w:val="auto"/>
        </w:rPr>
      </w:pPr>
    </w:p>
    <w:p w14:paraId="667F05BB">
      <w:pPr>
        <w:snapToGrid w:val="0"/>
        <w:spacing w:line="440" w:lineRule="exact"/>
        <w:ind w:firstLine="560" w:firstLineChars="200"/>
        <w:rPr>
          <w:rFonts w:ascii="宋体" w:hAnsi="宋体"/>
          <w:color w:val="auto"/>
        </w:rPr>
      </w:pPr>
    </w:p>
    <w:p w14:paraId="2CDA292F">
      <w:pPr>
        <w:snapToGrid w:val="0"/>
        <w:spacing w:line="440" w:lineRule="exact"/>
        <w:ind w:firstLine="560" w:firstLineChars="200"/>
        <w:rPr>
          <w:rFonts w:ascii="宋体" w:hAnsi="宋体"/>
          <w:color w:val="auto"/>
        </w:rPr>
      </w:pPr>
    </w:p>
    <w:p w14:paraId="2EC4B1E9">
      <w:pPr>
        <w:snapToGrid w:val="0"/>
        <w:spacing w:line="440" w:lineRule="exact"/>
        <w:ind w:firstLine="560" w:firstLineChars="200"/>
        <w:rPr>
          <w:rFonts w:ascii="宋体" w:hAnsi="宋体"/>
          <w:color w:val="auto"/>
        </w:rPr>
      </w:pPr>
    </w:p>
    <w:p w14:paraId="31C975B9">
      <w:pPr>
        <w:snapToGrid w:val="0"/>
        <w:spacing w:line="440" w:lineRule="exact"/>
        <w:ind w:firstLine="560" w:firstLineChars="200"/>
        <w:rPr>
          <w:rFonts w:ascii="宋体" w:hAnsi="宋体"/>
          <w:color w:val="auto"/>
        </w:rPr>
      </w:pPr>
    </w:p>
    <w:p w14:paraId="036F39C1">
      <w:pPr>
        <w:snapToGrid w:val="0"/>
        <w:spacing w:line="440" w:lineRule="exact"/>
        <w:ind w:firstLine="560" w:firstLineChars="200"/>
        <w:rPr>
          <w:rFonts w:ascii="宋体" w:hAnsi="宋体"/>
          <w:color w:val="auto"/>
        </w:rPr>
      </w:pPr>
    </w:p>
    <w:p w14:paraId="1D7624A1">
      <w:pPr>
        <w:snapToGrid w:val="0"/>
        <w:spacing w:line="440" w:lineRule="exact"/>
        <w:ind w:firstLine="560" w:firstLineChars="200"/>
        <w:rPr>
          <w:rFonts w:ascii="宋体" w:hAnsi="宋体"/>
          <w:color w:val="auto"/>
        </w:rPr>
      </w:pPr>
    </w:p>
    <w:p w14:paraId="4B54AEE0">
      <w:pPr>
        <w:snapToGrid w:val="0"/>
        <w:spacing w:line="440" w:lineRule="exact"/>
        <w:ind w:firstLine="560" w:firstLineChars="200"/>
        <w:rPr>
          <w:rFonts w:ascii="宋体" w:hAnsi="宋体"/>
          <w:color w:val="auto"/>
        </w:rPr>
      </w:pPr>
    </w:p>
    <w:p w14:paraId="598522AB">
      <w:pPr>
        <w:snapToGrid w:val="0"/>
        <w:spacing w:line="440" w:lineRule="exact"/>
        <w:ind w:firstLine="560" w:firstLineChars="200"/>
        <w:rPr>
          <w:rFonts w:ascii="宋体" w:hAnsi="宋体"/>
          <w:color w:val="auto"/>
        </w:rPr>
      </w:pPr>
    </w:p>
    <w:p w14:paraId="34D7E3ED">
      <w:pPr>
        <w:snapToGrid w:val="0"/>
        <w:spacing w:line="440" w:lineRule="exact"/>
        <w:ind w:firstLine="560" w:firstLineChars="200"/>
        <w:rPr>
          <w:rFonts w:ascii="宋体" w:hAnsi="宋体"/>
          <w:color w:val="auto"/>
        </w:rPr>
      </w:pPr>
    </w:p>
    <w:p w14:paraId="35E1A423">
      <w:pPr>
        <w:snapToGrid w:val="0"/>
        <w:spacing w:line="440" w:lineRule="exact"/>
        <w:ind w:firstLine="560" w:firstLineChars="200"/>
        <w:rPr>
          <w:rFonts w:ascii="宋体" w:hAnsi="宋体"/>
          <w:color w:val="auto"/>
        </w:rPr>
      </w:pPr>
    </w:p>
    <w:p w14:paraId="42C5EBF3">
      <w:pPr>
        <w:snapToGrid w:val="0"/>
        <w:spacing w:line="440" w:lineRule="exact"/>
        <w:ind w:firstLine="560" w:firstLineChars="200"/>
        <w:rPr>
          <w:rFonts w:ascii="宋体" w:hAnsi="宋体"/>
          <w:color w:val="auto"/>
        </w:rPr>
      </w:pPr>
    </w:p>
    <w:p w14:paraId="0E99CD92">
      <w:pPr>
        <w:snapToGrid w:val="0"/>
        <w:spacing w:line="440" w:lineRule="exact"/>
        <w:ind w:firstLine="560" w:firstLineChars="200"/>
        <w:rPr>
          <w:rFonts w:ascii="宋体" w:hAnsi="宋体"/>
          <w:color w:val="auto"/>
        </w:rPr>
      </w:pPr>
    </w:p>
    <w:p w14:paraId="10FD71B6">
      <w:pPr>
        <w:snapToGrid w:val="0"/>
        <w:spacing w:line="440" w:lineRule="exact"/>
        <w:ind w:firstLine="560" w:firstLineChars="200"/>
        <w:rPr>
          <w:rFonts w:ascii="宋体" w:hAnsi="宋体"/>
          <w:color w:val="auto"/>
        </w:rPr>
      </w:pPr>
    </w:p>
    <w:p w14:paraId="7F006E13">
      <w:pPr>
        <w:snapToGrid w:val="0"/>
        <w:spacing w:line="440" w:lineRule="exact"/>
        <w:ind w:firstLine="560" w:firstLineChars="200"/>
        <w:rPr>
          <w:rFonts w:ascii="宋体" w:hAnsi="宋体"/>
          <w:color w:val="auto"/>
        </w:rPr>
      </w:pPr>
    </w:p>
    <w:p w14:paraId="4F04A2F7">
      <w:pPr>
        <w:snapToGrid w:val="0"/>
        <w:spacing w:line="440" w:lineRule="exact"/>
        <w:ind w:firstLine="562" w:firstLineChars="200"/>
        <w:rPr>
          <w:rFonts w:ascii="宋体" w:hAnsi="宋体"/>
          <w:b/>
          <w:color w:val="auto"/>
        </w:rPr>
      </w:pPr>
      <w:r>
        <w:rPr>
          <w:rFonts w:hint="eastAsia" w:ascii="宋体" w:hAnsi="宋体"/>
          <w:b/>
          <w:color w:val="auto"/>
        </w:rPr>
        <w:t>（</w:t>
      </w:r>
      <w:r>
        <w:rPr>
          <w:rFonts w:hint="eastAsia" w:ascii="宋体" w:hAnsi="宋体"/>
          <w:b/>
          <w:color w:val="auto"/>
          <w:lang w:val="en-US" w:eastAsia="zh-CN"/>
        </w:rPr>
        <w:t>三</w:t>
      </w:r>
      <w:r>
        <w:rPr>
          <w:rFonts w:hint="eastAsia" w:ascii="宋体" w:hAnsi="宋体"/>
          <w:b/>
          <w:color w:val="auto"/>
        </w:rPr>
        <w:t>）商务条款差异表（参考）</w:t>
      </w:r>
    </w:p>
    <w:p w14:paraId="0CF37A1C">
      <w:pPr>
        <w:snapToGrid w:val="0"/>
        <w:spacing w:line="440" w:lineRule="exact"/>
        <w:ind w:firstLine="480" w:firstLineChars="200"/>
        <w:rPr>
          <w:rFonts w:ascii="宋体" w:hAnsi="宋体"/>
          <w:color w:val="auto"/>
          <w:sz w:val="24"/>
          <w:szCs w:val="24"/>
        </w:rPr>
      </w:pPr>
      <w:bookmarkStart w:id="235" w:name="_Toc186919436"/>
      <w:r>
        <w:rPr>
          <w:rFonts w:hint="eastAsia" w:ascii="宋体" w:hAnsi="宋体"/>
          <w:color w:val="auto"/>
          <w:sz w:val="24"/>
          <w:szCs w:val="24"/>
        </w:rPr>
        <w:t>项目名称：</w:t>
      </w:r>
      <w:bookmarkEnd w:id="235"/>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2871"/>
        <w:gridCol w:w="2520"/>
        <w:gridCol w:w="1888"/>
      </w:tblGrid>
      <w:tr w14:paraId="0800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54" w:type="dxa"/>
            <w:vAlign w:val="center"/>
          </w:tcPr>
          <w:p w14:paraId="6391998A">
            <w:pPr>
              <w:snapToGrid w:val="0"/>
              <w:spacing w:line="440" w:lineRule="exact"/>
              <w:jc w:val="center"/>
              <w:rPr>
                <w:rFonts w:ascii="宋体" w:hAnsi="宋体"/>
                <w:color w:val="auto"/>
                <w:sz w:val="24"/>
                <w:szCs w:val="24"/>
              </w:rPr>
            </w:pPr>
            <w:bookmarkStart w:id="236" w:name="_Toc186919437"/>
            <w:r>
              <w:rPr>
                <w:rFonts w:hint="eastAsia" w:ascii="宋体" w:hAnsi="宋体"/>
                <w:color w:val="auto"/>
                <w:sz w:val="24"/>
                <w:szCs w:val="24"/>
              </w:rPr>
              <w:t>序号</w:t>
            </w:r>
            <w:bookmarkEnd w:id="236"/>
          </w:p>
        </w:tc>
        <w:tc>
          <w:tcPr>
            <w:tcW w:w="2871" w:type="dxa"/>
            <w:vAlign w:val="center"/>
          </w:tcPr>
          <w:p w14:paraId="6A3F0F88">
            <w:pPr>
              <w:snapToGrid w:val="0"/>
              <w:spacing w:line="440" w:lineRule="exact"/>
              <w:jc w:val="center"/>
              <w:rPr>
                <w:rFonts w:ascii="宋体" w:hAnsi="宋体"/>
                <w:color w:val="auto"/>
                <w:sz w:val="24"/>
                <w:szCs w:val="24"/>
              </w:rPr>
            </w:pPr>
            <w:bookmarkStart w:id="237" w:name="_Toc186919438"/>
            <w:r>
              <w:rPr>
                <w:rFonts w:hint="eastAsia" w:ascii="宋体" w:hAnsi="宋体"/>
                <w:color w:val="auto"/>
                <w:sz w:val="24"/>
                <w:szCs w:val="24"/>
              </w:rPr>
              <w:t>招标商务要求</w:t>
            </w:r>
            <w:bookmarkEnd w:id="237"/>
          </w:p>
        </w:tc>
        <w:tc>
          <w:tcPr>
            <w:tcW w:w="2520" w:type="dxa"/>
            <w:vAlign w:val="center"/>
          </w:tcPr>
          <w:p w14:paraId="5462DF35">
            <w:pPr>
              <w:snapToGrid w:val="0"/>
              <w:spacing w:line="440" w:lineRule="exact"/>
              <w:jc w:val="center"/>
              <w:rPr>
                <w:rFonts w:ascii="宋体" w:hAnsi="宋体"/>
                <w:color w:val="auto"/>
                <w:sz w:val="24"/>
                <w:szCs w:val="24"/>
              </w:rPr>
            </w:pPr>
            <w:bookmarkStart w:id="238" w:name="_Toc186919439"/>
            <w:r>
              <w:rPr>
                <w:rFonts w:hint="eastAsia" w:ascii="宋体" w:hAnsi="宋体"/>
                <w:color w:val="auto"/>
                <w:sz w:val="24"/>
                <w:szCs w:val="24"/>
              </w:rPr>
              <w:t>投标商务应答</w:t>
            </w:r>
            <w:bookmarkEnd w:id="238"/>
          </w:p>
        </w:tc>
        <w:tc>
          <w:tcPr>
            <w:tcW w:w="1888" w:type="dxa"/>
            <w:vAlign w:val="center"/>
          </w:tcPr>
          <w:p w14:paraId="38522037">
            <w:pPr>
              <w:snapToGrid w:val="0"/>
              <w:spacing w:line="440" w:lineRule="exact"/>
              <w:jc w:val="center"/>
              <w:rPr>
                <w:rFonts w:ascii="宋体" w:hAnsi="宋体"/>
                <w:color w:val="auto"/>
                <w:sz w:val="24"/>
                <w:szCs w:val="24"/>
              </w:rPr>
            </w:pPr>
            <w:bookmarkStart w:id="239" w:name="_Toc186919440"/>
            <w:r>
              <w:rPr>
                <w:rFonts w:hint="eastAsia" w:ascii="宋体" w:hAnsi="宋体"/>
                <w:color w:val="auto"/>
                <w:sz w:val="24"/>
                <w:szCs w:val="24"/>
              </w:rPr>
              <w:t>差异说明</w:t>
            </w:r>
            <w:bookmarkEnd w:id="239"/>
          </w:p>
        </w:tc>
      </w:tr>
      <w:tr w14:paraId="58A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DF5EF2C">
            <w:pPr>
              <w:snapToGrid w:val="0"/>
              <w:spacing w:line="440" w:lineRule="exact"/>
              <w:ind w:firstLine="480" w:firstLineChars="200"/>
              <w:rPr>
                <w:rFonts w:ascii="宋体" w:hAnsi="宋体"/>
                <w:color w:val="auto"/>
                <w:sz w:val="24"/>
                <w:szCs w:val="24"/>
              </w:rPr>
            </w:pPr>
          </w:p>
        </w:tc>
        <w:tc>
          <w:tcPr>
            <w:tcW w:w="2871" w:type="dxa"/>
            <w:vAlign w:val="center"/>
          </w:tcPr>
          <w:p w14:paraId="5C79D0E1">
            <w:pPr>
              <w:snapToGrid w:val="0"/>
              <w:spacing w:line="440" w:lineRule="exact"/>
              <w:ind w:firstLine="4" w:firstLineChars="2"/>
              <w:rPr>
                <w:rFonts w:ascii="宋体" w:hAnsi="宋体"/>
                <w:color w:val="auto"/>
                <w:sz w:val="24"/>
                <w:szCs w:val="24"/>
              </w:rPr>
            </w:pPr>
          </w:p>
        </w:tc>
        <w:tc>
          <w:tcPr>
            <w:tcW w:w="2520" w:type="dxa"/>
            <w:vAlign w:val="center"/>
          </w:tcPr>
          <w:p w14:paraId="013654D2">
            <w:pPr>
              <w:snapToGrid w:val="0"/>
              <w:spacing w:line="440" w:lineRule="exact"/>
              <w:ind w:firstLine="480" w:firstLineChars="200"/>
              <w:rPr>
                <w:rFonts w:ascii="宋体" w:hAnsi="宋体"/>
                <w:color w:val="auto"/>
                <w:sz w:val="24"/>
                <w:szCs w:val="24"/>
              </w:rPr>
            </w:pPr>
          </w:p>
        </w:tc>
        <w:tc>
          <w:tcPr>
            <w:tcW w:w="1888" w:type="dxa"/>
            <w:vAlign w:val="center"/>
          </w:tcPr>
          <w:p w14:paraId="3E910771">
            <w:pPr>
              <w:snapToGrid w:val="0"/>
              <w:spacing w:line="440" w:lineRule="exact"/>
              <w:ind w:firstLine="480" w:firstLineChars="200"/>
              <w:rPr>
                <w:rFonts w:ascii="宋体" w:hAnsi="宋体"/>
                <w:color w:val="auto"/>
                <w:sz w:val="24"/>
                <w:szCs w:val="24"/>
              </w:rPr>
            </w:pPr>
          </w:p>
        </w:tc>
      </w:tr>
      <w:tr w14:paraId="087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11FF6842">
            <w:pPr>
              <w:snapToGrid w:val="0"/>
              <w:spacing w:line="440" w:lineRule="exact"/>
              <w:ind w:firstLine="480" w:firstLineChars="200"/>
              <w:rPr>
                <w:rFonts w:ascii="宋体" w:hAnsi="宋体"/>
                <w:color w:val="auto"/>
                <w:sz w:val="24"/>
                <w:szCs w:val="24"/>
              </w:rPr>
            </w:pPr>
          </w:p>
        </w:tc>
        <w:tc>
          <w:tcPr>
            <w:tcW w:w="2871" w:type="dxa"/>
            <w:vAlign w:val="center"/>
          </w:tcPr>
          <w:p w14:paraId="7D57B6E5">
            <w:pPr>
              <w:snapToGrid w:val="0"/>
              <w:spacing w:line="440" w:lineRule="exact"/>
              <w:ind w:firstLine="480" w:firstLineChars="200"/>
              <w:rPr>
                <w:rFonts w:ascii="宋体" w:hAnsi="宋体"/>
                <w:color w:val="auto"/>
                <w:sz w:val="24"/>
                <w:szCs w:val="24"/>
              </w:rPr>
            </w:pPr>
          </w:p>
        </w:tc>
        <w:tc>
          <w:tcPr>
            <w:tcW w:w="2520" w:type="dxa"/>
            <w:vAlign w:val="center"/>
          </w:tcPr>
          <w:p w14:paraId="4EF47B64">
            <w:pPr>
              <w:snapToGrid w:val="0"/>
              <w:spacing w:line="440" w:lineRule="exact"/>
              <w:ind w:firstLine="480" w:firstLineChars="200"/>
              <w:rPr>
                <w:rFonts w:ascii="宋体" w:hAnsi="宋体"/>
                <w:color w:val="auto"/>
                <w:sz w:val="24"/>
                <w:szCs w:val="24"/>
              </w:rPr>
            </w:pPr>
          </w:p>
        </w:tc>
        <w:tc>
          <w:tcPr>
            <w:tcW w:w="1888" w:type="dxa"/>
            <w:vAlign w:val="center"/>
          </w:tcPr>
          <w:p w14:paraId="1DC46A5D">
            <w:pPr>
              <w:snapToGrid w:val="0"/>
              <w:spacing w:line="440" w:lineRule="exact"/>
              <w:ind w:firstLine="480" w:firstLineChars="200"/>
              <w:rPr>
                <w:rFonts w:ascii="宋体" w:hAnsi="宋体"/>
                <w:color w:val="auto"/>
                <w:sz w:val="24"/>
                <w:szCs w:val="24"/>
              </w:rPr>
            </w:pPr>
          </w:p>
        </w:tc>
      </w:tr>
      <w:tr w14:paraId="2092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0CEE056A">
            <w:pPr>
              <w:snapToGrid w:val="0"/>
              <w:spacing w:line="440" w:lineRule="exact"/>
              <w:ind w:firstLine="480" w:firstLineChars="200"/>
              <w:rPr>
                <w:rFonts w:ascii="宋体" w:hAnsi="宋体"/>
                <w:color w:val="auto"/>
                <w:sz w:val="24"/>
                <w:szCs w:val="24"/>
              </w:rPr>
            </w:pPr>
          </w:p>
        </w:tc>
        <w:tc>
          <w:tcPr>
            <w:tcW w:w="2871" w:type="dxa"/>
            <w:vAlign w:val="center"/>
          </w:tcPr>
          <w:p w14:paraId="4CB66F51">
            <w:pPr>
              <w:snapToGrid w:val="0"/>
              <w:spacing w:line="440" w:lineRule="exact"/>
              <w:ind w:firstLine="480" w:firstLineChars="200"/>
              <w:rPr>
                <w:rFonts w:ascii="宋体" w:hAnsi="宋体"/>
                <w:color w:val="auto"/>
                <w:sz w:val="24"/>
                <w:szCs w:val="24"/>
              </w:rPr>
            </w:pPr>
          </w:p>
        </w:tc>
        <w:tc>
          <w:tcPr>
            <w:tcW w:w="2520" w:type="dxa"/>
            <w:vAlign w:val="center"/>
          </w:tcPr>
          <w:p w14:paraId="1618EE01">
            <w:pPr>
              <w:snapToGrid w:val="0"/>
              <w:spacing w:line="440" w:lineRule="exact"/>
              <w:ind w:firstLine="480" w:firstLineChars="200"/>
              <w:rPr>
                <w:rFonts w:ascii="宋体" w:hAnsi="宋体"/>
                <w:color w:val="auto"/>
                <w:sz w:val="24"/>
                <w:szCs w:val="24"/>
              </w:rPr>
            </w:pPr>
          </w:p>
        </w:tc>
        <w:tc>
          <w:tcPr>
            <w:tcW w:w="1888" w:type="dxa"/>
            <w:vAlign w:val="center"/>
          </w:tcPr>
          <w:p w14:paraId="6886238F">
            <w:pPr>
              <w:snapToGrid w:val="0"/>
              <w:spacing w:line="440" w:lineRule="exact"/>
              <w:ind w:firstLine="480" w:firstLineChars="200"/>
              <w:rPr>
                <w:rFonts w:ascii="宋体" w:hAnsi="宋体"/>
                <w:color w:val="auto"/>
                <w:sz w:val="24"/>
                <w:szCs w:val="24"/>
              </w:rPr>
            </w:pPr>
          </w:p>
        </w:tc>
      </w:tr>
      <w:tr w14:paraId="2277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58B1EDAC">
            <w:pPr>
              <w:snapToGrid w:val="0"/>
              <w:spacing w:line="440" w:lineRule="exact"/>
              <w:ind w:firstLine="480" w:firstLineChars="200"/>
              <w:rPr>
                <w:rFonts w:ascii="宋体" w:hAnsi="宋体"/>
                <w:color w:val="auto"/>
                <w:sz w:val="24"/>
                <w:szCs w:val="24"/>
              </w:rPr>
            </w:pPr>
          </w:p>
        </w:tc>
        <w:tc>
          <w:tcPr>
            <w:tcW w:w="2871" w:type="dxa"/>
            <w:vAlign w:val="center"/>
          </w:tcPr>
          <w:p w14:paraId="0824A157">
            <w:pPr>
              <w:snapToGrid w:val="0"/>
              <w:spacing w:line="440" w:lineRule="exact"/>
              <w:ind w:firstLine="480" w:firstLineChars="200"/>
              <w:rPr>
                <w:rFonts w:ascii="宋体" w:hAnsi="宋体"/>
                <w:color w:val="auto"/>
                <w:sz w:val="24"/>
                <w:szCs w:val="24"/>
              </w:rPr>
            </w:pPr>
          </w:p>
        </w:tc>
        <w:tc>
          <w:tcPr>
            <w:tcW w:w="2520" w:type="dxa"/>
            <w:vAlign w:val="center"/>
          </w:tcPr>
          <w:p w14:paraId="3DABCD2E">
            <w:pPr>
              <w:snapToGrid w:val="0"/>
              <w:spacing w:line="440" w:lineRule="exact"/>
              <w:ind w:firstLine="480" w:firstLineChars="200"/>
              <w:rPr>
                <w:rFonts w:ascii="宋体" w:hAnsi="宋体"/>
                <w:color w:val="auto"/>
                <w:sz w:val="24"/>
                <w:szCs w:val="24"/>
              </w:rPr>
            </w:pPr>
          </w:p>
        </w:tc>
        <w:tc>
          <w:tcPr>
            <w:tcW w:w="1888" w:type="dxa"/>
            <w:vAlign w:val="center"/>
          </w:tcPr>
          <w:p w14:paraId="1F59C2FA">
            <w:pPr>
              <w:snapToGrid w:val="0"/>
              <w:spacing w:line="440" w:lineRule="exact"/>
              <w:ind w:firstLine="480" w:firstLineChars="200"/>
              <w:rPr>
                <w:rFonts w:ascii="宋体" w:hAnsi="宋体"/>
                <w:color w:val="auto"/>
                <w:sz w:val="24"/>
                <w:szCs w:val="24"/>
              </w:rPr>
            </w:pPr>
          </w:p>
        </w:tc>
      </w:tr>
      <w:tr w14:paraId="200F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667BC912">
            <w:pPr>
              <w:snapToGrid w:val="0"/>
              <w:spacing w:line="440" w:lineRule="exact"/>
              <w:ind w:firstLine="480" w:firstLineChars="200"/>
              <w:rPr>
                <w:rFonts w:ascii="宋体" w:hAnsi="宋体"/>
                <w:color w:val="auto"/>
                <w:sz w:val="24"/>
                <w:szCs w:val="24"/>
              </w:rPr>
            </w:pPr>
          </w:p>
        </w:tc>
        <w:tc>
          <w:tcPr>
            <w:tcW w:w="2871" w:type="dxa"/>
            <w:vAlign w:val="center"/>
          </w:tcPr>
          <w:p w14:paraId="1AA5A84E">
            <w:pPr>
              <w:snapToGrid w:val="0"/>
              <w:spacing w:line="440" w:lineRule="exact"/>
              <w:ind w:firstLine="480" w:firstLineChars="200"/>
              <w:rPr>
                <w:rFonts w:ascii="宋体" w:hAnsi="宋体"/>
                <w:color w:val="auto"/>
                <w:sz w:val="24"/>
                <w:szCs w:val="24"/>
              </w:rPr>
            </w:pPr>
          </w:p>
        </w:tc>
        <w:tc>
          <w:tcPr>
            <w:tcW w:w="2520" w:type="dxa"/>
            <w:vAlign w:val="center"/>
          </w:tcPr>
          <w:p w14:paraId="1677C673">
            <w:pPr>
              <w:snapToGrid w:val="0"/>
              <w:spacing w:line="440" w:lineRule="exact"/>
              <w:ind w:firstLine="480" w:firstLineChars="200"/>
              <w:rPr>
                <w:rFonts w:ascii="宋体" w:hAnsi="宋体"/>
                <w:color w:val="auto"/>
                <w:sz w:val="24"/>
                <w:szCs w:val="24"/>
              </w:rPr>
            </w:pPr>
          </w:p>
        </w:tc>
        <w:tc>
          <w:tcPr>
            <w:tcW w:w="1888" w:type="dxa"/>
            <w:vAlign w:val="center"/>
          </w:tcPr>
          <w:p w14:paraId="3524E245">
            <w:pPr>
              <w:snapToGrid w:val="0"/>
              <w:spacing w:line="440" w:lineRule="exact"/>
              <w:ind w:firstLine="480" w:firstLineChars="200"/>
              <w:rPr>
                <w:rFonts w:ascii="宋体" w:hAnsi="宋体"/>
                <w:color w:val="auto"/>
                <w:sz w:val="24"/>
                <w:szCs w:val="24"/>
              </w:rPr>
            </w:pPr>
          </w:p>
        </w:tc>
      </w:tr>
      <w:tr w14:paraId="57C3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1BC0EFAC">
            <w:pPr>
              <w:snapToGrid w:val="0"/>
              <w:spacing w:line="440" w:lineRule="exact"/>
              <w:ind w:firstLine="480" w:firstLineChars="200"/>
              <w:rPr>
                <w:rFonts w:ascii="宋体" w:hAnsi="宋体"/>
                <w:color w:val="auto"/>
                <w:sz w:val="24"/>
                <w:szCs w:val="24"/>
              </w:rPr>
            </w:pPr>
          </w:p>
        </w:tc>
        <w:tc>
          <w:tcPr>
            <w:tcW w:w="2871" w:type="dxa"/>
            <w:vAlign w:val="center"/>
          </w:tcPr>
          <w:p w14:paraId="6C898463">
            <w:pPr>
              <w:snapToGrid w:val="0"/>
              <w:spacing w:line="440" w:lineRule="exact"/>
              <w:ind w:firstLine="480" w:firstLineChars="200"/>
              <w:rPr>
                <w:rFonts w:ascii="宋体" w:hAnsi="宋体"/>
                <w:color w:val="auto"/>
                <w:sz w:val="24"/>
                <w:szCs w:val="24"/>
              </w:rPr>
            </w:pPr>
          </w:p>
        </w:tc>
        <w:tc>
          <w:tcPr>
            <w:tcW w:w="2520" w:type="dxa"/>
            <w:vAlign w:val="center"/>
          </w:tcPr>
          <w:p w14:paraId="51FA2E1D">
            <w:pPr>
              <w:snapToGrid w:val="0"/>
              <w:spacing w:line="440" w:lineRule="exact"/>
              <w:ind w:firstLine="480" w:firstLineChars="200"/>
              <w:rPr>
                <w:rFonts w:ascii="宋体" w:hAnsi="宋体"/>
                <w:color w:val="auto"/>
                <w:sz w:val="24"/>
                <w:szCs w:val="24"/>
              </w:rPr>
            </w:pPr>
          </w:p>
        </w:tc>
        <w:tc>
          <w:tcPr>
            <w:tcW w:w="1888" w:type="dxa"/>
            <w:vAlign w:val="center"/>
          </w:tcPr>
          <w:p w14:paraId="72B7FC8C">
            <w:pPr>
              <w:snapToGrid w:val="0"/>
              <w:spacing w:line="440" w:lineRule="exact"/>
              <w:ind w:firstLine="480" w:firstLineChars="200"/>
              <w:rPr>
                <w:rFonts w:ascii="宋体" w:hAnsi="宋体"/>
                <w:color w:val="auto"/>
                <w:sz w:val="24"/>
                <w:szCs w:val="24"/>
              </w:rPr>
            </w:pPr>
          </w:p>
        </w:tc>
      </w:tr>
      <w:tr w14:paraId="165E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7CEE18F0">
            <w:pPr>
              <w:snapToGrid w:val="0"/>
              <w:spacing w:line="440" w:lineRule="exact"/>
              <w:ind w:firstLine="480" w:firstLineChars="200"/>
              <w:rPr>
                <w:rFonts w:ascii="宋体" w:hAnsi="宋体"/>
                <w:color w:val="auto"/>
                <w:sz w:val="24"/>
                <w:szCs w:val="24"/>
              </w:rPr>
            </w:pPr>
          </w:p>
        </w:tc>
        <w:tc>
          <w:tcPr>
            <w:tcW w:w="2871" w:type="dxa"/>
            <w:vAlign w:val="center"/>
          </w:tcPr>
          <w:p w14:paraId="79F46C10">
            <w:pPr>
              <w:snapToGrid w:val="0"/>
              <w:spacing w:line="440" w:lineRule="exact"/>
              <w:ind w:firstLine="480" w:firstLineChars="200"/>
              <w:rPr>
                <w:rFonts w:ascii="宋体" w:hAnsi="宋体"/>
                <w:color w:val="auto"/>
                <w:sz w:val="24"/>
                <w:szCs w:val="24"/>
              </w:rPr>
            </w:pPr>
          </w:p>
        </w:tc>
        <w:tc>
          <w:tcPr>
            <w:tcW w:w="2520" w:type="dxa"/>
            <w:vAlign w:val="center"/>
          </w:tcPr>
          <w:p w14:paraId="1D096656">
            <w:pPr>
              <w:snapToGrid w:val="0"/>
              <w:spacing w:line="440" w:lineRule="exact"/>
              <w:ind w:firstLine="480" w:firstLineChars="200"/>
              <w:rPr>
                <w:rFonts w:ascii="宋体" w:hAnsi="宋体"/>
                <w:color w:val="auto"/>
                <w:sz w:val="24"/>
                <w:szCs w:val="24"/>
              </w:rPr>
            </w:pPr>
          </w:p>
        </w:tc>
        <w:tc>
          <w:tcPr>
            <w:tcW w:w="1888" w:type="dxa"/>
            <w:vAlign w:val="center"/>
          </w:tcPr>
          <w:p w14:paraId="45CBDDFA">
            <w:pPr>
              <w:snapToGrid w:val="0"/>
              <w:spacing w:line="440" w:lineRule="exact"/>
              <w:ind w:firstLine="480" w:firstLineChars="200"/>
              <w:rPr>
                <w:rFonts w:ascii="宋体" w:hAnsi="宋体"/>
                <w:color w:val="auto"/>
                <w:sz w:val="24"/>
                <w:szCs w:val="24"/>
              </w:rPr>
            </w:pPr>
          </w:p>
        </w:tc>
      </w:tr>
      <w:tr w14:paraId="4675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24EBEB8D">
            <w:pPr>
              <w:snapToGrid w:val="0"/>
              <w:spacing w:line="440" w:lineRule="exact"/>
              <w:ind w:firstLine="480" w:firstLineChars="200"/>
              <w:rPr>
                <w:rFonts w:ascii="宋体" w:hAnsi="宋体"/>
                <w:color w:val="auto"/>
                <w:sz w:val="24"/>
                <w:szCs w:val="24"/>
              </w:rPr>
            </w:pPr>
          </w:p>
        </w:tc>
        <w:tc>
          <w:tcPr>
            <w:tcW w:w="2871" w:type="dxa"/>
            <w:vAlign w:val="center"/>
          </w:tcPr>
          <w:p w14:paraId="27670343">
            <w:pPr>
              <w:snapToGrid w:val="0"/>
              <w:spacing w:line="440" w:lineRule="exact"/>
              <w:ind w:firstLine="480" w:firstLineChars="200"/>
              <w:rPr>
                <w:rFonts w:ascii="宋体" w:hAnsi="宋体"/>
                <w:color w:val="auto"/>
                <w:sz w:val="24"/>
                <w:szCs w:val="24"/>
              </w:rPr>
            </w:pPr>
          </w:p>
        </w:tc>
        <w:tc>
          <w:tcPr>
            <w:tcW w:w="2520" w:type="dxa"/>
            <w:vAlign w:val="center"/>
          </w:tcPr>
          <w:p w14:paraId="2B519B3A">
            <w:pPr>
              <w:snapToGrid w:val="0"/>
              <w:spacing w:line="440" w:lineRule="exact"/>
              <w:ind w:firstLine="480" w:firstLineChars="200"/>
              <w:rPr>
                <w:rFonts w:ascii="宋体" w:hAnsi="宋体"/>
                <w:color w:val="auto"/>
                <w:sz w:val="24"/>
                <w:szCs w:val="24"/>
              </w:rPr>
            </w:pPr>
          </w:p>
        </w:tc>
        <w:tc>
          <w:tcPr>
            <w:tcW w:w="1888" w:type="dxa"/>
            <w:vAlign w:val="center"/>
          </w:tcPr>
          <w:p w14:paraId="32ED226C">
            <w:pPr>
              <w:snapToGrid w:val="0"/>
              <w:spacing w:line="440" w:lineRule="exact"/>
              <w:ind w:firstLine="480" w:firstLineChars="200"/>
              <w:rPr>
                <w:rFonts w:ascii="宋体" w:hAnsi="宋体"/>
                <w:color w:val="auto"/>
                <w:sz w:val="24"/>
                <w:szCs w:val="24"/>
              </w:rPr>
            </w:pPr>
          </w:p>
        </w:tc>
      </w:tr>
      <w:tr w14:paraId="1C25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3C8B5660">
            <w:pPr>
              <w:snapToGrid w:val="0"/>
              <w:spacing w:line="440" w:lineRule="exact"/>
              <w:ind w:firstLine="480" w:firstLineChars="200"/>
              <w:rPr>
                <w:rFonts w:ascii="宋体" w:hAnsi="宋体"/>
                <w:color w:val="auto"/>
                <w:sz w:val="24"/>
                <w:szCs w:val="24"/>
              </w:rPr>
            </w:pPr>
          </w:p>
        </w:tc>
        <w:tc>
          <w:tcPr>
            <w:tcW w:w="2871" w:type="dxa"/>
            <w:vAlign w:val="center"/>
          </w:tcPr>
          <w:p w14:paraId="0A078CEA">
            <w:pPr>
              <w:snapToGrid w:val="0"/>
              <w:spacing w:line="440" w:lineRule="exact"/>
              <w:ind w:firstLine="480" w:firstLineChars="200"/>
              <w:rPr>
                <w:rFonts w:ascii="宋体" w:hAnsi="宋体"/>
                <w:color w:val="auto"/>
                <w:sz w:val="24"/>
                <w:szCs w:val="24"/>
              </w:rPr>
            </w:pPr>
          </w:p>
        </w:tc>
        <w:tc>
          <w:tcPr>
            <w:tcW w:w="2520" w:type="dxa"/>
            <w:vAlign w:val="center"/>
          </w:tcPr>
          <w:p w14:paraId="5711B7BD">
            <w:pPr>
              <w:snapToGrid w:val="0"/>
              <w:spacing w:line="440" w:lineRule="exact"/>
              <w:ind w:firstLine="480" w:firstLineChars="200"/>
              <w:rPr>
                <w:rFonts w:ascii="宋体" w:hAnsi="宋体"/>
                <w:color w:val="auto"/>
                <w:sz w:val="24"/>
                <w:szCs w:val="24"/>
              </w:rPr>
            </w:pPr>
          </w:p>
        </w:tc>
        <w:tc>
          <w:tcPr>
            <w:tcW w:w="1888" w:type="dxa"/>
            <w:vAlign w:val="center"/>
          </w:tcPr>
          <w:p w14:paraId="1C751BCB">
            <w:pPr>
              <w:snapToGrid w:val="0"/>
              <w:spacing w:line="440" w:lineRule="exact"/>
              <w:ind w:firstLine="480" w:firstLineChars="200"/>
              <w:rPr>
                <w:rFonts w:ascii="宋体" w:hAnsi="宋体"/>
                <w:color w:val="auto"/>
                <w:sz w:val="24"/>
                <w:szCs w:val="24"/>
              </w:rPr>
            </w:pPr>
          </w:p>
        </w:tc>
      </w:tr>
      <w:tr w14:paraId="34C4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391D5569">
            <w:pPr>
              <w:snapToGrid w:val="0"/>
              <w:spacing w:line="440" w:lineRule="exact"/>
              <w:ind w:firstLine="480" w:firstLineChars="200"/>
              <w:rPr>
                <w:rFonts w:ascii="宋体" w:hAnsi="宋体"/>
                <w:color w:val="auto"/>
                <w:sz w:val="24"/>
                <w:szCs w:val="24"/>
              </w:rPr>
            </w:pPr>
          </w:p>
        </w:tc>
        <w:tc>
          <w:tcPr>
            <w:tcW w:w="2871" w:type="dxa"/>
            <w:vAlign w:val="center"/>
          </w:tcPr>
          <w:p w14:paraId="08369129">
            <w:pPr>
              <w:snapToGrid w:val="0"/>
              <w:spacing w:line="440" w:lineRule="exact"/>
              <w:ind w:firstLine="480" w:firstLineChars="200"/>
              <w:rPr>
                <w:rFonts w:ascii="宋体" w:hAnsi="宋体"/>
                <w:color w:val="auto"/>
                <w:sz w:val="24"/>
                <w:szCs w:val="24"/>
              </w:rPr>
            </w:pPr>
          </w:p>
        </w:tc>
        <w:tc>
          <w:tcPr>
            <w:tcW w:w="2520" w:type="dxa"/>
            <w:vAlign w:val="center"/>
          </w:tcPr>
          <w:p w14:paraId="1985C314">
            <w:pPr>
              <w:snapToGrid w:val="0"/>
              <w:spacing w:line="440" w:lineRule="exact"/>
              <w:ind w:firstLine="480" w:firstLineChars="200"/>
              <w:rPr>
                <w:rFonts w:ascii="宋体" w:hAnsi="宋体"/>
                <w:color w:val="auto"/>
                <w:sz w:val="24"/>
                <w:szCs w:val="24"/>
              </w:rPr>
            </w:pPr>
          </w:p>
        </w:tc>
        <w:tc>
          <w:tcPr>
            <w:tcW w:w="1888" w:type="dxa"/>
            <w:vAlign w:val="center"/>
          </w:tcPr>
          <w:p w14:paraId="07C5C513">
            <w:pPr>
              <w:snapToGrid w:val="0"/>
              <w:spacing w:line="440" w:lineRule="exact"/>
              <w:ind w:firstLine="480" w:firstLineChars="200"/>
              <w:rPr>
                <w:rFonts w:ascii="宋体" w:hAnsi="宋体"/>
                <w:color w:val="auto"/>
                <w:sz w:val="24"/>
                <w:szCs w:val="24"/>
              </w:rPr>
            </w:pPr>
          </w:p>
        </w:tc>
      </w:tr>
      <w:tr w14:paraId="463F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0E2ABBC5">
            <w:pPr>
              <w:snapToGrid w:val="0"/>
              <w:spacing w:line="440" w:lineRule="exact"/>
              <w:ind w:firstLine="480" w:firstLineChars="200"/>
              <w:rPr>
                <w:rFonts w:ascii="宋体" w:hAnsi="宋体"/>
                <w:color w:val="auto"/>
                <w:sz w:val="24"/>
                <w:szCs w:val="24"/>
              </w:rPr>
            </w:pPr>
          </w:p>
        </w:tc>
        <w:tc>
          <w:tcPr>
            <w:tcW w:w="2871" w:type="dxa"/>
            <w:vAlign w:val="center"/>
          </w:tcPr>
          <w:p w14:paraId="7650396E">
            <w:pPr>
              <w:snapToGrid w:val="0"/>
              <w:spacing w:line="440" w:lineRule="exact"/>
              <w:ind w:firstLine="480" w:firstLineChars="200"/>
              <w:rPr>
                <w:rFonts w:ascii="宋体" w:hAnsi="宋体"/>
                <w:color w:val="auto"/>
                <w:sz w:val="24"/>
                <w:szCs w:val="24"/>
              </w:rPr>
            </w:pPr>
          </w:p>
        </w:tc>
        <w:tc>
          <w:tcPr>
            <w:tcW w:w="2520" w:type="dxa"/>
            <w:vAlign w:val="center"/>
          </w:tcPr>
          <w:p w14:paraId="46F5265C">
            <w:pPr>
              <w:snapToGrid w:val="0"/>
              <w:spacing w:line="440" w:lineRule="exact"/>
              <w:ind w:firstLine="480" w:firstLineChars="200"/>
              <w:rPr>
                <w:rFonts w:ascii="宋体" w:hAnsi="宋体"/>
                <w:color w:val="auto"/>
                <w:sz w:val="24"/>
                <w:szCs w:val="24"/>
              </w:rPr>
            </w:pPr>
          </w:p>
        </w:tc>
        <w:tc>
          <w:tcPr>
            <w:tcW w:w="1888" w:type="dxa"/>
            <w:vAlign w:val="center"/>
          </w:tcPr>
          <w:p w14:paraId="74FBDE8D">
            <w:pPr>
              <w:snapToGrid w:val="0"/>
              <w:spacing w:line="440" w:lineRule="exact"/>
              <w:ind w:firstLine="480" w:firstLineChars="200"/>
              <w:rPr>
                <w:rFonts w:ascii="宋体" w:hAnsi="宋体"/>
                <w:color w:val="auto"/>
                <w:sz w:val="24"/>
                <w:szCs w:val="24"/>
              </w:rPr>
            </w:pPr>
          </w:p>
        </w:tc>
      </w:tr>
      <w:tr w14:paraId="3FBA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4633D752">
            <w:pPr>
              <w:snapToGrid w:val="0"/>
              <w:spacing w:line="440" w:lineRule="exact"/>
              <w:ind w:firstLine="480" w:firstLineChars="200"/>
              <w:rPr>
                <w:rFonts w:ascii="宋体" w:hAnsi="宋体"/>
                <w:color w:val="auto"/>
                <w:sz w:val="24"/>
                <w:szCs w:val="24"/>
              </w:rPr>
            </w:pPr>
          </w:p>
        </w:tc>
        <w:tc>
          <w:tcPr>
            <w:tcW w:w="2871" w:type="dxa"/>
            <w:vAlign w:val="center"/>
          </w:tcPr>
          <w:p w14:paraId="77344A3F">
            <w:pPr>
              <w:snapToGrid w:val="0"/>
              <w:spacing w:line="440" w:lineRule="exact"/>
              <w:ind w:firstLine="480" w:firstLineChars="200"/>
              <w:rPr>
                <w:rFonts w:ascii="宋体" w:hAnsi="宋体"/>
                <w:color w:val="auto"/>
                <w:sz w:val="24"/>
                <w:szCs w:val="24"/>
              </w:rPr>
            </w:pPr>
          </w:p>
        </w:tc>
        <w:tc>
          <w:tcPr>
            <w:tcW w:w="2520" w:type="dxa"/>
            <w:vAlign w:val="center"/>
          </w:tcPr>
          <w:p w14:paraId="090B62A0">
            <w:pPr>
              <w:snapToGrid w:val="0"/>
              <w:spacing w:line="440" w:lineRule="exact"/>
              <w:ind w:firstLine="480" w:firstLineChars="200"/>
              <w:rPr>
                <w:rFonts w:ascii="宋体" w:hAnsi="宋体"/>
                <w:color w:val="auto"/>
                <w:sz w:val="24"/>
                <w:szCs w:val="24"/>
              </w:rPr>
            </w:pPr>
          </w:p>
        </w:tc>
        <w:tc>
          <w:tcPr>
            <w:tcW w:w="1888" w:type="dxa"/>
            <w:vAlign w:val="center"/>
          </w:tcPr>
          <w:p w14:paraId="2E005055">
            <w:pPr>
              <w:snapToGrid w:val="0"/>
              <w:spacing w:line="440" w:lineRule="exact"/>
              <w:ind w:firstLine="480" w:firstLineChars="200"/>
              <w:rPr>
                <w:rFonts w:ascii="宋体" w:hAnsi="宋体"/>
                <w:color w:val="auto"/>
                <w:sz w:val="24"/>
                <w:szCs w:val="24"/>
              </w:rPr>
            </w:pPr>
          </w:p>
        </w:tc>
      </w:tr>
    </w:tbl>
    <w:p w14:paraId="5311A987">
      <w:pPr>
        <w:snapToGrid w:val="0"/>
        <w:spacing w:line="440" w:lineRule="exact"/>
        <w:ind w:firstLine="480" w:firstLineChars="200"/>
        <w:rPr>
          <w:rFonts w:ascii="宋体" w:hAnsi="宋体"/>
          <w:color w:val="auto"/>
          <w:sz w:val="24"/>
          <w:szCs w:val="24"/>
        </w:rPr>
      </w:pPr>
    </w:p>
    <w:p w14:paraId="692DA2BD">
      <w:pPr>
        <w:snapToGrid w:val="0"/>
        <w:spacing w:line="440" w:lineRule="exact"/>
        <w:ind w:firstLine="480" w:firstLineChars="200"/>
        <w:rPr>
          <w:rFonts w:ascii="宋体" w:hAnsi="宋体"/>
          <w:color w:val="auto"/>
          <w:sz w:val="24"/>
          <w:szCs w:val="24"/>
        </w:rPr>
      </w:pPr>
    </w:p>
    <w:p w14:paraId="54CD7C2D">
      <w:pP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投标人：             　　　　　       法定代表人授权代表：</w:t>
      </w:r>
    </w:p>
    <w:p w14:paraId="26366253">
      <w:pP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（投标人公章）　　　　                  （签字）</w:t>
      </w:r>
    </w:p>
    <w:p w14:paraId="22699610">
      <w:pP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　　年  月  日                            年 月  日</w:t>
      </w:r>
    </w:p>
    <w:p w14:paraId="47F87092">
      <w:pPr>
        <w:snapToGrid w:val="0"/>
        <w:spacing w:line="440" w:lineRule="exact"/>
        <w:ind w:firstLine="480" w:firstLineChars="200"/>
        <w:rPr>
          <w:rFonts w:ascii="宋体" w:hAnsi="宋体"/>
          <w:color w:val="auto"/>
          <w:sz w:val="24"/>
          <w:szCs w:val="24"/>
        </w:rPr>
      </w:pPr>
    </w:p>
    <w:p w14:paraId="0E407799">
      <w:pP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注：</w:t>
      </w:r>
    </w:p>
    <w:p w14:paraId="704C32B4">
      <w:pPr>
        <w:snapToGrid w:val="0"/>
        <w:spacing w:line="440" w:lineRule="exact"/>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本表即为对本项目“第三篇项目商务要求”中所列商务条款进行比较和响应；</w:t>
      </w:r>
    </w:p>
    <w:p w14:paraId="597FF52E">
      <w:pPr>
        <w:snapToGrid w:val="0"/>
        <w:spacing w:line="440" w:lineRule="exact"/>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该表必须按照招标文件要求逐条如实填写，根据投标情况在“差异说明”项填写正偏离或负偏离及原因，完全符合的填写“无差异”。</w:t>
      </w:r>
    </w:p>
    <w:p w14:paraId="69CB8B92">
      <w:pPr>
        <w:snapToGrid w:val="0"/>
        <w:spacing w:line="440" w:lineRule="exact"/>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该表可扩展。</w:t>
      </w:r>
    </w:p>
    <w:p w14:paraId="60BEF7A5">
      <w:pPr>
        <w:snapToGrid w:val="0"/>
        <w:spacing w:line="440" w:lineRule="exact"/>
        <w:ind w:firstLine="480" w:firstLineChars="200"/>
        <w:rPr>
          <w:rFonts w:ascii="宋体" w:hAnsi="宋体"/>
          <w:color w:val="auto"/>
          <w:sz w:val="24"/>
          <w:szCs w:val="24"/>
        </w:rPr>
      </w:pPr>
    </w:p>
    <w:p w14:paraId="7D57040E">
      <w:pP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四</w:t>
      </w:r>
      <w:r>
        <w:rPr>
          <w:rFonts w:hint="eastAsia" w:ascii="宋体" w:hAnsi="宋体"/>
          <w:color w:val="auto"/>
          <w:sz w:val="24"/>
          <w:szCs w:val="24"/>
        </w:rPr>
        <w:t>）委托经营服务承诺（格式自定）</w:t>
      </w:r>
    </w:p>
    <w:p w14:paraId="0199A24F">
      <w:pPr>
        <w:snapToGrid w:val="0"/>
        <w:spacing w:line="440" w:lineRule="exact"/>
        <w:ind w:firstLine="560" w:firstLineChars="200"/>
        <w:rPr>
          <w:rFonts w:ascii="宋体" w:hAnsi="宋体"/>
          <w:color w:val="auto"/>
        </w:rPr>
      </w:pPr>
    </w:p>
    <w:p w14:paraId="6F0F6B0D">
      <w:pPr>
        <w:snapToGrid w:val="0"/>
        <w:spacing w:line="440" w:lineRule="exact"/>
        <w:ind w:firstLine="560" w:firstLineChars="200"/>
        <w:rPr>
          <w:rFonts w:ascii="宋体" w:hAnsi="宋体"/>
          <w:color w:val="auto"/>
        </w:rPr>
      </w:pPr>
    </w:p>
    <w:p w14:paraId="14DBB7D9">
      <w:pPr>
        <w:snapToGrid w:val="0"/>
        <w:spacing w:line="440" w:lineRule="exact"/>
        <w:ind w:firstLine="560" w:firstLineChars="200"/>
        <w:rPr>
          <w:rFonts w:ascii="宋体" w:hAnsi="宋体"/>
          <w:color w:val="auto"/>
        </w:rPr>
      </w:pPr>
    </w:p>
    <w:p w14:paraId="1584A1CF">
      <w:pPr>
        <w:snapToGrid w:val="0"/>
        <w:spacing w:line="440" w:lineRule="exact"/>
        <w:ind w:firstLine="560" w:firstLineChars="200"/>
        <w:rPr>
          <w:rFonts w:ascii="宋体" w:hAnsi="宋体"/>
          <w:color w:val="auto"/>
        </w:rPr>
      </w:pPr>
    </w:p>
    <w:p w14:paraId="23555B8A">
      <w:pPr>
        <w:snapToGrid w:val="0"/>
        <w:spacing w:line="440" w:lineRule="exact"/>
        <w:ind w:firstLine="560" w:firstLineChars="200"/>
        <w:rPr>
          <w:rFonts w:ascii="宋体" w:hAnsi="宋体"/>
          <w:color w:val="auto"/>
        </w:rPr>
      </w:pPr>
    </w:p>
    <w:p w14:paraId="23FA03B7">
      <w:pPr>
        <w:snapToGrid w:val="0"/>
        <w:spacing w:line="440" w:lineRule="exact"/>
        <w:ind w:firstLine="560" w:firstLineChars="200"/>
        <w:rPr>
          <w:rFonts w:ascii="宋体" w:hAnsi="宋体"/>
          <w:color w:val="auto"/>
        </w:rPr>
      </w:pPr>
    </w:p>
    <w:p w14:paraId="5E8F84AF">
      <w:pPr>
        <w:snapToGrid w:val="0"/>
        <w:spacing w:line="440" w:lineRule="exact"/>
        <w:ind w:firstLine="560" w:firstLineChars="200"/>
        <w:rPr>
          <w:rFonts w:ascii="宋体" w:hAnsi="宋体"/>
          <w:color w:val="auto"/>
        </w:rPr>
      </w:pPr>
    </w:p>
    <w:p w14:paraId="34DF4981">
      <w:pPr>
        <w:snapToGrid w:val="0"/>
        <w:spacing w:line="440" w:lineRule="exact"/>
        <w:ind w:firstLine="560" w:firstLineChars="200"/>
        <w:rPr>
          <w:rFonts w:ascii="宋体" w:hAnsi="宋体"/>
          <w:color w:val="auto"/>
        </w:rPr>
      </w:pPr>
    </w:p>
    <w:p w14:paraId="2F041E0E">
      <w:pPr>
        <w:snapToGrid w:val="0"/>
        <w:spacing w:line="440" w:lineRule="exact"/>
        <w:ind w:firstLine="560" w:firstLineChars="200"/>
        <w:rPr>
          <w:rFonts w:ascii="宋体" w:hAnsi="宋体"/>
          <w:color w:val="auto"/>
        </w:rPr>
      </w:pPr>
    </w:p>
    <w:p w14:paraId="3B3B4357">
      <w:pPr>
        <w:snapToGrid w:val="0"/>
        <w:spacing w:line="440" w:lineRule="exact"/>
        <w:ind w:firstLine="560" w:firstLineChars="200"/>
        <w:rPr>
          <w:rFonts w:ascii="宋体" w:hAnsi="宋体"/>
          <w:color w:val="auto"/>
        </w:rPr>
      </w:pPr>
    </w:p>
    <w:p w14:paraId="0EF45BA1">
      <w:pPr>
        <w:snapToGrid w:val="0"/>
        <w:spacing w:line="440" w:lineRule="exact"/>
        <w:ind w:firstLine="560" w:firstLineChars="200"/>
        <w:rPr>
          <w:rFonts w:ascii="宋体" w:hAnsi="宋体"/>
          <w:color w:val="auto"/>
        </w:rPr>
      </w:pPr>
    </w:p>
    <w:p w14:paraId="0680335B">
      <w:pPr>
        <w:snapToGrid w:val="0"/>
        <w:spacing w:line="440" w:lineRule="exact"/>
        <w:ind w:firstLine="560" w:firstLineChars="200"/>
        <w:rPr>
          <w:rFonts w:ascii="宋体" w:hAnsi="宋体"/>
          <w:color w:val="auto"/>
        </w:rPr>
      </w:pPr>
    </w:p>
    <w:p w14:paraId="13F88848">
      <w:pPr>
        <w:snapToGrid w:val="0"/>
        <w:spacing w:line="440" w:lineRule="exact"/>
        <w:ind w:firstLine="560" w:firstLineChars="200"/>
        <w:rPr>
          <w:rFonts w:ascii="宋体" w:hAnsi="宋体"/>
          <w:color w:val="auto"/>
        </w:rPr>
      </w:pPr>
    </w:p>
    <w:p w14:paraId="0E47B761">
      <w:pPr>
        <w:snapToGrid w:val="0"/>
        <w:spacing w:line="440" w:lineRule="exact"/>
        <w:ind w:firstLine="560" w:firstLineChars="200"/>
        <w:rPr>
          <w:rFonts w:ascii="宋体" w:hAnsi="宋体"/>
          <w:color w:val="auto"/>
        </w:rPr>
      </w:pPr>
    </w:p>
    <w:p w14:paraId="5E6B3533">
      <w:pPr>
        <w:snapToGrid w:val="0"/>
        <w:spacing w:line="440" w:lineRule="exact"/>
        <w:ind w:firstLine="560" w:firstLineChars="200"/>
        <w:rPr>
          <w:rFonts w:ascii="宋体" w:hAnsi="宋体"/>
          <w:color w:val="auto"/>
        </w:rPr>
      </w:pPr>
    </w:p>
    <w:p w14:paraId="4F39FA9C">
      <w:pPr>
        <w:snapToGrid w:val="0"/>
        <w:spacing w:line="440" w:lineRule="exact"/>
        <w:ind w:firstLine="560" w:firstLineChars="200"/>
        <w:rPr>
          <w:rFonts w:ascii="宋体" w:hAnsi="宋体"/>
          <w:color w:val="auto"/>
        </w:rPr>
      </w:pPr>
    </w:p>
    <w:p w14:paraId="27DD00C7">
      <w:pPr>
        <w:snapToGrid w:val="0"/>
        <w:spacing w:line="440" w:lineRule="exact"/>
        <w:ind w:firstLine="560" w:firstLineChars="200"/>
        <w:rPr>
          <w:rFonts w:ascii="宋体" w:hAnsi="宋体"/>
          <w:color w:val="auto"/>
        </w:rPr>
      </w:pPr>
    </w:p>
    <w:p w14:paraId="15678101">
      <w:pPr>
        <w:snapToGrid w:val="0"/>
        <w:spacing w:line="440" w:lineRule="exact"/>
        <w:ind w:firstLine="560" w:firstLineChars="200"/>
        <w:rPr>
          <w:rFonts w:ascii="宋体" w:hAnsi="宋体"/>
          <w:color w:val="auto"/>
        </w:rPr>
      </w:pPr>
    </w:p>
    <w:p w14:paraId="2662ACD0">
      <w:pPr>
        <w:snapToGrid w:val="0"/>
        <w:spacing w:line="440" w:lineRule="exact"/>
        <w:ind w:firstLine="560" w:firstLineChars="200"/>
        <w:rPr>
          <w:rFonts w:ascii="宋体" w:hAnsi="宋体"/>
          <w:color w:val="auto"/>
        </w:rPr>
      </w:pPr>
    </w:p>
    <w:p w14:paraId="06763D56">
      <w:pPr>
        <w:snapToGrid w:val="0"/>
        <w:spacing w:line="440" w:lineRule="exact"/>
        <w:ind w:firstLine="560" w:firstLineChars="200"/>
        <w:rPr>
          <w:rFonts w:ascii="宋体" w:hAnsi="宋体"/>
          <w:color w:val="auto"/>
        </w:rPr>
      </w:pPr>
    </w:p>
    <w:p w14:paraId="472291C9">
      <w:pPr>
        <w:snapToGrid w:val="0"/>
        <w:spacing w:line="440" w:lineRule="exact"/>
        <w:ind w:firstLine="560" w:firstLineChars="200"/>
        <w:rPr>
          <w:rFonts w:ascii="宋体" w:hAnsi="宋体"/>
          <w:color w:val="auto"/>
        </w:rPr>
      </w:pPr>
    </w:p>
    <w:p w14:paraId="377B000A">
      <w:pPr>
        <w:snapToGrid w:val="0"/>
        <w:spacing w:line="440" w:lineRule="exact"/>
        <w:ind w:firstLine="560" w:firstLineChars="200"/>
        <w:rPr>
          <w:rFonts w:ascii="宋体" w:hAnsi="宋体"/>
          <w:color w:val="auto"/>
        </w:rPr>
      </w:pPr>
    </w:p>
    <w:p w14:paraId="00F18F0F">
      <w:pPr>
        <w:snapToGrid w:val="0"/>
        <w:spacing w:line="440" w:lineRule="exact"/>
        <w:ind w:firstLine="560" w:firstLineChars="200"/>
        <w:rPr>
          <w:rFonts w:ascii="宋体" w:hAnsi="宋体"/>
          <w:color w:val="auto"/>
        </w:rPr>
      </w:pPr>
    </w:p>
    <w:p w14:paraId="288C3A7D">
      <w:pPr>
        <w:snapToGrid w:val="0"/>
        <w:spacing w:line="440" w:lineRule="exact"/>
        <w:ind w:firstLine="560" w:firstLineChars="200"/>
        <w:rPr>
          <w:rFonts w:ascii="宋体" w:hAnsi="宋体"/>
          <w:color w:val="auto"/>
        </w:rPr>
      </w:pPr>
    </w:p>
    <w:p w14:paraId="7BA04205">
      <w:pPr>
        <w:snapToGrid w:val="0"/>
        <w:spacing w:line="440" w:lineRule="exact"/>
        <w:ind w:firstLine="560" w:firstLineChars="200"/>
        <w:rPr>
          <w:rFonts w:ascii="宋体" w:hAnsi="宋体"/>
          <w:color w:val="auto"/>
        </w:rPr>
      </w:pPr>
    </w:p>
    <w:p w14:paraId="51031ED4">
      <w:pPr>
        <w:snapToGrid w:val="0"/>
        <w:spacing w:line="440" w:lineRule="exact"/>
        <w:ind w:firstLine="560" w:firstLineChars="200"/>
        <w:rPr>
          <w:rFonts w:ascii="宋体" w:hAnsi="宋体"/>
          <w:color w:val="auto"/>
        </w:rPr>
      </w:pPr>
    </w:p>
    <w:p w14:paraId="0E02FCEE">
      <w:pPr>
        <w:snapToGrid w:val="0"/>
        <w:spacing w:line="440" w:lineRule="exact"/>
        <w:ind w:firstLine="560" w:firstLineChars="200"/>
        <w:rPr>
          <w:rFonts w:ascii="宋体" w:hAnsi="宋体"/>
          <w:color w:val="auto"/>
        </w:rPr>
      </w:pPr>
    </w:p>
    <w:p w14:paraId="56D8C522">
      <w:pPr>
        <w:snapToGrid w:val="0"/>
        <w:spacing w:line="440" w:lineRule="exact"/>
        <w:ind w:firstLine="560" w:firstLineChars="200"/>
        <w:rPr>
          <w:rFonts w:ascii="宋体" w:hAnsi="宋体"/>
          <w:color w:val="auto"/>
        </w:rPr>
      </w:pPr>
    </w:p>
    <w:p w14:paraId="39545484">
      <w:pPr>
        <w:snapToGrid w:val="0"/>
        <w:spacing w:line="440" w:lineRule="exact"/>
        <w:ind w:firstLine="560" w:firstLineChars="200"/>
        <w:rPr>
          <w:rFonts w:ascii="宋体" w:hAnsi="宋体"/>
          <w:color w:val="auto"/>
        </w:rPr>
      </w:pPr>
    </w:p>
    <w:p w14:paraId="0959DFFB">
      <w:pPr>
        <w:snapToGrid w:val="0"/>
        <w:spacing w:line="440" w:lineRule="exact"/>
        <w:ind w:firstLine="560" w:firstLineChars="200"/>
        <w:rPr>
          <w:rFonts w:ascii="宋体" w:hAnsi="宋体"/>
          <w:color w:val="auto"/>
        </w:rPr>
      </w:pPr>
    </w:p>
    <w:p w14:paraId="6CA8717F">
      <w:pPr>
        <w:snapToGrid w:val="0"/>
        <w:spacing w:line="440" w:lineRule="exact"/>
        <w:ind w:firstLine="560" w:firstLineChars="200"/>
        <w:rPr>
          <w:rFonts w:ascii="宋体" w:hAnsi="宋体"/>
          <w:color w:val="auto"/>
        </w:rPr>
      </w:pPr>
    </w:p>
    <w:p w14:paraId="694BBA7D">
      <w:pPr>
        <w:snapToGrid w:val="0"/>
        <w:spacing w:line="440" w:lineRule="exact"/>
        <w:ind w:firstLine="562" w:firstLineChars="200"/>
        <w:rPr>
          <w:rFonts w:ascii="宋体" w:hAnsi="宋体"/>
          <w:b/>
          <w:bCs/>
          <w:color w:val="auto"/>
        </w:rPr>
      </w:pPr>
      <w:bookmarkStart w:id="240" w:name="_Toc186919441"/>
      <w:r>
        <w:rPr>
          <w:rFonts w:hint="eastAsia" w:ascii="宋体" w:hAnsi="宋体"/>
          <w:b/>
          <w:bCs/>
          <w:color w:val="auto"/>
        </w:rPr>
        <w:t>四、技术文件</w:t>
      </w:r>
      <w:bookmarkEnd w:id="240"/>
    </w:p>
    <w:p w14:paraId="55B4C993">
      <w:pPr>
        <w:numPr>
          <w:ilvl w:val="-1"/>
          <w:numId w:val="0"/>
        </w:numPr>
        <w:snapToGrid w:val="0"/>
        <w:spacing w:line="440" w:lineRule="exact"/>
        <w:ind w:firstLine="562" w:firstLineChars="200"/>
        <w:rPr>
          <w:rFonts w:hint="eastAsia" w:ascii="宋体" w:hAnsi="宋体"/>
          <w:b/>
          <w:color w:val="auto"/>
          <w:lang w:eastAsia="zh-CN"/>
        </w:rPr>
      </w:pPr>
      <w:r>
        <w:rPr>
          <w:rFonts w:hint="eastAsia" w:ascii="宋体" w:hAnsi="宋体"/>
          <w:b/>
          <w:color w:val="auto"/>
          <w:lang w:eastAsia="zh-CN"/>
        </w:rPr>
        <w:t>（</w:t>
      </w:r>
      <w:r>
        <w:rPr>
          <w:rFonts w:hint="eastAsia" w:ascii="宋体" w:hAnsi="宋体"/>
          <w:b/>
          <w:color w:val="auto"/>
          <w:lang w:val="en-US" w:eastAsia="zh-CN"/>
        </w:rPr>
        <w:t>一</w:t>
      </w:r>
      <w:r>
        <w:rPr>
          <w:rFonts w:hint="eastAsia" w:ascii="宋体" w:hAnsi="宋体"/>
          <w:b/>
          <w:color w:val="auto"/>
          <w:lang w:eastAsia="zh-CN"/>
        </w:rPr>
        <w:t>）首期投资食堂装修和餐厨设施设备等费用</w:t>
      </w:r>
    </w:p>
    <w:p w14:paraId="6FC7FB0E">
      <w:pPr>
        <w:numPr>
          <w:ilvl w:val="0"/>
          <w:numId w:val="0"/>
        </w:numPr>
        <w:snapToGrid w:val="0"/>
        <w:spacing w:line="44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格式自拟。</w:t>
      </w:r>
    </w:p>
    <w:p w14:paraId="18FB6854">
      <w:pPr>
        <w:numPr>
          <w:ilvl w:val="-1"/>
          <w:numId w:val="0"/>
        </w:numPr>
        <w:snapToGrid w:val="0"/>
        <w:spacing w:line="440" w:lineRule="exact"/>
        <w:ind w:firstLine="562" w:firstLineChars="200"/>
        <w:rPr>
          <w:rFonts w:hint="eastAsia" w:ascii="宋体" w:hAnsi="宋体"/>
          <w:b/>
          <w:color w:val="auto"/>
        </w:rPr>
      </w:pPr>
    </w:p>
    <w:p w14:paraId="3D6F1397">
      <w:pPr>
        <w:numPr>
          <w:ilvl w:val="-1"/>
          <w:numId w:val="0"/>
        </w:numPr>
        <w:snapToGrid/>
        <w:spacing w:line="240" w:lineRule="auto"/>
        <w:ind w:firstLine="0" w:firstLineChars="0"/>
        <w:rPr>
          <w:rFonts w:hint="eastAsia" w:ascii="宋体" w:hAnsi="宋体"/>
          <w:b/>
          <w:color w:val="auto"/>
        </w:rPr>
      </w:pPr>
      <w:r>
        <w:rPr>
          <w:rFonts w:hint="eastAsia" w:ascii="宋体" w:hAnsi="宋体"/>
          <w:b/>
          <w:color w:val="auto"/>
        </w:rPr>
        <w:br w:type="page"/>
      </w:r>
    </w:p>
    <w:p w14:paraId="4C9867DC">
      <w:pPr>
        <w:numPr>
          <w:ilvl w:val="-1"/>
          <w:numId w:val="0"/>
        </w:numPr>
        <w:snapToGrid w:val="0"/>
        <w:spacing w:line="440" w:lineRule="exact"/>
        <w:ind w:firstLine="562" w:firstLineChars="200"/>
        <w:rPr>
          <w:rFonts w:ascii="宋体" w:hAnsi="宋体"/>
          <w:b/>
          <w:color w:val="auto"/>
        </w:rPr>
      </w:pPr>
      <w:r>
        <w:rPr>
          <w:rFonts w:hint="eastAsia" w:ascii="宋体" w:hAnsi="宋体"/>
          <w:b/>
          <w:color w:val="auto"/>
        </w:rPr>
        <w:t>（</w:t>
      </w:r>
      <w:r>
        <w:rPr>
          <w:rFonts w:hint="eastAsia" w:ascii="宋体" w:hAnsi="宋体"/>
          <w:b/>
          <w:color w:val="auto"/>
          <w:lang w:val="en-US" w:eastAsia="zh-CN"/>
        </w:rPr>
        <w:t>二</w:t>
      </w:r>
      <w:r>
        <w:rPr>
          <w:rFonts w:hint="eastAsia" w:ascii="宋体" w:hAnsi="宋体"/>
          <w:b/>
          <w:color w:val="auto"/>
        </w:rPr>
        <w:t>）经济与技术条款差异表（参考）</w:t>
      </w:r>
    </w:p>
    <w:p w14:paraId="101A4DA0">
      <w:pPr>
        <w:snapToGrid w:val="0"/>
        <w:spacing w:line="440" w:lineRule="exact"/>
        <w:ind w:firstLine="480" w:firstLineChars="200"/>
        <w:rPr>
          <w:rFonts w:ascii="宋体" w:hAnsi="宋体"/>
          <w:color w:val="auto"/>
          <w:sz w:val="24"/>
          <w:szCs w:val="24"/>
        </w:rPr>
      </w:pPr>
      <w:bookmarkStart w:id="241" w:name="_Toc186919442"/>
      <w:r>
        <w:rPr>
          <w:rFonts w:hint="eastAsia" w:ascii="宋体" w:hAnsi="宋体"/>
          <w:color w:val="auto"/>
          <w:sz w:val="24"/>
          <w:szCs w:val="24"/>
        </w:rPr>
        <w:t>项目名称：</w:t>
      </w:r>
      <w:bookmarkEnd w:id="241"/>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702"/>
        <w:gridCol w:w="2520"/>
        <w:gridCol w:w="1888"/>
      </w:tblGrid>
      <w:tr w14:paraId="2A3F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0" w:type="dxa"/>
            <w:vAlign w:val="center"/>
          </w:tcPr>
          <w:p w14:paraId="7AAC945D">
            <w:pPr>
              <w:snapToGrid w:val="0"/>
              <w:spacing w:line="440" w:lineRule="exact"/>
              <w:jc w:val="center"/>
              <w:rPr>
                <w:rFonts w:ascii="宋体" w:hAnsi="宋体"/>
                <w:color w:val="auto"/>
                <w:sz w:val="24"/>
                <w:szCs w:val="24"/>
              </w:rPr>
            </w:pPr>
            <w:bookmarkStart w:id="242" w:name="_Toc186919443"/>
            <w:r>
              <w:rPr>
                <w:rFonts w:hint="eastAsia" w:ascii="宋体" w:hAnsi="宋体"/>
                <w:color w:val="auto"/>
                <w:sz w:val="24"/>
                <w:szCs w:val="24"/>
              </w:rPr>
              <w:t>序号</w:t>
            </w:r>
            <w:bookmarkEnd w:id="242"/>
          </w:p>
        </w:tc>
        <w:tc>
          <w:tcPr>
            <w:tcW w:w="2702" w:type="dxa"/>
            <w:vAlign w:val="center"/>
          </w:tcPr>
          <w:p w14:paraId="0F480C0B">
            <w:pPr>
              <w:snapToGrid w:val="0"/>
              <w:spacing w:line="440" w:lineRule="exact"/>
              <w:jc w:val="center"/>
              <w:rPr>
                <w:rFonts w:ascii="宋体" w:hAnsi="宋体"/>
                <w:color w:val="auto"/>
                <w:sz w:val="24"/>
                <w:szCs w:val="24"/>
              </w:rPr>
            </w:pPr>
            <w:bookmarkStart w:id="243" w:name="_Toc186919444"/>
            <w:r>
              <w:rPr>
                <w:rFonts w:hint="eastAsia" w:ascii="宋体" w:hAnsi="宋体"/>
                <w:color w:val="auto"/>
                <w:sz w:val="24"/>
                <w:szCs w:val="24"/>
              </w:rPr>
              <w:t>招标要求</w:t>
            </w:r>
            <w:bookmarkEnd w:id="243"/>
          </w:p>
        </w:tc>
        <w:tc>
          <w:tcPr>
            <w:tcW w:w="2520" w:type="dxa"/>
            <w:vAlign w:val="center"/>
          </w:tcPr>
          <w:p w14:paraId="2CF1A4B5">
            <w:pPr>
              <w:snapToGrid w:val="0"/>
              <w:spacing w:line="440" w:lineRule="exact"/>
              <w:jc w:val="center"/>
              <w:rPr>
                <w:rFonts w:ascii="宋体" w:hAnsi="宋体"/>
                <w:color w:val="auto"/>
                <w:sz w:val="24"/>
                <w:szCs w:val="24"/>
              </w:rPr>
            </w:pPr>
            <w:bookmarkStart w:id="244" w:name="_Toc186919445"/>
            <w:r>
              <w:rPr>
                <w:rFonts w:hint="eastAsia" w:ascii="宋体" w:hAnsi="宋体"/>
                <w:color w:val="auto"/>
                <w:sz w:val="24"/>
                <w:szCs w:val="24"/>
              </w:rPr>
              <w:t>投标应答</w:t>
            </w:r>
            <w:bookmarkEnd w:id="244"/>
          </w:p>
        </w:tc>
        <w:tc>
          <w:tcPr>
            <w:tcW w:w="1888" w:type="dxa"/>
            <w:vAlign w:val="center"/>
          </w:tcPr>
          <w:p w14:paraId="40EF7A7C">
            <w:pPr>
              <w:snapToGrid w:val="0"/>
              <w:spacing w:line="440" w:lineRule="exact"/>
              <w:jc w:val="center"/>
              <w:rPr>
                <w:rFonts w:ascii="宋体" w:hAnsi="宋体"/>
                <w:color w:val="auto"/>
                <w:sz w:val="24"/>
                <w:szCs w:val="24"/>
              </w:rPr>
            </w:pPr>
            <w:bookmarkStart w:id="245" w:name="_Toc186919446"/>
            <w:r>
              <w:rPr>
                <w:rFonts w:hint="eastAsia" w:ascii="宋体" w:hAnsi="宋体"/>
                <w:color w:val="auto"/>
                <w:sz w:val="24"/>
                <w:szCs w:val="24"/>
              </w:rPr>
              <w:t>差异说明</w:t>
            </w:r>
            <w:bookmarkEnd w:id="245"/>
          </w:p>
        </w:tc>
      </w:tr>
      <w:tr w14:paraId="522B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64674F32">
            <w:pPr>
              <w:snapToGrid w:val="0"/>
              <w:spacing w:line="440" w:lineRule="exact"/>
              <w:ind w:left="2" w:leftChars="-8" w:hanging="24" w:hangingChars="10"/>
              <w:rPr>
                <w:rFonts w:ascii="宋体" w:hAnsi="宋体"/>
                <w:color w:val="auto"/>
                <w:sz w:val="24"/>
                <w:szCs w:val="24"/>
              </w:rPr>
            </w:pPr>
          </w:p>
        </w:tc>
        <w:tc>
          <w:tcPr>
            <w:tcW w:w="2702" w:type="dxa"/>
            <w:vAlign w:val="center"/>
          </w:tcPr>
          <w:p w14:paraId="6FC6A1D7">
            <w:pPr>
              <w:snapToGrid w:val="0"/>
              <w:spacing w:line="440" w:lineRule="exact"/>
              <w:ind w:firstLine="480" w:firstLineChars="200"/>
              <w:rPr>
                <w:rFonts w:ascii="宋体" w:hAnsi="宋体"/>
                <w:color w:val="auto"/>
                <w:sz w:val="24"/>
                <w:szCs w:val="24"/>
              </w:rPr>
            </w:pPr>
          </w:p>
        </w:tc>
        <w:tc>
          <w:tcPr>
            <w:tcW w:w="2520" w:type="dxa"/>
            <w:vAlign w:val="center"/>
          </w:tcPr>
          <w:p w14:paraId="4D40C850">
            <w:pPr>
              <w:snapToGrid w:val="0"/>
              <w:spacing w:line="440" w:lineRule="exact"/>
              <w:ind w:firstLine="480" w:firstLineChars="200"/>
              <w:rPr>
                <w:rFonts w:ascii="宋体" w:hAnsi="宋体"/>
                <w:color w:val="auto"/>
                <w:sz w:val="24"/>
                <w:szCs w:val="24"/>
              </w:rPr>
            </w:pPr>
          </w:p>
        </w:tc>
        <w:tc>
          <w:tcPr>
            <w:tcW w:w="1888" w:type="dxa"/>
            <w:vAlign w:val="center"/>
          </w:tcPr>
          <w:p w14:paraId="3793466D">
            <w:pPr>
              <w:snapToGrid w:val="0"/>
              <w:spacing w:line="440" w:lineRule="exact"/>
              <w:ind w:firstLine="480" w:firstLineChars="200"/>
              <w:rPr>
                <w:rFonts w:ascii="宋体" w:hAnsi="宋体"/>
                <w:color w:val="auto"/>
                <w:sz w:val="24"/>
                <w:szCs w:val="24"/>
              </w:rPr>
            </w:pPr>
          </w:p>
        </w:tc>
      </w:tr>
      <w:tr w14:paraId="775E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1B719A9D">
            <w:pPr>
              <w:snapToGrid w:val="0"/>
              <w:spacing w:line="440" w:lineRule="exact"/>
              <w:ind w:firstLine="480" w:firstLineChars="200"/>
              <w:rPr>
                <w:rFonts w:ascii="宋体" w:hAnsi="宋体"/>
                <w:color w:val="auto"/>
                <w:sz w:val="24"/>
                <w:szCs w:val="24"/>
              </w:rPr>
            </w:pPr>
          </w:p>
        </w:tc>
        <w:tc>
          <w:tcPr>
            <w:tcW w:w="2702" w:type="dxa"/>
            <w:vAlign w:val="center"/>
          </w:tcPr>
          <w:p w14:paraId="76014781">
            <w:pPr>
              <w:snapToGrid w:val="0"/>
              <w:spacing w:line="440" w:lineRule="exact"/>
              <w:ind w:firstLine="480" w:firstLineChars="200"/>
              <w:rPr>
                <w:rFonts w:ascii="宋体" w:hAnsi="宋体"/>
                <w:color w:val="auto"/>
                <w:sz w:val="24"/>
                <w:szCs w:val="24"/>
              </w:rPr>
            </w:pPr>
          </w:p>
        </w:tc>
        <w:tc>
          <w:tcPr>
            <w:tcW w:w="2520" w:type="dxa"/>
            <w:vAlign w:val="center"/>
          </w:tcPr>
          <w:p w14:paraId="37D2CA1B">
            <w:pPr>
              <w:snapToGrid w:val="0"/>
              <w:spacing w:line="440" w:lineRule="exact"/>
              <w:ind w:firstLine="480" w:firstLineChars="200"/>
              <w:rPr>
                <w:rFonts w:ascii="宋体" w:hAnsi="宋体"/>
                <w:color w:val="auto"/>
                <w:sz w:val="24"/>
                <w:szCs w:val="24"/>
              </w:rPr>
            </w:pPr>
          </w:p>
        </w:tc>
        <w:tc>
          <w:tcPr>
            <w:tcW w:w="1888" w:type="dxa"/>
            <w:vAlign w:val="center"/>
          </w:tcPr>
          <w:p w14:paraId="4240A4CA">
            <w:pPr>
              <w:snapToGrid w:val="0"/>
              <w:spacing w:line="440" w:lineRule="exact"/>
              <w:ind w:firstLine="480" w:firstLineChars="200"/>
              <w:rPr>
                <w:rFonts w:ascii="宋体" w:hAnsi="宋体"/>
                <w:color w:val="auto"/>
                <w:sz w:val="24"/>
                <w:szCs w:val="24"/>
              </w:rPr>
            </w:pPr>
          </w:p>
        </w:tc>
      </w:tr>
      <w:tr w14:paraId="3344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47E8221C">
            <w:pPr>
              <w:snapToGrid w:val="0"/>
              <w:spacing w:line="440" w:lineRule="exact"/>
              <w:ind w:firstLine="480" w:firstLineChars="200"/>
              <w:rPr>
                <w:rFonts w:ascii="宋体" w:hAnsi="宋体"/>
                <w:color w:val="auto"/>
                <w:sz w:val="24"/>
                <w:szCs w:val="24"/>
              </w:rPr>
            </w:pPr>
          </w:p>
        </w:tc>
        <w:tc>
          <w:tcPr>
            <w:tcW w:w="2702" w:type="dxa"/>
            <w:vAlign w:val="center"/>
          </w:tcPr>
          <w:p w14:paraId="34FAC9BE">
            <w:pPr>
              <w:snapToGrid w:val="0"/>
              <w:spacing w:line="440" w:lineRule="exact"/>
              <w:ind w:firstLine="480" w:firstLineChars="200"/>
              <w:rPr>
                <w:rFonts w:ascii="宋体" w:hAnsi="宋体"/>
                <w:color w:val="auto"/>
                <w:sz w:val="24"/>
                <w:szCs w:val="24"/>
              </w:rPr>
            </w:pPr>
          </w:p>
        </w:tc>
        <w:tc>
          <w:tcPr>
            <w:tcW w:w="2520" w:type="dxa"/>
            <w:vAlign w:val="center"/>
          </w:tcPr>
          <w:p w14:paraId="249238EE">
            <w:pPr>
              <w:snapToGrid w:val="0"/>
              <w:spacing w:line="440" w:lineRule="exact"/>
              <w:ind w:firstLine="480" w:firstLineChars="200"/>
              <w:rPr>
                <w:rFonts w:ascii="宋体" w:hAnsi="宋体"/>
                <w:color w:val="auto"/>
                <w:sz w:val="24"/>
                <w:szCs w:val="24"/>
              </w:rPr>
            </w:pPr>
          </w:p>
        </w:tc>
        <w:tc>
          <w:tcPr>
            <w:tcW w:w="1888" w:type="dxa"/>
            <w:vAlign w:val="center"/>
          </w:tcPr>
          <w:p w14:paraId="3801FDBB">
            <w:pPr>
              <w:snapToGrid w:val="0"/>
              <w:spacing w:line="440" w:lineRule="exact"/>
              <w:ind w:firstLine="480" w:firstLineChars="200"/>
              <w:rPr>
                <w:rFonts w:ascii="宋体" w:hAnsi="宋体"/>
                <w:color w:val="auto"/>
                <w:sz w:val="24"/>
                <w:szCs w:val="24"/>
              </w:rPr>
            </w:pPr>
          </w:p>
        </w:tc>
      </w:tr>
      <w:tr w14:paraId="6E06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785691D2">
            <w:pPr>
              <w:snapToGrid w:val="0"/>
              <w:spacing w:line="440" w:lineRule="exact"/>
              <w:ind w:firstLine="480" w:firstLineChars="200"/>
              <w:rPr>
                <w:rFonts w:ascii="宋体" w:hAnsi="宋体"/>
                <w:color w:val="auto"/>
                <w:sz w:val="24"/>
                <w:szCs w:val="24"/>
              </w:rPr>
            </w:pPr>
          </w:p>
        </w:tc>
        <w:tc>
          <w:tcPr>
            <w:tcW w:w="2702" w:type="dxa"/>
            <w:vAlign w:val="center"/>
          </w:tcPr>
          <w:p w14:paraId="63B31215">
            <w:pPr>
              <w:snapToGrid w:val="0"/>
              <w:spacing w:line="440" w:lineRule="exact"/>
              <w:ind w:firstLine="480" w:firstLineChars="200"/>
              <w:rPr>
                <w:rFonts w:ascii="宋体" w:hAnsi="宋体"/>
                <w:color w:val="auto"/>
                <w:sz w:val="24"/>
                <w:szCs w:val="24"/>
              </w:rPr>
            </w:pPr>
          </w:p>
        </w:tc>
        <w:tc>
          <w:tcPr>
            <w:tcW w:w="2520" w:type="dxa"/>
            <w:vAlign w:val="center"/>
          </w:tcPr>
          <w:p w14:paraId="74E81D29">
            <w:pPr>
              <w:snapToGrid w:val="0"/>
              <w:spacing w:line="440" w:lineRule="exact"/>
              <w:ind w:firstLine="480" w:firstLineChars="200"/>
              <w:rPr>
                <w:rFonts w:ascii="宋体" w:hAnsi="宋体"/>
                <w:color w:val="auto"/>
                <w:sz w:val="24"/>
                <w:szCs w:val="24"/>
              </w:rPr>
            </w:pPr>
          </w:p>
        </w:tc>
        <w:tc>
          <w:tcPr>
            <w:tcW w:w="1888" w:type="dxa"/>
            <w:vAlign w:val="center"/>
          </w:tcPr>
          <w:p w14:paraId="722013A8">
            <w:pPr>
              <w:snapToGrid w:val="0"/>
              <w:spacing w:line="440" w:lineRule="exact"/>
              <w:ind w:firstLine="480" w:firstLineChars="200"/>
              <w:rPr>
                <w:rFonts w:ascii="宋体" w:hAnsi="宋体"/>
                <w:color w:val="auto"/>
                <w:sz w:val="24"/>
                <w:szCs w:val="24"/>
              </w:rPr>
            </w:pPr>
          </w:p>
        </w:tc>
      </w:tr>
      <w:tr w14:paraId="51F0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515EB4EA">
            <w:pPr>
              <w:snapToGrid w:val="0"/>
              <w:spacing w:line="440" w:lineRule="exact"/>
              <w:ind w:firstLine="480" w:firstLineChars="200"/>
              <w:rPr>
                <w:rFonts w:ascii="宋体" w:hAnsi="宋体"/>
                <w:color w:val="auto"/>
                <w:sz w:val="24"/>
                <w:szCs w:val="24"/>
              </w:rPr>
            </w:pPr>
          </w:p>
        </w:tc>
        <w:tc>
          <w:tcPr>
            <w:tcW w:w="2702" w:type="dxa"/>
            <w:vAlign w:val="center"/>
          </w:tcPr>
          <w:p w14:paraId="1B1CD2A1">
            <w:pPr>
              <w:snapToGrid w:val="0"/>
              <w:spacing w:line="440" w:lineRule="exact"/>
              <w:ind w:firstLine="480" w:firstLineChars="200"/>
              <w:rPr>
                <w:rFonts w:ascii="宋体" w:hAnsi="宋体"/>
                <w:color w:val="auto"/>
                <w:sz w:val="24"/>
                <w:szCs w:val="24"/>
              </w:rPr>
            </w:pPr>
          </w:p>
        </w:tc>
        <w:tc>
          <w:tcPr>
            <w:tcW w:w="2520" w:type="dxa"/>
            <w:vAlign w:val="center"/>
          </w:tcPr>
          <w:p w14:paraId="40B638DD">
            <w:pPr>
              <w:snapToGrid w:val="0"/>
              <w:spacing w:line="440" w:lineRule="exact"/>
              <w:ind w:firstLine="480" w:firstLineChars="200"/>
              <w:rPr>
                <w:rFonts w:ascii="宋体" w:hAnsi="宋体"/>
                <w:color w:val="auto"/>
                <w:sz w:val="24"/>
                <w:szCs w:val="24"/>
              </w:rPr>
            </w:pPr>
          </w:p>
        </w:tc>
        <w:tc>
          <w:tcPr>
            <w:tcW w:w="1888" w:type="dxa"/>
            <w:vAlign w:val="center"/>
          </w:tcPr>
          <w:p w14:paraId="117C4362">
            <w:pPr>
              <w:snapToGrid w:val="0"/>
              <w:spacing w:line="440" w:lineRule="exact"/>
              <w:ind w:firstLine="480" w:firstLineChars="200"/>
              <w:rPr>
                <w:rFonts w:ascii="宋体" w:hAnsi="宋体"/>
                <w:color w:val="auto"/>
                <w:sz w:val="24"/>
                <w:szCs w:val="24"/>
              </w:rPr>
            </w:pPr>
          </w:p>
        </w:tc>
      </w:tr>
      <w:tr w14:paraId="0843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7BA21FD2">
            <w:pPr>
              <w:snapToGrid w:val="0"/>
              <w:spacing w:line="440" w:lineRule="exact"/>
              <w:ind w:firstLine="480" w:firstLineChars="200"/>
              <w:rPr>
                <w:rFonts w:ascii="宋体" w:hAnsi="宋体"/>
                <w:color w:val="auto"/>
                <w:sz w:val="24"/>
                <w:szCs w:val="24"/>
              </w:rPr>
            </w:pPr>
          </w:p>
        </w:tc>
        <w:tc>
          <w:tcPr>
            <w:tcW w:w="2702" w:type="dxa"/>
            <w:vAlign w:val="center"/>
          </w:tcPr>
          <w:p w14:paraId="56AE0B50">
            <w:pPr>
              <w:snapToGrid w:val="0"/>
              <w:spacing w:line="440" w:lineRule="exact"/>
              <w:ind w:firstLine="480" w:firstLineChars="200"/>
              <w:rPr>
                <w:rFonts w:ascii="宋体" w:hAnsi="宋体"/>
                <w:color w:val="auto"/>
                <w:sz w:val="24"/>
                <w:szCs w:val="24"/>
              </w:rPr>
            </w:pPr>
          </w:p>
        </w:tc>
        <w:tc>
          <w:tcPr>
            <w:tcW w:w="2520" w:type="dxa"/>
            <w:vAlign w:val="center"/>
          </w:tcPr>
          <w:p w14:paraId="1C1A8707">
            <w:pPr>
              <w:snapToGrid w:val="0"/>
              <w:spacing w:line="440" w:lineRule="exact"/>
              <w:ind w:firstLine="480" w:firstLineChars="200"/>
              <w:rPr>
                <w:rFonts w:ascii="宋体" w:hAnsi="宋体"/>
                <w:color w:val="auto"/>
                <w:sz w:val="24"/>
                <w:szCs w:val="24"/>
              </w:rPr>
            </w:pPr>
          </w:p>
        </w:tc>
        <w:tc>
          <w:tcPr>
            <w:tcW w:w="1888" w:type="dxa"/>
            <w:vAlign w:val="center"/>
          </w:tcPr>
          <w:p w14:paraId="751E6B39">
            <w:pPr>
              <w:snapToGrid w:val="0"/>
              <w:spacing w:line="440" w:lineRule="exact"/>
              <w:ind w:firstLine="480" w:firstLineChars="200"/>
              <w:rPr>
                <w:rFonts w:ascii="宋体" w:hAnsi="宋体"/>
                <w:color w:val="auto"/>
                <w:sz w:val="24"/>
                <w:szCs w:val="24"/>
              </w:rPr>
            </w:pPr>
          </w:p>
        </w:tc>
      </w:tr>
      <w:tr w14:paraId="4C21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7909BBE1">
            <w:pPr>
              <w:snapToGrid w:val="0"/>
              <w:spacing w:line="440" w:lineRule="exact"/>
              <w:ind w:firstLine="480" w:firstLineChars="200"/>
              <w:rPr>
                <w:rFonts w:ascii="宋体" w:hAnsi="宋体"/>
                <w:color w:val="auto"/>
                <w:sz w:val="24"/>
                <w:szCs w:val="24"/>
              </w:rPr>
            </w:pPr>
          </w:p>
        </w:tc>
        <w:tc>
          <w:tcPr>
            <w:tcW w:w="2702" w:type="dxa"/>
            <w:vAlign w:val="center"/>
          </w:tcPr>
          <w:p w14:paraId="2892E72C">
            <w:pPr>
              <w:snapToGrid w:val="0"/>
              <w:spacing w:line="440" w:lineRule="exact"/>
              <w:ind w:firstLine="480" w:firstLineChars="200"/>
              <w:rPr>
                <w:rFonts w:ascii="宋体" w:hAnsi="宋体"/>
                <w:color w:val="auto"/>
                <w:sz w:val="24"/>
                <w:szCs w:val="24"/>
              </w:rPr>
            </w:pPr>
          </w:p>
        </w:tc>
        <w:tc>
          <w:tcPr>
            <w:tcW w:w="2520" w:type="dxa"/>
            <w:vAlign w:val="center"/>
          </w:tcPr>
          <w:p w14:paraId="1BFA575A">
            <w:pPr>
              <w:snapToGrid w:val="0"/>
              <w:spacing w:line="440" w:lineRule="exact"/>
              <w:ind w:firstLine="480" w:firstLineChars="200"/>
              <w:rPr>
                <w:rFonts w:ascii="宋体" w:hAnsi="宋体"/>
                <w:color w:val="auto"/>
                <w:sz w:val="24"/>
                <w:szCs w:val="24"/>
              </w:rPr>
            </w:pPr>
          </w:p>
        </w:tc>
        <w:tc>
          <w:tcPr>
            <w:tcW w:w="1888" w:type="dxa"/>
            <w:vAlign w:val="center"/>
          </w:tcPr>
          <w:p w14:paraId="13D779F1">
            <w:pPr>
              <w:snapToGrid w:val="0"/>
              <w:spacing w:line="440" w:lineRule="exact"/>
              <w:ind w:firstLine="480" w:firstLineChars="200"/>
              <w:rPr>
                <w:rFonts w:ascii="宋体" w:hAnsi="宋体"/>
                <w:color w:val="auto"/>
                <w:sz w:val="24"/>
                <w:szCs w:val="24"/>
              </w:rPr>
            </w:pPr>
          </w:p>
        </w:tc>
      </w:tr>
      <w:tr w14:paraId="30AA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0" w:type="dxa"/>
            <w:vAlign w:val="center"/>
          </w:tcPr>
          <w:p w14:paraId="5DBBAB34">
            <w:pPr>
              <w:snapToGrid w:val="0"/>
              <w:spacing w:line="440" w:lineRule="exact"/>
              <w:ind w:firstLine="480" w:firstLineChars="200"/>
              <w:rPr>
                <w:rFonts w:ascii="宋体" w:hAnsi="宋体"/>
                <w:color w:val="auto"/>
                <w:sz w:val="24"/>
                <w:szCs w:val="24"/>
              </w:rPr>
            </w:pPr>
          </w:p>
        </w:tc>
        <w:tc>
          <w:tcPr>
            <w:tcW w:w="2702" w:type="dxa"/>
            <w:vAlign w:val="center"/>
          </w:tcPr>
          <w:p w14:paraId="0DEC551A">
            <w:pPr>
              <w:snapToGrid w:val="0"/>
              <w:spacing w:line="440" w:lineRule="exact"/>
              <w:ind w:firstLine="480" w:firstLineChars="200"/>
              <w:rPr>
                <w:rFonts w:ascii="宋体" w:hAnsi="宋体"/>
                <w:color w:val="auto"/>
                <w:sz w:val="24"/>
                <w:szCs w:val="24"/>
              </w:rPr>
            </w:pPr>
          </w:p>
        </w:tc>
        <w:tc>
          <w:tcPr>
            <w:tcW w:w="2520" w:type="dxa"/>
            <w:vAlign w:val="center"/>
          </w:tcPr>
          <w:p w14:paraId="1DF69865">
            <w:pPr>
              <w:snapToGrid w:val="0"/>
              <w:spacing w:line="440" w:lineRule="exact"/>
              <w:ind w:firstLine="480" w:firstLineChars="200"/>
              <w:rPr>
                <w:rFonts w:ascii="宋体" w:hAnsi="宋体"/>
                <w:color w:val="auto"/>
                <w:sz w:val="24"/>
                <w:szCs w:val="24"/>
              </w:rPr>
            </w:pPr>
          </w:p>
        </w:tc>
        <w:tc>
          <w:tcPr>
            <w:tcW w:w="1888" w:type="dxa"/>
            <w:vAlign w:val="center"/>
          </w:tcPr>
          <w:p w14:paraId="6B504284">
            <w:pPr>
              <w:snapToGrid w:val="0"/>
              <w:spacing w:line="440" w:lineRule="exact"/>
              <w:ind w:firstLine="480" w:firstLineChars="200"/>
              <w:rPr>
                <w:rFonts w:ascii="宋体" w:hAnsi="宋体"/>
                <w:color w:val="auto"/>
                <w:sz w:val="24"/>
                <w:szCs w:val="24"/>
              </w:rPr>
            </w:pPr>
          </w:p>
        </w:tc>
      </w:tr>
    </w:tbl>
    <w:p w14:paraId="7126A793">
      <w:pPr>
        <w:snapToGrid w:val="0"/>
        <w:spacing w:line="440" w:lineRule="exact"/>
        <w:ind w:firstLine="480" w:firstLineChars="200"/>
        <w:rPr>
          <w:rFonts w:ascii="宋体" w:hAnsi="宋体"/>
          <w:color w:val="auto"/>
          <w:sz w:val="24"/>
          <w:szCs w:val="24"/>
        </w:rPr>
      </w:pPr>
    </w:p>
    <w:p w14:paraId="218CEBAF">
      <w:pPr>
        <w:snapToGrid w:val="0"/>
        <w:spacing w:line="440" w:lineRule="exact"/>
        <w:ind w:firstLine="480" w:firstLineChars="200"/>
        <w:rPr>
          <w:rFonts w:ascii="宋体" w:hAnsi="宋体"/>
          <w:color w:val="auto"/>
          <w:sz w:val="24"/>
          <w:szCs w:val="24"/>
        </w:rPr>
      </w:pPr>
    </w:p>
    <w:p w14:paraId="1FD962E9">
      <w:pPr>
        <w:snapToGrid w:val="0"/>
        <w:spacing w:line="440" w:lineRule="exact"/>
        <w:ind w:firstLine="480" w:firstLineChars="200"/>
        <w:rPr>
          <w:rFonts w:ascii="宋体" w:hAnsi="宋体"/>
          <w:color w:val="auto"/>
          <w:sz w:val="24"/>
          <w:szCs w:val="24"/>
        </w:rPr>
      </w:pPr>
    </w:p>
    <w:p w14:paraId="1C724608">
      <w:pPr>
        <w:snapToGrid w:val="0"/>
        <w:spacing w:line="440" w:lineRule="exact"/>
        <w:ind w:firstLine="480" w:firstLineChars="200"/>
        <w:rPr>
          <w:rFonts w:ascii="宋体" w:hAnsi="宋体"/>
          <w:color w:val="auto"/>
          <w:sz w:val="24"/>
          <w:szCs w:val="24"/>
        </w:rPr>
      </w:pPr>
    </w:p>
    <w:p w14:paraId="63C13965">
      <w:pP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投标人：　　　　                 　法定代表人授权代表：</w:t>
      </w:r>
    </w:p>
    <w:p w14:paraId="759A10CF">
      <w:pP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（投标人公章）　　　　                 （签字）</w:t>
      </w:r>
    </w:p>
    <w:p w14:paraId="359476E9">
      <w:pP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　　年  月  日                           年  月  日</w:t>
      </w:r>
    </w:p>
    <w:p w14:paraId="57AE9824">
      <w:pPr>
        <w:snapToGrid w:val="0"/>
        <w:spacing w:line="440" w:lineRule="exact"/>
        <w:ind w:firstLine="560" w:firstLineChars="200"/>
        <w:rPr>
          <w:rFonts w:ascii="宋体" w:hAnsi="宋体"/>
          <w:color w:val="auto"/>
        </w:rPr>
      </w:pPr>
    </w:p>
    <w:p w14:paraId="0643FF23">
      <w:pPr>
        <w:snapToGrid w:val="0"/>
        <w:spacing w:line="440" w:lineRule="exact"/>
        <w:ind w:firstLine="560" w:firstLineChars="200"/>
        <w:rPr>
          <w:rFonts w:ascii="宋体" w:hAnsi="宋体"/>
          <w:color w:val="auto"/>
        </w:rPr>
      </w:pPr>
    </w:p>
    <w:p w14:paraId="1242C6A8">
      <w:pPr>
        <w:snapToGrid w:val="0"/>
        <w:spacing w:line="440" w:lineRule="exact"/>
        <w:ind w:firstLine="560" w:firstLineChars="200"/>
        <w:rPr>
          <w:rFonts w:ascii="宋体" w:hAnsi="宋体"/>
          <w:color w:val="auto"/>
        </w:rPr>
      </w:pPr>
    </w:p>
    <w:p w14:paraId="126E50B2">
      <w:pPr>
        <w:snapToGrid w:val="0"/>
        <w:spacing w:line="440" w:lineRule="exact"/>
        <w:ind w:firstLine="560" w:firstLineChars="200"/>
        <w:rPr>
          <w:rFonts w:ascii="宋体" w:hAnsi="宋体"/>
          <w:color w:val="auto"/>
        </w:rPr>
      </w:pPr>
      <w:r>
        <w:rPr>
          <w:rFonts w:hint="eastAsia" w:ascii="宋体" w:hAnsi="宋体"/>
          <w:color w:val="auto"/>
        </w:rPr>
        <w:t>注：</w:t>
      </w:r>
    </w:p>
    <w:p w14:paraId="6BC65835">
      <w:pPr>
        <w:snapToGrid w:val="0"/>
        <w:spacing w:line="440" w:lineRule="exact"/>
        <w:ind w:firstLine="560" w:firstLineChars="200"/>
        <w:rPr>
          <w:rFonts w:ascii="宋体" w:hAnsi="宋体"/>
          <w:color w:val="auto"/>
        </w:rPr>
      </w:pPr>
      <w:r>
        <w:rPr>
          <w:rFonts w:ascii="宋体" w:hAnsi="宋体"/>
          <w:color w:val="auto"/>
        </w:rPr>
        <w:t>1.</w:t>
      </w:r>
      <w:r>
        <w:rPr>
          <w:rFonts w:hint="eastAsia" w:ascii="宋体" w:hAnsi="宋体"/>
          <w:color w:val="auto"/>
        </w:rPr>
        <w:t>本表即为对本项目第二篇要求进行比较和响应；</w:t>
      </w:r>
    </w:p>
    <w:p w14:paraId="21D569E2">
      <w:pPr>
        <w:snapToGrid w:val="0"/>
        <w:spacing w:line="440" w:lineRule="exact"/>
        <w:ind w:firstLine="560" w:firstLineChars="200"/>
        <w:rPr>
          <w:rFonts w:ascii="宋体" w:hAnsi="宋体"/>
          <w:color w:val="auto"/>
        </w:rPr>
      </w:pPr>
      <w:r>
        <w:rPr>
          <w:rFonts w:ascii="宋体" w:hAnsi="宋体"/>
          <w:color w:val="auto"/>
        </w:rPr>
        <w:t>2.</w:t>
      </w:r>
      <w:r>
        <w:rPr>
          <w:rFonts w:hint="eastAsia" w:ascii="宋体" w:hAnsi="宋体"/>
          <w:color w:val="auto"/>
        </w:rPr>
        <w:t>该表必须按照招标文件要求逐条如实填写，根据投标情况在“差异说明”项填写正偏离或负偏离及原因，完全符合的填写“无差异”；</w:t>
      </w:r>
    </w:p>
    <w:p w14:paraId="4A7F822C">
      <w:pPr>
        <w:snapToGrid w:val="0"/>
        <w:spacing w:line="440" w:lineRule="exact"/>
        <w:ind w:firstLine="560" w:firstLineChars="200"/>
        <w:rPr>
          <w:rFonts w:ascii="宋体" w:hAnsi="宋体"/>
          <w:color w:val="auto"/>
        </w:rPr>
      </w:pPr>
      <w:r>
        <w:rPr>
          <w:rFonts w:ascii="宋体" w:hAnsi="宋体"/>
          <w:color w:val="auto"/>
        </w:rPr>
        <w:t>3.</w:t>
      </w:r>
      <w:r>
        <w:rPr>
          <w:rFonts w:hint="eastAsia" w:ascii="宋体" w:hAnsi="宋体"/>
          <w:color w:val="auto"/>
        </w:rPr>
        <w:t>该表可扩展；</w:t>
      </w:r>
    </w:p>
    <w:p w14:paraId="47A98F0C">
      <w:pPr>
        <w:snapToGrid w:val="0"/>
        <w:spacing w:line="440" w:lineRule="exact"/>
        <w:ind w:firstLine="560" w:firstLineChars="200"/>
        <w:rPr>
          <w:rFonts w:ascii="宋体" w:hAnsi="宋体"/>
          <w:color w:val="auto"/>
        </w:rPr>
      </w:pPr>
      <w:r>
        <w:rPr>
          <w:rFonts w:ascii="宋体" w:hAnsi="宋体"/>
          <w:color w:val="auto"/>
        </w:rPr>
        <w:t>4.</w:t>
      </w:r>
      <w:r>
        <w:rPr>
          <w:rFonts w:hint="eastAsia" w:ascii="宋体" w:hAnsi="宋体"/>
          <w:color w:val="auto"/>
        </w:rPr>
        <w:t>可附相关技术支撑材料（格式自定）。</w:t>
      </w:r>
    </w:p>
    <w:p w14:paraId="6ECEB113">
      <w:pPr>
        <w:snapToGrid w:val="0"/>
        <w:spacing w:line="440" w:lineRule="exact"/>
        <w:ind w:firstLine="562" w:firstLineChars="200"/>
        <w:rPr>
          <w:rFonts w:ascii="宋体" w:hAnsi="宋体"/>
          <w:b/>
          <w:bCs/>
          <w:color w:val="auto"/>
        </w:rPr>
      </w:pPr>
    </w:p>
    <w:p w14:paraId="26E78713">
      <w:pPr>
        <w:snapToGrid w:val="0"/>
        <w:spacing w:line="440" w:lineRule="exact"/>
        <w:rPr>
          <w:rFonts w:ascii="宋体" w:hAnsi="宋体"/>
          <w:color w:val="auto"/>
        </w:rPr>
      </w:pPr>
    </w:p>
    <w:p w14:paraId="2423030D">
      <w:pPr>
        <w:pStyle w:val="4"/>
        <w:spacing w:before="0" w:after="0" w:line="360" w:lineRule="auto"/>
        <w:rPr>
          <w:rFonts w:ascii="方正仿宋_GBK" w:hAnsi="宋体" w:eastAsia="方正仿宋_GBK"/>
          <w:color w:val="auto"/>
          <w:sz w:val="24"/>
          <w:szCs w:val="24"/>
        </w:rPr>
      </w:pPr>
      <w:bookmarkStart w:id="246" w:name="_Toc29735"/>
      <w:bookmarkStart w:id="247" w:name="_Toc31251"/>
      <w:bookmarkStart w:id="248" w:name="_Toc42790110"/>
      <w:r>
        <w:rPr>
          <w:rFonts w:hint="eastAsia" w:ascii="方正仿宋_GBK" w:hAnsi="宋体" w:eastAsia="方正仿宋_GBK"/>
          <w:color w:val="auto"/>
          <w:sz w:val="24"/>
          <w:szCs w:val="24"/>
        </w:rPr>
        <w:t>五、</w:t>
      </w:r>
      <w:r>
        <w:rPr>
          <w:rFonts w:hint="eastAsia" w:ascii="方正仿宋_GBK" w:eastAsia="方正仿宋_GBK"/>
          <w:color w:val="auto"/>
          <w:sz w:val="24"/>
          <w:szCs w:val="24"/>
        </w:rPr>
        <w:t>其他</w:t>
      </w:r>
      <w:bookmarkEnd w:id="246"/>
      <w:bookmarkEnd w:id="247"/>
      <w:bookmarkEnd w:id="248"/>
    </w:p>
    <w:p w14:paraId="04DA5ACC">
      <w:pPr>
        <w:snapToGrid w:val="0"/>
        <w:spacing w:line="44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一</w:t>
      </w:r>
      <w:r>
        <w:rPr>
          <w:rFonts w:hint="eastAsia" w:ascii="方正仿宋_GBK" w:hAnsi="宋体" w:eastAsia="方正仿宋_GBK"/>
          <w:color w:val="auto"/>
          <w:sz w:val="24"/>
          <w:szCs w:val="24"/>
        </w:rPr>
        <w:t>）其他与项目有关的资料</w:t>
      </w:r>
    </w:p>
    <w:p w14:paraId="3A1C0094">
      <w:pPr>
        <w:spacing w:line="360"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其他与项目有关的资料（自附）：供应商总体情况介绍、其他与本项目有关的资料等。</w:t>
      </w:r>
    </w:p>
    <w:p w14:paraId="4309F936">
      <w:pPr>
        <w:spacing w:line="240" w:lineRule="auto"/>
        <w:ind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br w:type="page"/>
      </w:r>
    </w:p>
    <w:p w14:paraId="4C15C80F">
      <w:pPr>
        <w:spacing w:line="360" w:lineRule="auto"/>
        <w:ind w:firstLine="480" w:firstLineChars="200"/>
        <w:rPr>
          <w:rFonts w:hint="eastAsia" w:ascii="方正仿宋_GBK" w:hAnsi="宋体" w:eastAsia="方正仿宋_GBK"/>
          <w:color w:val="auto"/>
          <w:sz w:val="24"/>
          <w:szCs w:val="24"/>
        </w:rPr>
      </w:pPr>
      <w:r>
        <w:rPr>
          <w:rFonts w:hint="eastAsia" w:ascii="仿宋" w:hAnsi="仿宋" w:eastAsia="仿宋" w:cs="仿宋"/>
          <w:b w:val="0"/>
          <w:bCs w:val="0"/>
          <w:color w:val="auto"/>
          <w:sz w:val="24"/>
          <w:szCs w:val="24"/>
        </w:rPr>
        <w:t>（二）同一供应商投标2个或3个包的，须提供书面承诺函（承诺如果不止一个包成为排名第一的中标人，我方将按照包</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包</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包</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的先后顺序保留一个包），且各包书面承诺函必须一致。供应商投标1个包的无须提供此书面承诺函。</w:t>
      </w:r>
    </w:p>
    <w:p w14:paraId="22557B8F">
      <w:pPr>
        <w:spacing w:line="360" w:lineRule="auto"/>
        <w:ind w:firstLine="480" w:firstLineChars="200"/>
        <w:rPr>
          <w:rFonts w:ascii="方正仿宋_GBK" w:hAnsi="宋体" w:eastAsia="方正仿宋_GBK"/>
          <w:color w:val="auto"/>
          <w:sz w:val="24"/>
          <w:szCs w:val="24"/>
        </w:rPr>
      </w:pPr>
    </w:p>
    <w:p w14:paraId="7EBB38CD">
      <w:pPr>
        <w:spacing w:line="360" w:lineRule="auto"/>
        <w:ind w:firstLine="480" w:firstLineChars="200"/>
        <w:jc w:val="center"/>
        <w:rPr>
          <w:rFonts w:ascii="方正仿宋_GBK" w:hAnsi="宋体" w:eastAsia="方正仿宋_GBK"/>
          <w:color w:val="auto"/>
          <w:sz w:val="24"/>
          <w:szCs w:val="24"/>
        </w:rPr>
      </w:pPr>
    </w:p>
    <w:p w14:paraId="7E2C962F">
      <w:pPr>
        <w:spacing w:line="360" w:lineRule="auto"/>
        <w:ind w:firstLine="480" w:firstLineChars="200"/>
        <w:jc w:val="center"/>
        <w:rPr>
          <w:rFonts w:ascii="方正仿宋_GBK" w:hAnsi="宋体" w:eastAsia="方正仿宋_GBK"/>
          <w:color w:val="auto"/>
          <w:sz w:val="24"/>
          <w:szCs w:val="24"/>
        </w:rPr>
      </w:pPr>
    </w:p>
    <w:p w14:paraId="6209A9C5">
      <w:pPr>
        <w:spacing w:line="360" w:lineRule="auto"/>
        <w:ind w:firstLine="480" w:firstLineChars="200"/>
        <w:jc w:val="center"/>
        <w:rPr>
          <w:rFonts w:ascii="方正仿宋_GBK" w:hAnsi="宋体" w:eastAsia="方正仿宋_GBK"/>
          <w:color w:val="auto"/>
          <w:sz w:val="24"/>
          <w:szCs w:val="24"/>
        </w:rPr>
      </w:pPr>
    </w:p>
    <w:p w14:paraId="5140D07F">
      <w:pPr>
        <w:spacing w:line="360" w:lineRule="auto"/>
        <w:ind w:firstLine="480" w:firstLineChars="200"/>
        <w:jc w:val="center"/>
        <w:rPr>
          <w:rFonts w:ascii="方正仿宋_GBK" w:hAnsi="宋体" w:eastAsia="方正仿宋_GBK"/>
          <w:color w:val="auto"/>
          <w:sz w:val="24"/>
          <w:szCs w:val="24"/>
        </w:rPr>
      </w:pPr>
    </w:p>
    <w:p w14:paraId="63679E7A">
      <w:pPr>
        <w:spacing w:line="360" w:lineRule="auto"/>
        <w:ind w:firstLine="480" w:firstLineChars="200"/>
        <w:jc w:val="center"/>
        <w:rPr>
          <w:rFonts w:ascii="方正仿宋_GBK" w:hAnsi="宋体" w:eastAsia="方正仿宋_GBK"/>
          <w:color w:val="auto"/>
          <w:sz w:val="24"/>
          <w:szCs w:val="24"/>
        </w:rPr>
      </w:pPr>
    </w:p>
    <w:p w14:paraId="4689DDE6">
      <w:pPr>
        <w:spacing w:line="360" w:lineRule="auto"/>
        <w:ind w:firstLine="480" w:firstLineChars="200"/>
        <w:jc w:val="center"/>
        <w:rPr>
          <w:rFonts w:ascii="方正仿宋_GBK" w:hAnsi="宋体" w:eastAsia="方正仿宋_GBK"/>
          <w:color w:val="auto"/>
          <w:sz w:val="24"/>
          <w:szCs w:val="24"/>
        </w:rPr>
      </w:pPr>
    </w:p>
    <w:p w14:paraId="1999710C">
      <w:pPr>
        <w:spacing w:line="360" w:lineRule="auto"/>
        <w:ind w:firstLine="480" w:firstLineChars="200"/>
        <w:jc w:val="center"/>
        <w:rPr>
          <w:rFonts w:ascii="方正仿宋_GBK" w:hAnsi="宋体" w:eastAsia="方正仿宋_GBK"/>
          <w:color w:val="auto"/>
          <w:sz w:val="24"/>
          <w:szCs w:val="24"/>
        </w:rPr>
      </w:pPr>
    </w:p>
    <w:p w14:paraId="3B7A7D3C">
      <w:pPr>
        <w:spacing w:line="360" w:lineRule="auto"/>
        <w:ind w:firstLine="480" w:firstLineChars="200"/>
        <w:jc w:val="center"/>
        <w:rPr>
          <w:rFonts w:ascii="方正仿宋_GBK" w:hAnsi="宋体" w:eastAsia="方正仿宋_GBK"/>
          <w:color w:val="auto"/>
          <w:sz w:val="24"/>
          <w:szCs w:val="24"/>
        </w:rPr>
      </w:pPr>
    </w:p>
    <w:p w14:paraId="3FFA9DB3">
      <w:pPr>
        <w:spacing w:line="360" w:lineRule="auto"/>
        <w:ind w:firstLine="480" w:firstLineChars="200"/>
        <w:jc w:val="center"/>
        <w:rPr>
          <w:rFonts w:ascii="方正仿宋_GBK" w:hAnsi="宋体" w:eastAsia="方正仿宋_GBK"/>
          <w:color w:val="auto"/>
          <w:sz w:val="24"/>
          <w:szCs w:val="24"/>
        </w:rPr>
      </w:pPr>
    </w:p>
    <w:p w14:paraId="36F276D4">
      <w:pPr>
        <w:spacing w:line="360" w:lineRule="auto"/>
        <w:ind w:firstLine="480" w:firstLineChars="200"/>
        <w:jc w:val="center"/>
        <w:rPr>
          <w:rFonts w:ascii="方正仿宋_GBK" w:hAnsi="宋体" w:eastAsia="方正仿宋_GBK"/>
          <w:color w:val="auto"/>
          <w:sz w:val="24"/>
          <w:szCs w:val="24"/>
        </w:rPr>
      </w:pPr>
    </w:p>
    <w:p w14:paraId="5B2184A8">
      <w:pPr>
        <w:spacing w:line="360" w:lineRule="auto"/>
        <w:ind w:firstLine="480" w:firstLineChars="200"/>
        <w:jc w:val="center"/>
        <w:rPr>
          <w:rFonts w:ascii="方正仿宋_GBK" w:hAnsi="宋体" w:eastAsia="方正仿宋_GBK"/>
          <w:color w:val="auto"/>
          <w:sz w:val="24"/>
          <w:szCs w:val="24"/>
        </w:rPr>
      </w:pPr>
    </w:p>
    <w:p w14:paraId="3ED250FA">
      <w:pPr>
        <w:spacing w:line="360" w:lineRule="auto"/>
        <w:ind w:firstLine="480" w:firstLineChars="200"/>
        <w:jc w:val="center"/>
        <w:rPr>
          <w:rFonts w:ascii="方正仿宋_GBK" w:hAnsi="宋体" w:eastAsia="方正仿宋_GBK"/>
          <w:color w:val="auto"/>
          <w:sz w:val="24"/>
          <w:szCs w:val="24"/>
        </w:rPr>
      </w:pPr>
    </w:p>
    <w:p w14:paraId="0C5489D6">
      <w:pPr>
        <w:spacing w:line="360" w:lineRule="auto"/>
        <w:ind w:firstLine="480" w:firstLineChars="200"/>
        <w:jc w:val="center"/>
        <w:rPr>
          <w:rFonts w:ascii="方正仿宋_GBK" w:hAnsi="宋体" w:eastAsia="方正仿宋_GBK"/>
          <w:color w:val="auto"/>
          <w:sz w:val="24"/>
          <w:szCs w:val="24"/>
        </w:rPr>
      </w:pPr>
    </w:p>
    <w:p w14:paraId="50BA1F94">
      <w:pPr>
        <w:spacing w:line="360" w:lineRule="auto"/>
        <w:ind w:firstLine="480" w:firstLineChars="200"/>
        <w:jc w:val="center"/>
        <w:rPr>
          <w:rFonts w:ascii="方正仿宋_GBK" w:hAnsi="宋体" w:eastAsia="方正仿宋_GBK"/>
          <w:color w:val="auto"/>
          <w:sz w:val="24"/>
          <w:szCs w:val="24"/>
        </w:rPr>
      </w:pPr>
    </w:p>
    <w:p w14:paraId="30A9499C">
      <w:pPr>
        <w:spacing w:line="360" w:lineRule="auto"/>
        <w:ind w:firstLine="480" w:firstLineChars="200"/>
        <w:jc w:val="center"/>
        <w:rPr>
          <w:rFonts w:ascii="方正仿宋_GBK" w:hAnsi="宋体" w:eastAsia="方正仿宋_GBK"/>
          <w:color w:val="auto"/>
          <w:sz w:val="24"/>
          <w:szCs w:val="24"/>
        </w:rPr>
      </w:pPr>
    </w:p>
    <w:p w14:paraId="61D84262">
      <w:pPr>
        <w:spacing w:line="360" w:lineRule="auto"/>
        <w:ind w:firstLine="480" w:firstLineChars="200"/>
        <w:jc w:val="center"/>
        <w:rPr>
          <w:rFonts w:ascii="方正仿宋_GBK" w:hAnsi="宋体" w:eastAsia="方正仿宋_GBK"/>
          <w:color w:val="auto"/>
        </w:rPr>
      </w:pPr>
      <w:r>
        <w:rPr>
          <w:rFonts w:hint="eastAsia" w:ascii="方正仿宋_GBK" w:hAnsi="宋体" w:eastAsia="方正仿宋_GBK"/>
          <w:color w:val="auto"/>
          <w:sz w:val="24"/>
          <w:szCs w:val="24"/>
        </w:rPr>
        <w:t>（结束）</w:t>
      </w:r>
    </w:p>
    <w:p w14:paraId="34BF5D04">
      <w:pPr>
        <w:pStyle w:val="3"/>
        <w:adjustRightInd w:val="0"/>
        <w:snapToGrid w:val="0"/>
        <w:spacing w:before="0" w:after="0" w:line="400" w:lineRule="exact"/>
        <w:ind w:firstLine="482" w:firstLineChars="200"/>
        <w:rPr>
          <w:rFonts w:ascii="宋体" w:hAnsi="宋体" w:eastAsia="宋体" w:cs="宋体"/>
          <w:color w:val="auto"/>
          <w:sz w:val="24"/>
        </w:rPr>
      </w:pPr>
    </w:p>
    <w:p w14:paraId="5A480B66">
      <w:pPr>
        <w:rPr>
          <w:rFonts w:ascii="宋体" w:hAnsi="宋体" w:cs="宋体"/>
          <w:color w:val="auto"/>
          <w:sz w:val="24"/>
        </w:rPr>
      </w:pPr>
    </w:p>
    <w:p w14:paraId="5ED75236">
      <w:pPr>
        <w:rPr>
          <w:rFonts w:ascii="宋体" w:hAnsi="宋体" w:cs="宋体"/>
          <w:color w:val="auto"/>
          <w:sz w:val="24"/>
        </w:rPr>
      </w:pPr>
    </w:p>
    <w:p w14:paraId="45B0FF4E">
      <w:pPr>
        <w:rPr>
          <w:rFonts w:ascii="宋体" w:hAnsi="宋体" w:cs="宋体"/>
          <w:color w:val="auto"/>
          <w:sz w:val="24"/>
        </w:rPr>
      </w:pPr>
    </w:p>
    <w:p w14:paraId="40E718DA">
      <w:pPr>
        <w:rPr>
          <w:rFonts w:ascii="宋体" w:hAnsi="宋体" w:cs="宋体"/>
          <w:color w:val="auto"/>
          <w:sz w:val="24"/>
        </w:rPr>
      </w:pPr>
    </w:p>
    <w:p w14:paraId="15AED4E0">
      <w:pPr>
        <w:rPr>
          <w:rFonts w:ascii="宋体" w:hAnsi="宋体" w:cs="宋体"/>
          <w:color w:val="auto"/>
          <w:sz w:val="24"/>
        </w:rPr>
      </w:pPr>
    </w:p>
    <w:p w14:paraId="20DB48EC">
      <w:pPr>
        <w:rPr>
          <w:rFonts w:ascii="宋体" w:hAnsi="宋体" w:cs="宋体"/>
          <w:color w:val="auto"/>
          <w:sz w:val="24"/>
        </w:rPr>
      </w:pPr>
    </w:p>
    <w:p w14:paraId="1B166C18">
      <w:pPr>
        <w:rPr>
          <w:rFonts w:ascii="宋体" w:hAnsi="宋体" w:cs="宋体"/>
          <w:color w:val="auto"/>
          <w:sz w:val="24"/>
        </w:rPr>
      </w:pPr>
    </w:p>
    <w:p w14:paraId="109D4051">
      <w:pPr>
        <w:rPr>
          <w:rFonts w:ascii="宋体" w:hAnsi="宋体" w:cs="宋体"/>
          <w:color w:val="auto"/>
          <w:sz w:val="24"/>
        </w:rPr>
      </w:pPr>
    </w:p>
    <w:p w14:paraId="17D5208E">
      <w:pPr>
        <w:rPr>
          <w:rFonts w:ascii="宋体" w:hAnsi="宋体" w:cs="宋体"/>
          <w:color w:val="auto"/>
          <w:sz w:val="24"/>
        </w:rPr>
      </w:pPr>
    </w:p>
    <w:bookmarkEnd w:id="225"/>
    <w:bookmarkEnd w:id="226"/>
    <w:p w14:paraId="3EC99A30">
      <w:pPr>
        <w:rPr>
          <w:rFonts w:ascii="宋体" w:hAnsi="宋体" w:cs="宋体"/>
          <w:color w:val="auto"/>
          <w:sz w:val="24"/>
        </w:rPr>
      </w:pPr>
    </w:p>
    <w:p w14:paraId="5334BE37">
      <w:pPr>
        <w:rPr>
          <w:rFonts w:ascii="宋体" w:hAnsi="宋体" w:cs="宋体"/>
          <w:color w:val="auto"/>
          <w:sz w:val="24"/>
        </w:rPr>
      </w:pPr>
    </w:p>
    <w:sectPr>
      <w:headerReference r:id="rId13" w:type="default"/>
      <w:footerReference r:id="rId14"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embedRegular r:id="rId1" w:fontKey="{5C23FF8A-1783-4073-A9F3-69B5A2957D1D}"/>
  </w:font>
  <w:font w:name="仿宋">
    <w:panose1 w:val="02010609060101010101"/>
    <w:charset w:val="86"/>
    <w:family w:val="modern"/>
    <w:pitch w:val="default"/>
    <w:sig w:usb0="800002BF" w:usb1="38CF7CFA" w:usb2="00000016" w:usb3="00000000" w:csb0="00040001" w:csb1="00000000"/>
    <w:embedRegular r:id="rId2" w:fontKey="{1CA44A11-5508-4E7E-B89C-294148D3BD86}"/>
  </w:font>
  <w:font w:name="Consolas">
    <w:panose1 w:val="020B0609020204030204"/>
    <w:charset w:val="00"/>
    <w:family w:val="auto"/>
    <w:pitch w:val="default"/>
    <w:sig w:usb0="E00006FF" w:usb1="0000FCFF" w:usb2="00000001" w:usb3="00000000" w:csb0="6000019F" w:csb1="DFD7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3" w:fontKey="{2193590C-66F5-48C7-BD50-B3F387975DBD}"/>
  </w:font>
  <w:font w:name="方正仿宋_GBK">
    <w:panose1 w:val="02000000000000000000"/>
    <w:charset w:val="86"/>
    <w:family w:val="script"/>
    <w:pitch w:val="default"/>
    <w:sig w:usb0="A00002BF" w:usb1="38CF7CFA" w:usb2="00082016" w:usb3="00000000" w:csb0="00040001" w:csb1="00000000"/>
    <w:embedRegular r:id="rId4" w:fontKey="{346D8FF3-6501-4373-BD29-92D2226824F5}"/>
  </w:font>
  <w:font w:name="方正公文小标宋">
    <w:panose1 w:val="02000500000000000000"/>
    <w:charset w:val="86"/>
    <w:family w:val="auto"/>
    <w:pitch w:val="default"/>
    <w:sig w:usb0="A00002BF" w:usb1="38CF7CFA" w:usb2="00000016" w:usb3="00000000" w:csb0="00040001" w:csb1="00000000"/>
    <w:embedRegular r:id="rId5" w:fontKey="{7BFF49C3-2ED3-4D22-B9BF-AEFD410A1FC9}"/>
  </w:font>
  <w:font w:name="华文仿宋">
    <w:panose1 w:val="02010600040101010101"/>
    <w:charset w:val="86"/>
    <w:family w:val="auto"/>
    <w:pitch w:val="default"/>
    <w:sig w:usb0="00000287" w:usb1="080F0000" w:usb2="00000000" w:usb3="00000000" w:csb0="0004009F" w:csb1="DFD70000"/>
    <w:embedRegular r:id="rId6" w:fontKey="{ACAE588F-E0D9-4FC4-8DC2-D689C74F03E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3E5F">
    <w:pPr>
      <w:pStyle w:val="35"/>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1EC695F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6BB0">
    <w:pPr>
      <w:pStyle w:val="35"/>
      <w:framePr w:wrap="around" w:vAnchor="text" w:hAnchor="margin" w:xAlign="center" w:y="1"/>
      <w:rPr>
        <w:rStyle w:val="63"/>
      </w:rPr>
    </w:pPr>
    <w:r>
      <w:fldChar w:fldCharType="begin"/>
    </w:r>
    <w:r>
      <w:rPr>
        <w:rStyle w:val="63"/>
      </w:rPr>
      <w:instrText xml:space="preserve">PAGE  </w:instrText>
    </w:r>
    <w:r>
      <w:fldChar w:fldCharType="end"/>
    </w:r>
  </w:p>
  <w:p w14:paraId="376F3832">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70E6B">
    <w:pPr>
      <w:pStyle w:val="35"/>
      <w:framePr w:wrap="around" w:vAnchor="text" w:hAnchor="margin" w:xAlign="center" w:y="1"/>
      <w:rPr>
        <w:rStyle w:val="63"/>
      </w:rPr>
    </w:pPr>
  </w:p>
  <w:p w14:paraId="1BAFBFCC">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C9731">
    <w:pPr>
      <w:pStyle w:val="35"/>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- 7 -</w:t>
    </w:r>
    <w:r>
      <w:rPr>
        <w:rFonts w:ascii="宋体"/>
        <w:sz w:val="21"/>
        <w:szCs w:val="21"/>
      </w:rPr>
      <w:fldChar w:fldCharType="end"/>
    </w:r>
  </w:p>
  <w:p w14:paraId="322B8300">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613F">
    <w:pPr>
      <w:pStyle w:val="35"/>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- 81 -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0C66">
    <w:pPr>
      <w:pStyle w:val="35"/>
      <w:framePr w:wrap="around" w:vAnchor="text" w:hAnchor="margin" w:xAlign="center" w:y="1"/>
      <w:rPr>
        <w:rStyle w:val="63"/>
      </w:rPr>
    </w:pPr>
    <w:r>
      <w:fldChar w:fldCharType="begin"/>
    </w:r>
    <w:r>
      <w:rPr>
        <w:rStyle w:val="63"/>
      </w:rPr>
      <w:instrText xml:space="preserve">PAGE  </w:instrText>
    </w:r>
    <w:r>
      <w:fldChar w:fldCharType="end"/>
    </w:r>
  </w:p>
  <w:p w14:paraId="5A9D4096">
    <w:pPr>
      <w:pStyle w:val="3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6284">
    <w:pPr>
      <w:pStyle w:val="35"/>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- 99 -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57582">
    <w:pPr>
      <w:pStyle w:val="3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133C">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54C70">
    <w:pPr>
      <w:pStyle w:val="38"/>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EEA7">
    <w:pPr>
      <w:pStyle w:val="38"/>
      <w:jc w:val="both"/>
    </w:pPr>
    <w:r>
      <w:rPr>
        <w:rFonts w:hint="eastAsia" w:ascii="方正仿宋_GBK" w:eastAsia="方正仿宋_GBK"/>
        <w:sz w:val="21"/>
        <w:szCs w:val="21"/>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453">
    <w:pPr>
      <w:pStyle w:val="38"/>
      <w:ind w:firstLine="2100" w:firstLineChars="1000"/>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61FB2"/>
    <w:multiLevelType w:val="singleLevel"/>
    <w:tmpl w:val="80461FB2"/>
    <w:lvl w:ilvl="0" w:tentative="0">
      <w:start w:val="1"/>
      <w:numFmt w:val="decimal"/>
      <w:suff w:val="nothing"/>
      <w:lvlText w:val="(%1)"/>
      <w:lvlJc w:val="left"/>
      <w:pPr>
        <w:ind w:left="425" w:hanging="425"/>
      </w:pPr>
      <w:rPr>
        <w:rFonts w:hint="default"/>
      </w:rPr>
    </w:lvl>
  </w:abstractNum>
  <w:abstractNum w:abstractNumId="1">
    <w:nsid w:val="82A0EA49"/>
    <w:multiLevelType w:val="singleLevel"/>
    <w:tmpl w:val="82A0EA49"/>
    <w:lvl w:ilvl="0" w:tentative="0">
      <w:start w:val="1"/>
      <w:numFmt w:val="decimalEnclosedCircleChinese"/>
      <w:suff w:val="nothing"/>
      <w:lvlText w:val="%1　"/>
      <w:lvlJc w:val="left"/>
      <w:pPr>
        <w:ind w:left="0" w:firstLine="400"/>
      </w:pPr>
      <w:rPr>
        <w:rFonts w:hint="eastAsia"/>
      </w:rPr>
    </w:lvl>
  </w:abstractNum>
  <w:abstractNum w:abstractNumId="2">
    <w:nsid w:val="8533ADED"/>
    <w:multiLevelType w:val="singleLevel"/>
    <w:tmpl w:val="8533ADED"/>
    <w:lvl w:ilvl="0" w:tentative="0">
      <w:start w:val="1"/>
      <w:numFmt w:val="decimal"/>
      <w:suff w:val="nothing"/>
      <w:lvlText w:val="(%1)"/>
      <w:lvlJc w:val="left"/>
      <w:pPr>
        <w:ind w:left="425" w:hanging="425"/>
      </w:pPr>
      <w:rPr>
        <w:rFonts w:hint="default"/>
      </w:rPr>
    </w:lvl>
  </w:abstractNum>
  <w:abstractNum w:abstractNumId="3">
    <w:nsid w:val="870C5D80"/>
    <w:multiLevelType w:val="singleLevel"/>
    <w:tmpl w:val="870C5D80"/>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4">
    <w:nsid w:val="87523113"/>
    <w:multiLevelType w:val="singleLevel"/>
    <w:tmpl w:val="87523113"/>
    <w:lvl w:ilvl="0" w:tentative="0">
      <w:start w:val="1"/>
      <w:numFmt w:val="decimal"/>
      <w:suff w:val="nothing"/>
      <w:lvlText w:val="(%1)"/>
      <w:lvlJc w:val="left"/>
      <w:pPr>
        <w:ind w:left="425" w:hanging="425"/>
      </w:pPr>
      <w:rPr>
        <w:rFonts w:hint="default"/>
      </w:rPr>
    </w:lvl>
  </w:abstractNum>
  <w:abstractNum w:abstractNumId="5">
    <w:nsid w:val="87ACF760"/>
    <w:multiLevelType w:val="singleLevel"/>
    <w:tmpl w:val="87ACF760"/>
    <w:lvl w:ilvl="0" w:tentative="0">
      <w:start w:val="1"/>
      <w:numFmt w:val="decimalEnclosedCircleChinese"/>
      <w:suff w:val="nothing"/>
      <w:lvlText w:val="%1　"/>
      <w:lvlJc w:val="left"/>
      <w:pPr>
        <w:ind w:left="0" w:firstLine="400"/>
      </w:pPr>
      <w:rPr>
        <w:rFonts w:hint="eastAsia"/>
      </w:rPr>
    </w:lvl>
  </w:abstractNum>
  <w:abstractNum w:abstractNumId="6">
    <w:nsid w:val="88542A4B"/>
    <w:multiLevelType w:val="singleLevel"/>
    <w:tmpl w:val="88542A4B"/>
    <w:lvl w:ilvl="0" w:tentative="0">
      <w:start w:val="1"/>
      <w:numFmt w:val="decimalEnclosedCircleChinese"/>
      <w:suff w:val="nothing"/>
      <w:lvlText w:val="%1　"/>
      <w:lvlJc w:val="left"/>
      <w:pPr>
        <w:ind w:left="0" w:firstLine="400"/>
      </w:pPr>
      <w:rPr>
        <w:rFonts w:hint="eastAsia"/>
      </w:rPr>
    </w:lvl>
  </w:abstractNum>
  <w:abstractNum w:abstractNumId="7">
    <w:nsid w:val="89633AA3"/>
    <w:multiLevelType w:val="singleLevel"/>
    <w:tmpl w:val="89633AA3"/>
    <w:lvl w:ilvl="0" w:tentative="0">
      <w:start w:val="1"/>
      <w:numFmt w:val="decimalEnclosedCircleChinese"/>
      <w:suff w:val="nothing"/>
      <w:lvlText w:val="%1　"/>
      <w:lvlJc w:val="left"/>
      <w:pPr>
        <w:ind w:left="0" w:firstLine="400"/>
      </w:pPr>
      <w:rPr>
        <w:rFonts w:hint="eastAsia"/>
        <w:sz w:val="24"/>
        <w:szCs w:val="24"/>
      </w:rPr>
    </w:lvl>
  </w:abstractNum>
  <w:abstractNum w:abstractNumId="8">
    <w:nsid w:val="8ADB5C91"/>
    <w:multiLevelType w:val="singleLevel"/>
    <w:tmpl w:val="8ADB5C91"/>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9">
    <w:nsid w:val="8F84673D"/>
    <w:multiLevelType w:val="singleLevel"/>
    <w:tmpl w:val="8F84673D"/>
    <w:lvl w:ilvl="0" w:tentative="0">
      <w:start w:val="1"/>
      <w:numFmt w:val="decimalEnclosedCircleChinese"/>
      <w:suff w:val="nothing"/>
      <w:lvlText w:val="%1　"/>
      <w:lvlJc w:val="left"/>
      <w:pPr>
        <w:ind w:left="0" w:firstLine="400"/>
      </w:pPr>
      <w:rPr>
        <w:rFonts w:hint="eastAsia"/>
      </w:rPr>
    </w:lvl>
  </w:abstractNum>
  <w:abstractNum w:abstractNumId="10">
    <w:nsid w:val="90C5E6C4"/>
    <w:multiLevelType w:val="singleLevel"/>
    <w:tmpl w:val="90C5E6C4"/>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1">
    <w:nsid w:val="90C70336"/>
    <w:multiLevelType w:val="singleLevel"/>
    <w:tmpl w:val="90C70336"/>
    <w:lvl w:ilvl="0" w:tentative="0">
      <w:start w:val="1"/>
      <w:numFmt w:val="decimal"/>
      <w:suff w:val="nothing"/>
      <w:lvlText w:val="(%1)"/>
      <w:lvlJc w:val="left"/>
      <w:pPr>
        <w:ind w:left="425" w:hanging="425"/>
      </w:pPr>
      <w:rPr>
        <w:rFonts w:hint="default"/>
      </w:rPr>
    </w:lvl>
  </w:abstractNum>
  <w:abstractNum w:abstractNumId="12">
    <w:nsid w:val="93E6AADB"/>
    <w:multiLevelType w:val="singleLevel"/>
    <w:tmpl w:val="93E6AADB"/>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3">
    <w:nsid w:val="946B7AF9"/>
    <w:multiLevelType w:val="singleLevel"/>
    <w:tmpl w:val="946B7AF9"/>
    <w:lvl w:ilvl="0" w:tentative="0">
      <w:start w:val="1"/>
      <w:numFmt w:val="decimal"/>
      <w:suff w:val="nothing"/>
      <w:lvlText w:val="(%1)"/>
      <w:lvlJc w:val="left"/>
      <w:pPr>
        <w:ind w:left="425" w:hanging="425"/>
      </w:pPr>
      <w:rPr>
        <w:rFonts w:hint="default"/>
      </w:rPr>
    </w:lvl>
  </w:abstractNum>
  <w:abstractNum w:abstractNumId="14">
    <w:nsid w:val="97E5846A"/>
    <w:multiLevelType w:val="singleLevel"/>
    <w:tmpl w:val="97E5846A"/>
    <w:lvl w:ilvl="0" w:tentative="0">
      <w:start w:val="1"/>
      <w:numFmt w:val="decimalEnclosedCircleChinese"/>
      <w:suff w:val="nothing"/>
      <w:lvlText w:val="%1　"/>
      <w:lvlJc w:val="left"/>
      <w:pPr>
        <w:ind w:left="0" w:firstLine="400"/>
      </w:pPr>
      <w:rPr>
        <w:rFonts w:hint="eastAsia"/>
      </w:rPr>
    </w:lvl>
  </w:abstractNum>
  <w:abstractNum w:abstractNumId="15">
    <w:nsid w:val="9801C1C6"/>
    <w:multiLevelType w:val="singleLevel"/>
    <w:tmpl w:val="9801C1C6"/>
    <w:lvl w:ilvl="0" w:tentative="0">
      <w:start w:val="1"/>
      <w:numFmt w:val="decimal"/>
      <w:suff w:val="nothing"/>
      <w:lvlText w:val="(%1)"/>
      <w:lvlJc w:val="left"/>
    </w:lvl>
  </w:abstractNum>
  <w:abstractNum w:abstractNumId="16">
    <w:nsid w:val="98DE9427"/>
    <w:multiLevelType w:val="singleLevel"/>
    <w:tmpl w:val="98DE9427"/>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7">
    <w:nsid w:val="9A375024"/>
    <w:multiLevelType w:val="singleLevel"/>
    <w:tmpl w:val="9A375024"/>
    <w:lvl w:ilvl="0" w:tentative="0">
      <w:start w:val="1"/>
      <w:numFmt w:val="decimal"/>
      <w:suff w:val="nothing"/>
      <w:lvlText w:val="%1."/>
      <w:lvlJc w:val="left"/>
      <w:pPr>
        <w:ind w:left="425" w:hanging="425"/>
      </w:pPr>
      <w:rPr>
        <w:rFonts w:hint="default"/>
      </w:rPr>
    </w:lvl>
  </w:abstractNum>
  <w:abstractNum w:abstractNumId="18">
    <w:nsid w:val="9CD87B3B"/>
    <w:multiLevelType w:val="singleLevel"/>
    <w:tmpl w:val="9CD87B3B"/>
    <w:lvl w:ilvl="0" w:tentative="0">
      <w:start w:val="1"/>
      <w:numFmt w:val="decimal"/>
      <w:suff w:val="nothing"/>
      <w:lvlText w:val="%1."/>
      <w:lvlJc w:val="left"/>
      <w:pPr>
        <w:ind w:left="425" w:hanging="425"/>
      </w:pPr>
      <w:rPr>
        <w:rFonts w:hint="default"/>
      </w:rPr>
    </w:lvl>
  </w:abstractNum>
  <w:abstractNum w:abstractNumId="19">
    <w:nsid w:val="9D8C627B"/>
    <w:multiLevelType w:val="singleLevel"/>
    <w:tmpl w:val="9D8C627B"/>
    <w:lvl w:ilvl="0" w:tentative="0">
      <w:start w:val="1"/>
      <w:numFmt w:val="decimal"/>
      <w:suff w:val="nothing"/>
      <w:lvlText w:val="%1."/>
      <w:lvlJc w:val="left"/>
      <w:pPr>
        <w:ind w:left="425" w:hanging="425"/>
      </w:pPr>
      <w:rPr>
        <w:rFonts w:hint="default"/>
      </w:rPr>
    </w:lvl>
  </w:abstractNum>
  <w:abstractNum w:abstractNumId="20">
    <w:nsid w:val="9F9E6130"/>
    <w:multiLevelType w:val="singleLevel"/>
    <w:tmpl w:val="9F9E6130"/>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abstractNum w:abstractNumId="21">
    <w:nsid w:val="A0792261"/>
    <w:multiLevelType w:val="singleLevel"/>
    <w:tmpl w:val="A0792261"/>
    <w:lvl w:ilvl="0" w:tentative="0">
      <w:start w:val="1"/>
      <w:numFmt w:val="decimalEnclosedCircleChinese"/>
      <w:suff w:val="nothing"/>
      <w:lvlText w:val="%1　"/>
      <w:lvlJc w:val="left"/>
      <w:pPr>
        <w:ind w:left="0" w:firstLine="400"/>
      </w:pPr>
      <w:rPr>
        <w:rFonts w:hint="eastAsia"/>
        <w:sz w:val="24"/>
        <w:szCs w:val="24"/>
      </w:rPr>
    </w:lvl>
  </w:abstractNum>
  <w:abstractNum w:abstractNumId="22">
    <w:nsid w:val="A13491F3"/>
    <w:multiLevelType w:val="singleLevel"/>
    <w:tmpl w:val="A13491F3"/>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23">
    <w:nsid w:val="A1442270"/>
    <w:multiLevelType w:val="singleLevel"/>
    <w:tmpl w:val="A1442270"/>
    <w:lvl w:ilvl="0" w:tentative="0">
      <w:start w:val="1"/>
      <w:numFmt w:val="decimalEnclosedCircleChinese"/>
      <w:suff w:val="nothing"/>
      <w:lvlText w:val="%1　"/>
      <w:lvlJc w:val="left"/>
      <w:pPr>
        <w:ind w:left="0" w:firstLine="400"/>
      </w:pPr>
      <w:rPr>
        <w:rFonts w:hint="eastAsia" w:ascii="宋体" w:hAnsi="宋体" w:eastAsia="宋体" w:cs="宋体"/>
        <w:color w:val="auto"/>
        <w:sz w:val="24"/>
        <w:szCs w:val="24"/>
      </w:rPr>
    </w:lvl>
  </w:abstractNum>
  <w:abstractNum w:abstractNumId="24">
    <w:nsid w:val="A185B019"/>
    <w:multiLevelType w:val="singleLevel"/>
    <w:tmpl w:val="A185B019"/>
    <w:lvl w:ilvl="0" w:tentative="0">
      <w:start w:val="1"/>
      <w:numFmt w:val="decimalEnclosedCircleChinese"/>
      <w:suff w:val="nothing"/>
      <w:lvlText w:val="%1　"/>
      <w:lvlJc w:val="left"/>
      <w:pPr>
        <w:ind w:left="0" w:firstLine="400"/>
      </w:pPr>
      <w:rPr>
        <w:rFonts w:hint="eastAsia"/>
        <w:sz w:val="24"/>
        <w:szCs w:val="24"/>
      </w:rPr>
    </w:lvl>
  </w:abstractNum>
  <w:abstractNum w:abstractNumId="25">
    <w:nsid w:val="A7586DB7"/>
    <w:multiLevelType w:val="singleLevel"/>
    <w:tmpl w:val="A7586DB7"/>
    <w:lvl w:ilvl="0" w:tentative="0">
      <w:start w:val="1"/>
      <w:numFmt w:val="decimal"/>
      <w:suff w:val="nothing"/>
      <w:lvlText w:val="(%1)"/>
      <w:lvlJc w:val="left"/>
      <w:pPr>
        <w:ind w:left="425" w:hanging="425"/>
      </w:pPr>
      <w:rPr>
        <w:rFonts w:hint="default"/>
      </w:rPr>
    </w:lvl>
  </w:abstractNum>
  <w:abstractNum w:abstractNumId="26">
    <w:nsid w:val="A87CC35D"/>
    <w:multiLevelType w:val="singleLevel"/>
    <w:tmpl w:val="A87CC35D"/>
    <w:lvl w:ilvl="0" w:tentative="0">
      <w:start w:val="1"/>
      <w:numFmt w:val="decimalEnclosedCircleChinese"/>
      <w:suff w:val="nothing"/>
      <w:lvlText w:val="%1　"/>
      <w:lvlJc w:val="left"/>
      <w:pPr>
        <w:ind w:left="0" w:firstLine="400"/>
      </w:pPr>
      <w:rPr>
        <w:rFonts w:hint="eastAsia"/>
      </w:rPr>
    </w:lvl>
  </w:abstractNum>
  <w:abstractNum w:abstractNumId="27">
    <w:nsid w:val="A9A735A8"/>
    <w:multiLevelType w:val="singleLevel"/>
    <w:tmpl w:val="A9A735A8"/>
    <w:lvl w:ilvl="0" w:tentative="0">
      <w:start w:val="1"/>
      <w:numFmt w:val="decimal"/>
      <w:suff w:val="nothing"/>
      <w:lvlText w:val="%1."/>
      <w:lvlJc w:val="left"/>
      <w:pPr>
        <w:ind w:left="425" w:hanging="425"/>
      </w:pPr>
      <w:rPr>
        <w:rFonts w:hint="default"/>
      </w:rPr>
    </w:lvl>
  </w:abstractNum>
  <w:abstractNum w:abstractNumId="28">
    <w:nsid w:val="AB3F5815"/>
    <w:multiLevelType w:val="singleLevel"/>
    <w:tmpl w:val="AB3F5815"/>
    <w:lvl w:ilvl="0" w:tentative="0">
      <w:start w:val="1"/>
      <w:numFmt w:val="decimalEnclosedCircleChinese"/>
      <w:suff w:val="nothing"/>
      <w:lvlText w:val="%1　"/>
      <w:lvlJc w:val="left"/>
      <w:pPr>
        <w:ind w:left="0" w:firstLine="400"/>
      </w:pPr>
      <w:rPr>
        <w:rFonts w:hint="eastAsia"/>
        <w:sz w:val="24"/>
        <w:szCs w:val="24"/>
      </w:rPr>
    </w:lvl>
  </w:abstractNum>
  <w:abstractNum w:abstractNumId="29">
    <w:nsid w:val="AB700886"/>
    <w:multiLevelType w:val="singleLevel"/>
    <w:tmpl w:val="AB700886"/>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30">
    <w:nsid w:val="ABB2531B"/>
    <w:multiLevelType w:val="singleLevel"/>
    <w:tmpl w:val="ABB2531B"/>
    <w:lvl w:ilvl="0" w:tentative="0">
      <w:start w:val="1"/>
      <w:numFmt w:val="decimalEnclosedCircleChinese"/>
      <w:suff w:val="nothing"/>
      <w:lvlText w:val="%1　"/>
      <w:lvlJc w:val="left"/>
      <w:pPr>
        <w:ind w:left="0" w:firstLine="400"/>
      </w:pPr>
      <w:rPr>
        <w:rFonts w:hint="eastAsia"/>
        <w:sz w:val="24"/>
        <w:szCs w:val="24"/>
      </w:rPr>
    </w:lvl>
  </w:abstractNum>
  <w:abstractNum w:abstractNumId="31">
    <w:nsid w:val="ABD54E74"/>
    <w:multiLevelType w:val="singleLevel"/>
    <w:tmpl w:val="ABD54E74"/>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32">
    <w:nsid w:val="AE043C5D"/>
    <w:multiLevelType w:val="singleLevel"/>
    <w:tmpl w:val="AE043C5D"/>
    <w:lvl w:ilvl="0" w:tentative="0">
      <w:start w:val="1"/>
      <w:numFmt w:val="decimalEnclosedCircleChinese"/>
      <w:suff w:val="nothing"/>
      <w:lvlText w:val="%1　"/>
      <w:lvlJc w:val="left"/>
      <w:pPr>
        <w:ind w:left="0" w:firstLine="400"/>
      </w:pPr>
      <w:rPr>
        <w:rFonts w:hint="eastAsia"/>
        <w:color w:val="auto"/>
      </w:rPr>
    </w:lvl>
  </w:abstractNum>
  <w:abstractNum w:abstractNumId="33">
    <w:nsid w:val="B0033C0A"/>
    <w:multiLevelType w:val="singleLevel"/>
    <w:tmpl w:val="B0033C0A"/>
    <w:lvl w:ilvl="0" w:tentative="0">
      <w:start w:val="1"/>
      <w:numFmt w:val="decimalEnclosedCircleChinese"/>
      <w:suff w:val="nothing"/>
      <w:lvlText w:val="%1　"/>
      <w:lvlJc w:val="left"/>
      <w:pPr>
        <w:ind w:left="0" w:firstLine="400"/>
      </w:pPr>
      <w:rPr>
        <w:rFonts w:hint="eastAsia"/>
        <w:sz w:val="24"/>
        <w:szCs w:val="24"/>
      </w:rPr>
    </w:lvl>
  </w:abstractNum>
  <w:abstractNum w:abstractNumId="34">
    <w:nsid w:val="B0C86DAA"/>
    <w:multiLevelType w:val="singleLevel"/>
    <w:tmpl w:val="B0C86DAA"/>
    <w:lvl w:ilvl="0" w:tentative="0">
      <w:start w:val="1"/>
      <w:numFmt w:val="decimalEnclosedCircleChinese"/>
      <w:suff w:val="nothing"/>
      <w:lvlText w:val="%1　"/>
      <w:lvlJc w:val="left"/>
      <w:pPr>
        <w:ind w:left="0" w:firstLine="400"/>
      </w:pPr>
      <w:rPr>
        <w:rFonts w:hint="eastAsia"/>
      </w:rPr>
    </w:lvl>
  </w:abstractNum>
  <w:abstractNum w:abstractNumId="35">
    <w:nsid w:val="B2E42025"/>
    <w:multiLevelType w:val="singleLevel"/>
    <w:tmpl w:val="B2E42025"/>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36">
    <w:nsid w:val="B42E5322"/>
    <w:multiLevelType w:val="singleLevel"/>
    <w:tmpl w:val="B42E5322"/>
    <w:lvl w:ilvl="0" w:tentative="0">
      <w:start w:val="1"/>
      <w:numFmt w:val="decimal"/>
      <w:suff w:val="nothing"/>
      <w:lvlText w:val="(%1)"/>
      <w:lvlJc w:val="left"/>
      <w:pPr>
        <w:ind w:left="425" w:hanging="425"/>
      </w:pPr>
      <w:rPr>
        <w:rFonts w:hint="default"/>
      </w:rPr>
    </w:lvl>
  </w:abstractNum>
  <w:abstractNum w:abstractNumId="37">
    <w:nsid w:val="B69CA7F1"/>
    <w:multiLevelType w:val="singleLevel"/>
    <w:tmpl w:val="B69CA7F1"/>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38">
    <w:nsid w:val="B93F1E2A"/>
    <w:multiLevelType w:val="singleLevel"/>
    <w:tmpl w:val="B93F1E2A"/>
    <w:lvl w:ilvl="0" w:tentative="0">
      <w:start w:val="1"/>
      <w:numFmt w:val="decimal"/>
      <w:suff w:val="nothing"/>
      <w:lvlText w:val="(%1)"/>
      <w:lvlJc w:val="left"/>
      <w:pPr>
        <w:ind w:left="425" w:hanging="425"/>
      </w:pPr>
      <w:rPr>
        <w:rFonts w:hint="default"/>
      </w:rPr>
    </w:lvl>
  </w:abstractNum>
  <w:abstractNum w:abstractNumId="39">
    <w:nsid w:val="BE06F0C6"/>
    <w:multiLevelType w:val="singleLevel"/>
    <w:tmpl w:val="BE06F0C6"/>
    <w:lvl w:ilvl="0" w:tentative="0">
      <w:start w:val="1"/>
      <w:numFmt w:val="decimalEnclosedCircleChinese"/>
      <w:suff w:val="nothing"/>
      <w:lvlText w:val="%1　"/>
      <w:lvlJc w:val="left"/>
      <w:pPr>
        <w:ind w:left="0" w:firstLine="400"/>
      </w:pPr>
      <w:rPr>
        <w:rFonts w:hint="eastAsia"/>
      </w:rPr>
    </w:lvl>
  </w:abstractNum>
  <w:abstractNum w:abstractNumId="40">
    <w:nsid w:val="C027B747"/>
    <w:multiLevelType w:val="singleLevel"/>
    <w:tmpl w:val="C027B747"/>
    <w:lvl w:ilvl="0" w:tentative="0">
      <w:start w:val="1"/>
      <w:numFmt w:val="chineseCounting"/>
      <w:suff w:val="nothing"/>
      <w:lvlText w:val="（%1）"/>
      <w:lvlJc w:val="left"/>
      <w:rPr>
        <w:rFonts w:hint="eastAsia"/>
      </w:rPr>
    </w:lvl>
  </w:abstractNum>
  <w:abstractNum w:abstractNumId="41">
    <w:nsid w:val="C07B525F"/>
    <w:multiLevelType w:val="singleLevel"/>
    <w:tmpl w:val="C07B525F"/>
    <w:lvl w:ilvl="0" w:tentative="0">
      <w:start w:val="1"/>
      <w:numFmt w:val="decimalEnclosedCircleChinese"/>
      <w:suff w:val="nothing"/>
      <w:lvlText w:val="%1　"/>
      <w:lvlJc w:val="left"/>
      <w:pPr>
        <w:ind w:left="0" w:firstLine="400"/>
      </w:pPr>
      <w:rPr>
        <w:rFonts w:hint="eastAsia"/>
        <w:sz w:val="24"/>
        <w:szCs w:val="24"/>
      </w:rPr>
    </w:lvl>
  </w:abstractNum>
  <w:abstractNum w:abstractNumId="42">
    <w:nsid w:val="C36C44CF"/>
    <w:multiLevelType w:val="singleLevel"/>
    <w:tmpl w:val="C36C44CF"/>
    <w:lvl w:ilvl="0" w:tentative="0">
      <w:start w:val="1"/>
      <w:numFmt w:val="decimalEnclosedCircleChinese"/>
      <w:suff w:val="nothing"/>
      <w:lvlText w:val="%1　"/>
      <w:lvlJc w:val="left"/>
      <w:pPr>
        <w:ind w:left="0" w:firstLine="400"/>
      </w:pPr>
      <w:rPr>
        <w:rFonts w:hint="eastAsia"/>
      </w:rPr>
    </w:lvl>
  </w:abstractNum>
  <w:abstractNum w:abstractNumId="43">
    <w:nsid w:val="C58DBDAE"/>
    <w:multiLevelType w:val="singleLevel"/>
    <w:tmpl w:val="C58DBDAE"/>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44">
    <w:nsid w:val="C7272B03"/>
    <w:multiLevelType w:val="singleLevel"/>
    <w:tmpl w:val="C7272B03"/>
    <w:lvl w:ilvl="0" w:tentative="0">
      <w:start w:val="1"/>
      <w:numFmt w:val="decimal"/>
      <w:suff w:val="nothing"/>
      <w:lvlText w:val="%1."/>
      <w:lvlJc w:val="left"/>
      <w:pPr>
        <w:ind w:left="425" w:hanging="425"/>
      </w:pPr>
      <w:rPr>
        <w:rFonts w:hint="default"/>
      </w:rPr>
    </w:lvl>
  </w:abstractNum>
  <w:abstractNum w:abstractNumId="45">
    <w:nsid w:val="C90A1D26"/>
    <w:multiLevelType w:val="singleLevel"/>
    <w:tmpl w:val="C90A1D26"/>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46">
    <w:nsid w:val="CB0EE5F1"/>
    <w:multiLevelType w:val="singleLevel"/>
    <w:tmpl w:val="CB0EE5F1"/>
    <w:lvl w:ilvl="0" w:tentative="0">
      <w:start w:val="1"/>
      <w:numFmt w:val="decimalEnclosedCircleChinese"/>
      <w:suff w:val="nothing"/>
      <w:lvlText w:val="%1　"/>
      <w:lvlJc w:val="left"/>
      <w:pPr>
        <w:ind w:left="0" w:firstLine="400"/>
      </w:pPr>
      <w:rPr>
        <w:rFonts w:hint="eastAsia"/>
      </w:rPr>
    </w:lvl>
  </w:abstractNum>
  <w:abstractNum w:abstractNumId="47">
    <w:nsid w:val="CD725466"/>
    <w:multiLevelType w:val="singleLevel"/>
    <w:tmpl w:val="CD725466"/>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48">
    <w:nsid w:val="CF43AEBC"/>
    <w:multiLevelType w:val="singleLevel"/>
    <w:tmpl w:val="CF43AEBC"/>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49">
    <w:nsid w:val="D1C700DA"/>
    <w:multiLevelType w:val="singleLevel"/>
    <w:tmpl w:val="D1C700DA"/>
    <w:lvl w:ilvl="0" w:tentative="0">
      <w:start w:val="1"/>
      <w:numFmt w:val="decimalEnclosedCircleChinese"/>
      <w:suff w:val="nothing"/>
      <w:lvlText w:val="%1　"/>
      <w:lvlJc w:val="left"/>
      <w:pPr>
        <w:ind w:left="0" w:firstLine="400"/>
      </w:pPr>
      <w:rPr>
        <w:rFonts w:hint="eastAsia"/>
      </w:rPr>
    </w:lvl>
  </w:abstractNum>
  <w:abstractNum w:abstractNumId="50">
    <w:nsid w:val="D1D74717"/>
    <w:multiLevelType w:val="singleLevel"/>
    <w:tmpl w:val="D1D74717"/>
    <w:lvl w:ilvl="0" w:tentative="0">
      <w:start w:val="1"/>
      <w:numFmt w:val="decimal"/>
      <w:suff w:val="nothing"/>
      <w:lvlText w:val="%1."/>
      <w:lvlJc w:val="left"/>
      <w:pPr>
        <w:ind w:left="425" w:hanging="425"/>
      </w:pPr>
      <w:rPr>
        <w:rFonts w:hint="default"/>
        <w:color w:val="auto"/>
      </w:rPr>
    </w:lvl>
  </w:abstractNum>
  <w:abstractNum w:abstractNumId="51">
    <w:nsid w:val="D1F99286"/>
    <w:multiLevelType w:val="singleLevel"/>
    <w:tmpl w:val="D1F99286"/>
    <w:lvl w:ilvl="0" w:tentative="0">
      <w:start w:val="1"/>
      <w:numFmt w:val="decimalEnclosedCircleChinese"/>
      <w:suff w:val="nothing"/>
      <w:lvlText w:val="%1　"/>
      <w:lvlJc w:val="left"/>
      <w:pPr>
        <w:ind w:left="0" w:firstLine="400"/>
      </w:pPr>
      <w:rPr>
        <w:rFonts w:hint="eastAsia"/>
      </w:rPr>
    </w:lvl>
  </w:abstractNum>
  <w:abstractNum w:abstractNumId="52">
    <w:nsid w:val="D24503B8"/>
    <w:multiLevelType w:val="singleLevel"/>
    <w:tmpl w:val="D24503B8"/>
    <w:lvl w:ilvl="0" w:tentative="0">
      <w:start w:val="1"/>
      <w:numFmt w:val="decimalEnclosedCircleChinese"/>
      <w:suff w:val="nothing"/>
      <w:lvlText w:val="%1　"/>
      <w:lvlJc w:val="left"/>
      <w:pPr>
        <w:ind w:left="0" w:firstLine="400"/>
      </w:pPr>
      <w:rPr>
        <w:rFonts w:hint="eastAsia" w:ascii="Times New Roman" w:hAnsi="Times New Roman" w:cs="Times New Roman"/>
        <w:sz w:val="24"/>
        <w:szCs w:val="24"/>
      </w:rPr>
    </w:lvl>
  </w:abstractNum>
  <w:abstractNum w:abstractNumId="53">
    <w:nsid w:val="D3225836"/>
    <w:multiLevelType w:val="singleLevel"/>
    <w:tmpl w:val="D3225836"/>
    <w:lvl w:ilvl="0" w:tentative="0">
      <w:start w:val="1"/>
      <w:numFmt w:val="decimalEnclosedCircleChinese"/>
      <w:suff w:val="nothing"/>
      <w:lvlText w:val="%1　"/>
      <w:lvlJc w:val="left"/>
      <w:pPr>
        <w:ind w:left="0" w:firstLine="400"/>
      </w:pPr>
      <w:rPr>
        <w:rFonts w:hint="eastAsia"/>
      </w:rPr>
    </w:lvl>
  </w:abstractNum>
  <w:abstractNum w:abstractNumId="54">
    <w:nsid w:val="D33165D6"/>
    <w:multiLevelType w:val="singleLevel"/>
    <w:tmpl w:val="D33165D6"/>
    <w:lvl w:ilvl="0" w:tentative="0">
      <w:start w:val="1"/>
      <w:numFmt w:val="decimal"/>
      <w:suff w:val="nothing"/>
      <w:lvlText w:val="%1."/>
      <w:lvlJc w:val="left"/>
      <w:pPr>
        <w:ind w:left="425" w:hanging="425"/>
      </w:pPr>
      <w:rPr>
        <w:rFonts w:hint="default"/>
        <w:color w:val="auto"/>
      </w:rPr>
    </w:lvl>
  </w:abstractNum>
  <w:abstractNum w:abstractNumId="55">
    <w:nsid w:val="D5AD0F84"/>
    <w:multiLevelType w:val="singleLevel"/>
    <w:tmpl w:val="D5AD0F84"/>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56">
    <w:nsid w:val="D92DA71A"/>
    <w:multiLevelType w:val="singleLevel"/>
    <w:tmpl w:val="D92DA71A"/>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57">
    <w:nsid w:val="D9A30150"/>
    <w:multiLevelType w:val="singleLevel"/>
    <w:tmpl w:val="D9A30150"/>
    <w:lvl w:ilvl="0" w:tentative="0">
      <w:start w:val="1"/>
      <w:numFmt w:val="decimal"/>
      <w:suff w:val="nothing"/>
      <w:lvlText w:val="%1."/>
      <w:lvlJc w:val="left"/>
      <w:pPr>
        <w:ind w:left="425" w:hanging="425"/>
      </w:pPr>
      <w:rPr>
        <w:rFonts w:hint="default"/>
      </w:rPr>
    </w:lvl>
  </w:abstractNum>
  <w:abstractNum w:abstractNumId="58">
    <w:nsid w:val="DB267180"/>
    <w:multiLevelType w:val="singleLevel"/>
    <w:tmpl w:val="DB267180"/>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abstractNum w:abstractNumId="59">
    <w:nsid w:val="DBB1B968"/>
    <w:multiLevelType w:val="singleLevel"/>
    <w:tmpl w:val="DBB1B968"/>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abstractNum w:abstractNumId="60">
    <w:nsid w:val="DBE5443F"/>
    <w:multiLevelType w:val="singleLevel"/>
    <w:tmpl w:val="DBE5443F"/>
    <w:lvl w:ilvl="0" w:tentative="0">
      <w:start w:val="1"/>
      <w:numFmt w:val="decimal"/>
      <w:suff w:val="nothing"/>
      <w:lvlText w:val="(%1)"/>
      <w:lvlJc w:val="left"/>
      <w:pPr>
        <w:ind w:left="425" w:hanging="425"/>
      </w:pPr>
      <w:rPr>
        <w:rFonts w:hint="default"/>
      </w:rPr>
    </w:lvl>
  </w:abstractNum>
  <w:abstractNum w:abstractNumId="61">
    <w:nsid w:val="DD7E0282"/>
    <w:multiLevelType w:val="singleLevel"/>
    <w:tmpl w:val="DD7E0282"/>
    <w:lvl w:ilvl="0" w:tentative="0">
      <w:start w:val="1"/>
      <w:numFmt w:val="decimalEnclosedCircleChinese"/>
      <w:suff w:val="nothing"/>
      <w:lvlText w:val="%1　"/>
      <w:lvlJc w:val="left"/>
      <w:pPr>
        <w:ind w:left="0" w:firstLine="400"/>
      </w:pPr>
      <w:rPr>
        <w:rFonts w:hint="eastAsia"/>
      </w:rPr>
    </w:lvl>
  </w:abstractNum>
  <w:abstractNum w:abstractNumId="62">
    <w:nsid w:val="E0585A55"/>
    <w:multiLevelType w:val="singleLevel"/>
    <w:tmpl w:val="E0585A55"/>
    <w:lvl w:ilvl="0" w:tentative="0">
      <w:start w:val="1"/>
      <w:numFmt w:val="decimalEnclosedCircleChinese"/>
      <w:suff w:val="nothing"/>
      <w:lvlText w:val="%1　"/>
      <w:lvlJc w:val="left"/>
      <w:pPr>
        <w:ind w:left="0" w:firstLine="400"/>
      </w:pPr>
      <w:rPr>
        <w:rFonts w:hint="eastAsia"/>
      </w:rPr>
    </w:lvl>
  </w:abstractNum>
  <w:abstractNum w:abstractNumId="63">
    <w:nsid w:val="E0CE1EE1"/>
    <w:multiLevelType w:val="singleLevel"/>
    <w:tmpl w:val="E0CE1EE1"/>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64">
    <w:nsid w:val="E3DF3516"/>
    <w:multiLevelType w:val="singleLevel"/>
    <w:tmpl w:val="E3DF3516"/>
    <w:lvl w:ilvl="0" w:tentative="0">
      <w:start w:val="1"/>
      <w:numFmt w:val="decimal"/>
      <w:suff w:val="nothing"/>
      <w:lvlText w:val="(%1)"/>
      <w:lvlJc w:val="left"/>
      <w:pPr>
        <w:ind w:left="425" w:hanging="425"/>
      </w:pPr>
      <w:rPr>
        <w:rFonts w:hint="default"/>
      </w:rPr>
    </w:lvl>
  </w:abstractNum>
  <w:abstractNum w:abstractNumId="65">
    <w:nsid w:val="E5141261"/>
    <w:multiLevelType w:val="singleLevel"/>
    <w:tmpl w:val="E5141261"/>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66">
    <w:nsid w:val="E592129B"/>
    <w:multiLevelType w:val="singleLevel"/>
    <w:tmpl w:val="E592129B"/>
    <w:lvl w:ilvl="0" w:tentative="0">
      <w:start w:val="1"/>
      <w:numFmt w:val="decimalEnclosedCircleChinese"/>
      <w:suff w:val="nothing"/>
      <w:lvlText w:val="%1　"/>
      <w:lvlJc w:val="left"/>
      <w:pPr>
        <w:ind w:left="0" w:firstLine="400"/>
      </w:pPr>
      <w:rPr>
        <w:rFonts w:hint="eastAsia"/>
      </w:rPr>
    </w:lvl>
  </w:abstractNum>
  <w:abstractNum w:abstractNumId="67">
    <w:nsid w:val="E6314DEA"/>
    <w:multiLevelType w:val="singleLevel"/>
    <w:tmpl w:val="E6314DEA"/>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68">
    <w:nsid w:val="E6E24089"/>
    <w:multiLevelType w:val="singleLevel"/>
    <w:tmpl w:val="E6E24089"/>
    <w:lvl w:ilvl="0" w:tentative="0">
      <w:start w:val="1"/>
      <w:numFmt w:val="decimalEnclosedCircleChinese"/>
      <w:suff w:val="nothing"/>
      <w:lvlText w:val="%1　"/>
      <w:lvlJc w:val="left"/>
      <w:pPr>
        <w:ind w:left="0" w:firstLine="400"/>
      </w:pPr>
      <w:rPr>
        <w:rFonts w:hint="eastAsia"/>
      </w:rPr>
    </w:lvl>
  </w:abstractNum>
  <w:abstractNum w:abstractNumId="69">
    <w:nsid w:val="E792D5A1"/>
    <w:multiLevelType w:val="singleLevel"/>
    <w:tmpl w:val="E792D5A1"/>
    <w:lvl w:ilvl="0" w:tentative="0">
      <w:start w:val="1"/>
      <w:numFmt w:val="decimalEnclosedCircleChinese"/>
      <w:suff w:val="nothing"/>
      <w:lvlText w:val="%1　"/>
      <w:lvlJc w:val="left"/>
      <w:pPr>
        <w:ind w:left="0" w:firstLine="400"/>
      </w:pPr>
      <w:rPr>
        <w:rFonts w:hint="eastAsia"/>
      </w:rPr>
    </w:lvl>
  </w:abstractNum>
  <w:abstractNum w:abstractNumId="70">
    <w:nsid w:val="E9278978"/>
    <w:multiLevelType w:val="singleLevel"/>
    <w:tmpl w:val="E9278978"/>
    <w:lvl w:ilvl="0" w:tentative="0">
      <w:start w:val="1"/>
      <w:numFmt w:val="decimal"/>
      <w:suff w:val="nothing"/>
      <w:lvlText w:val="(%1)"/>
      <w:lvlJc w:val="left"/>
      <w:pPr>
        <w:ind w:left="425" w:hanging="425"/>
      </w:pPr>
      <w:rPr>
        <w:rFonts w:hint="default"/>
      </w:rPr>
    </w:lvl>
  </w:abstractNum>
  <w:abstractNum w:abstractNumId="71">
    <w:nsid w:val="EA72B527"/>
    <w:multiLevelType w:val="singleLevel"/>
    <w:tmpl w:val="EA72B527"/>
    <w:lvl w:ilvl="0" w:tentative="0">
      <w:start w:val="1"/>
      <w:numFmt w:val="decimalEnclosedCircleChinese"/>
      <w:suff w:val="nothing"/>
      <w:lvlText w:val="%1　"/>
      <w:lvlJc w:val="left"/>
      <w:pPr>
        <w:ind w:left="0" w:firstLine="400"/>
      </w:pPr>
      <w:rPr>
        <w:rFonts w:hint="eastAsia"/>
      </w:rPr>
    </w:lvl>
  </w:abstractNum>
  <w:abstractNum w:abstractNumId="72">
    <w:nsid w:val="EE8ED7A1"/>
    <w:multiLevelType w:val="singleLevel"/>
    <w:tmpl w:val="EE8ED7A1"/>
    <w:lvl w:ilvl="0" w:tentative="0">
      <w:start w:val="1"/>
      <w:numFmt w:val="decimal"/>
      <w:suff w:val="nothing"/>
      <w:lvlText w:val="(%1)"/>
      <w:lvlJc w:val="left"/>
      <w:pPr>
        <w:ind w:left="425" w:hanging="425"/>
      </w:pPr>
      <w:rPr>
        <w:rFonts w:hint="default" w:ascii="宋体" w:hAnsi="宋体" w:eastAsia="宋体" w:cs="宋体"/>
        <w:color w:val="auto"/>
        <w:sz w:val="24"/>
        <w:szCs w:val="24"/>
      </w:rPr>
    </w:lvl>
  </w:abstractNum>
  <w:abstractNum w:abstractNumId="73">
    <w:nsid w:val="EEEABBF8"/>
    <w:multiLevelType w:val="singleLevel"/>
    <w:tmpl w:val="EEEABBF8"/>
    <w:lvl w:ilvl="0" w:tentative="0">
      <w:start w:val="1"/>
      <w:numFmt w:val="decimalEnclosedCircleChinese"/>
      <w:suff w:val="nothing"/>
      <w:lvlText w:val="%1　"/>
      <w:lvlJc w:val="left"/>
      <w:pPr>
        <w:ind w:left="0" w:firstLine="400"/>
      </w:pPr>
      <w:rPr>
        <w:rFonts w:hint="eastAsia"/>
      </w:rPr>
    </w:lvl>
  </w:abstractNum>
  <w:abstractNum w:abstractNumId="74">
    <w:nsid w:val="EF488E77"/>
    <w:multiLevelType w:val="singleLevel"/>
    <w:tmpl w:val="EF488E77"/>
    <w:lvl w:ilvl="0" w:tentative="0">
      <w:start w:val="1"/>
      <w:numFmt w:val="decimalEnclosedCircleChinese"/>
      <w:suff w:val="nothing"/>
      <w:lvlText w:val="%1　"/>
      <w:lvlJc w:val="left"/>
      <w:pPr>
        <w:ind w:left="0" w:firstLine="400"/>
      </w:pPr>
      <w:rPr>
        <w:rFonts w:hint="eastAsia"/>
      </w:rPr>
    </w:lvl>
  </w:abstractNum>
  <w:abstractNum w:abstractNumId="75">
    <w:nsid w:val="F0AC4D57"/>
    <w:multiLevelType w:val="singleLevel"/>
    <w:tmpl w:val="F0AC4D57"/>
    <w:lvl w:ilvl="0" w:tentative="0">
      <w:start w:val="1"/>
      <w:numFmt w:val="decimalEnclosedCircleChinese"/>
      <w:suff w:val="nothing"/>
      <w:lvlText w:val="%1　"/>
      <w:lvlJc w:val="left"/>
      <w:pPr>
        <w:ind w:left="0" w:firstLine="400"/>
      </w:pPr>
      <w:rPr>
        <w:rFonts w:hint="eastAsia"/>
      </w:rPr>
    </w:lvl>
  </w:abstractNum>
  <w:abstractNum w:abstractNumId="76">
    <w:nsid w:val="F1D3A8B4"/>
    <w:multiLevelType w:val="singleLevel"/>
    <w:tmpl w:val="F1D3A8B4"/>
    <w:lvl w:ilvl="0" w:tentative="0">
      <w:start w:val="1"/>
      <w:numFmt w:val="decimal"/>
      <w:suff w:val="nothing"/>
      <w:lvlText w:val="(%1)"/>
      <w:lvlJc w:val="left"/>
      <w:pPr>
        <w:ind w:left="425" w:hanging="425"/>
      </w:pPr>
      <w:rPr>
        <w:rFonts w:hint="default"/>
      </w:rPr>
    </w:lvl>
  </w:abstractNum>
  <w:abstractNum w:abstractNumId="77">
    <w:nsid w:val="F44A5049"/>
    <w:multiLevelType w:val="singleLevel"/>
    <w:tmpl w:val="F44A5049"/>
    <w:lvl w:ilvl="0" w:tentative="0">
      <w:start w:val="1"/>
      <w:numFmt w:val="decimal"/>
      <w:suff w:val="nothing"/>
      <w:lvlText w:val="(%1)"/>
      <w:lvlJc w:val="left"/>
    </w:lvl>
  </w:abstractNum>
  <w:abstractNum w:abstractNumId="78">
    <w:nsid w:val="F63D95A8"/>
    <w:multiLevelType w:val="singleLevel"/>
    <w:tmpl w:val="F63D95A8"/>
    <w:lvl w:ilvl="0" w:tentative="0">
      <w:start w:val="1"/>
      <w:numFmt w:val="decimal"/>
      <w:suff w:val="nothing"/>
      <w:lvlText w:val="(%1)"/>
      <w:lvlJc w:val="left"/>
      <w:pPr>
        <w:ind w:left="425" w:hanging="425"/>
      </w:pPr>
      <w:rPr>
        <w:rFonts w:hint="default"/>
      </w:rPr>
    </w:lvl>
  </w:abstractNum>
  <w:abstractNum w:abstractNumId="79">
    <w:nsid w:val="F8E58469"/>
    <w:multiLevelType w:val="singleLevel"/>
    <w:tmpl w:val="F8E58469"/>
    <w:lvl w:ilvl="0" w:tentative="0">
      <w:start w:val="1"/>
      <w:numFmt w:val="decimal"/>
      <w:suff w:val="nothing"/>
      <w:lvlText w:val="%1."/>
      <w:lvlJc w:val="left"/>
      <w:pPr>
        <w:ind w:left="425" w:hanging="425"/>
      </w:pPr>
      <w:rPr>
        <w:rFonts w:hint="default"/>
      </w:rPr>
    </w:lvl>
  </w:abstractNum>
  <w:abstractNum w:abstractNumId="80">
    <w:nsid w:val="FB4E9596"/>
    <w:multiLevelType w:val="singleLevel"/>
    <w:tmpl w:val="FB4E9596"/>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81">
    <w:nsid w:val="FCCADA79"/>
    <w:multiLevelType w:val="singleLevel"/>
    <w:tmpl w:val="FCCADA79"/>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82">
    <w:nsid w:val="FE7F8058"/>
    <w:multiLevelType w:val="singleLevel"/>
    <w:tmpl w:val="FE7F8058"/>
    <w:lvl w:ilvl="0" w:tentative="0">
      <w:start w:val="1"/>
      <w:numFmt w:val="decimalEnclosedCircleChinese"/>
      <w:suff w:val="nothing"/>
      <w:lvlText w:val="%1　"/>
      <w:lvlJc w:val="left"/>
      <w:pPr>
        <w:ind w:left="0" w:firstLine="400"/>
      </w:pPr>
      <w:rPr>
        <w:rFonts w:hint="eastAsia"/>
      </w:rPr>
    </w:lvl>
  </w:abstractNum>
  <w:abstractNum w:abstractNumId="83">
    <w:nsid w:val="FFD72A8C"/>
    <w:multiLevelType w:val="singleLevel"/>
    <w:tmpl w:val="FFD72A8C"/>
    <w:lvl w:ilvl="0" w:tentative="0">
      <w:start w:val="1"/>
      <w:numFmt w:val="decimal"/>
      <w:suff w:val="nothing"/>
      <w:lvlText w:val="(%1)"/>
      <w:lvlJc w:val="left"/>
      <w:pPr>
        <w:ind w:left="425" w:hanging="425"/>
      </w:pPr>
      <w:rPr>
        <w:rFonts w:hint="default"/>
      </w:rPr>
    </w:lvl>
  </w:abstractNum>
  <w:abstractNum w:abstractNumId="84">
    <w:nsid w:val="00000001"/>
    <w:multiLevelType w:val="singleLevel"/>
    <w:tmpl w:val="00000001"/>
    <w:lvl w:ilvl="0" w:tentative="0">
      <w:start w:val="1"/>
      <w:numFmt w:val="decimal"/>
      <w:pStyle w:val="157"/>
      <w:lvlText w:val="%1)"/>
      <w:lvlJc w:val="left"/>
      <w:pPr>
        <w:tabs>
          <w:tab w:val="left" w:pos="425"/>
        </w:tabs>
        <w:ind w:left="425" w:hanging="425"/>
      </w:pPr>
      <w:rPr>
        <w:rFonts w:hint="eastAsia"/>
      </w:rPr>
    </w:lvl>
  </w:abstractNum>
  <w:abstractNum w:abstractNumId="85">
    <w:nsid w:val="0000000D"/>
    <w:multiLevelType w:val="multilevel"/>
    <w:tmpl w:val="0000000D"/>
    <w:lvl w:ilvl="0" w:tentative="0">
      <w:start w:val="1"/>
      <w:numFmt w:val="bullet"/>
      <w:pStyle w:val="15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6">
    <w:nsid w:val="0000000E"/>
    <w:multiLevelType w:val="singleLevel"/>
    <w:tmpl w:val="0000000E"/>
    <w:lvl w:ilvl="0" w:tentative="0">
      <w:start w:val="1"/>
      <w:numFmt w:val="bullet"/>
      <w:pStyle w:val="229"/>
      <w:lvlText w:val=""/>
      <w:lvlJc w:val="left"/>
      <w:pPr>
        <w:tabs>
          <w:tab w:val="left" w:pos="360"/>
        </w:tabs>
        <w:ind w:left="360" w:hanging="360"/>
      </w:pPr>
      <w:rPr>
        <w:rFonts w:hint="default" w:ascii="Wingdings" w:hAnsi="Wingdings"/>
      </w:rPr>
    </w:lvl>
  </w:abstractNum>
  <w:abstractNum w:abstractNumId="87">
    <w:nsid w:val="00000011"/>
    <w:multiLevelType w:val="multilevel"/>
    <w:tmpl w:val="00000011"/>
    <w:lvl w:ilvl="0" w:tentative="0">
      <w:start w:val="1"/>
      <w:numFmt w:val="upperLetter"/>
      <w:pStyle w:val="2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8">
    <w:nsid w:val="00000012"/>
    <w:multiLevelType w:val="singleLevel"/>
    <w:tmpl w:val="00000012"/>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89">
    <w:nsid w:val="00000014"/>
    <w:multiLevelType w:val="multilevel"/>
    <w:tmpl w:val="00000014"/>
    <w:lvl w:ilvl="0" w:tentative="0">
      <w:start w:val="1"/>
      <w:numFmt w:val="bullet"/>
      <w:pStyle w:val="1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0">
    <w:nsid w:val="00000015"/>
    <w:multiLevelType w:val="singleLevel"/>
    <w:tmpl w:val="00000015"/>
    <w:lvl w:ilvl="0" w:tentative="0">
      <w:start w:val="1"/>
      <w:numFmt w:val="bullet"/>
      <w:pStyle w:val="184"/>
      <w:lvlText w:val=""/>
      <w:lvlJc w:val="left"/>
      <w:pPr>
        <w:tabs>
          <w:tab w:val="left" w:pos="1620"/>
        </w:tabs>
        <w:ind w:left="1620" w:hanging="360"/>
      </w:pPr>
      <w:rPr>
        <w:rFonts w:hint="default" w:ascii="Wingdings" w:hAnsi="Wingdings"/>
      </w:rPr>
    </w:lvl>
  </w:abstractNum>
  <w:abstractNum w:abstractNumId="91">
    <w:nsid w:val="00000016"/>
    <w:multiLevelType w:val="multilevel"/>
    <w:tmpl w:val="00000016"/>
    <w:lvl w:ilvl="0" w:tentative="0">
      <w:start w:val="1"/>
      <w:numFmt w:val="decimal"/>
      <w:pStyle w:val="12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2">
    <w:nsid w:val="00000017"/>
    <w:multiLevelType w:val="multilevel"/>
    <w:tmpl w:val="00000017"/>
    <w:lvl w:ilvl="0" w:tentative="0">
      <w:start w:val="1"/>
      <w:numFmt w:val="chineseCountingThousand"/>
      <w:pStyle w:val="16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3">
    <w:nsid w:val="00000019"/>
    <w:multiLevelType w:val="multilevel"/>
    <w:tmpl w:val="00000019"/>
    <w:lvl w:ilvl="0" w:tentative="0">
      <w:start w:val="1"/>
      <w:numFmt w:val="bullet"/>
      <w:pStyle w:val="23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4">
    <w:nsid w:val="0000001A"/>
    <w:multiLevelType w:val="singleLevel"/>
    <w:tmpl w:val="0000001A"/>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5">
    <w:nsid w:val="0000001D"/>
    <w:multiLevelType w:val="singleLevel"/>
    <w:tmpl w:val="0000001D"/>
    <w:lvl w:ilvl="0" w:tentative="0">
      <w:start w:val="1"/>
      <w:numFmt w:val="decimal"/>
      <w:pStyle w:val="13"/>
      <w:lvlText w:val="%1."/>
      <w:lvlJc w:val="left"/>
      <w:pPr>
        <w:tabs>
          <w:tab w:val="left" w:pos="425"/>
        </w:tabs>
        <w:ind w:left="425" w:hanging="425"/>
      </w:pPr>
      <w:rPr>
        <w:rFonts w:hint="default"/>
      </w:rPr>
    </w:lvl>
  </w:abstractNum>
  <w:abstractNum w:abstractNumId="96">
    <w:nsid w:val="0055CE2A"/>
    <w:multiLevelType w:val="singleLevel"/>
    <w:tmpl w:val="0055CE2A"/>
    <w:lvl w:ilvl="0" w:tentative="0">
      <w:start w:val="1"/>
      <w:numFmt w:val="decimal"/>
      <w:suff w:val="nothing"/>
      <w:lvlText w:val="(%1)"/>
      <w:lvlJc w:val="left"/>
    </w:lvl>
  </w:abstractNum>
  <w:abstractNum w:abstractNumId="97">
    <w:nsid w:val="00FA1999"/>
    <w:multiLevelType w:val="singleLevel"/>
    <w:tmpl w:val="00FA1999"/>
    <w:lvl w:ilvl="0" w:tentative="0">
      <w:start w:val="1"/>
      <w:numFmt w:val="decimalEnclosedCircleChinese"/>
      <w:suff w:val="nothing"/>
      <w:lvlText w:val="%1　"/>
      <w:lvlJc w:val="left"/>
      <w:pPr>
        <w:ind w:left="0" w:firstLine="400"/>
      </w:pPr>
      <w:rPr>
        <w:rFonts w:hint="eastAsia"/>
      </w:rPr>
    </w:lvl>
  </w:abstractNum>
  <w:abstractNum w:abstractNumId="98">
    <w:nsid w:val="0214BFF5"/>
    <w:multiLevelType w:val="singleLevel"/>
    <w:tmpl w:val="0214BFF5"/>
    <w:lvl w:ilvl="0" w:tentative="0">
      <w:start w:val="1"/>
      <w:numFmt w:val="decimalEnclosedCircleChinese"/>
      <w:suff w:val="nothing"/>
      <w:lvlText w:val="%1　"/>
      <w:lvlJc w:val="left"/>
      <w:pPr>
        <w:ind w:left="0" w:firstLine="400"/>
      </w:pPr>
      <w:rPr>
        <w:rFonts w:hint="eastAsia"/>
      </w:rPr>
    </w:lvl>
  </w:abstractNum>
  <w:abstractNum w:abstractNumId="99">
    <w:nsid w:val="02575DEF"/>
    <w:multiLevelType w:val="singleLevel"/>
    <w:tmpl w:val="02575DEF"/>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abstractNum w:abstractNumId="100">
    <w:nsid w:val="0258DBED"/>
    <w:multiLevelType w:val="singleLevel"/>
    <w:tmpl w:val="0258DBED"/>
    <w:lvl w:ilvl="0" w:tentative="0">
      <w:start w:val="1"/>
      <w:numFmt w:val="decimal"/>
      <w:suff w:val="nothing"/>
      <w:lvlText w:val="%1."/>
      <w:lvlJc w:val="left"/>
      <w:pPr>
        <w:ind w:left="425" w:hanging="425"/>
      </w:pPr>
      <w:rPr>
        <w:rFonts w:hint="default"/>
      </w:rPr>
    </w:lvl>
  </w:abstractNum>
  <w:abstractNum w:abstractNumId="101">
    <w:nsid w:val="03D266E5"/>
    <w:multiLevelType w:val="singleLevel"/>
    <w:tmpl w:val="03D266E5"/>
    <w:lvl w:ilvl="0" w:tentative="0">
      <w:start w:val="1"/>
      <w:numFmt w:val="decimal"/>
      <w:suff w:val="nothing"/>
      <w:lvlText w:val="(%1)"/>
      <w:lvlJc w:val="left"/>
      <w:pPr>
        <w:ind w:left="425" w:hanging="425"/>
      </w:pPr>
      <w:rPr>
        <w:rFonts w:hint="default"/>
      </w:rPr>
    </w:lvl>
  </w:abstractNum>
  <w:abstractNum w:abstractNumId="102">
    <w:nsid w:val="043EDA63"/>
    <w:multiLevelType w:val="singleLevel"/>
    <w:tmpl w:val="043EDA63"/>
    <w:lvl w:ilvl="0" w:tentative="0">
      <w:start w:val="1"/>
      <w:numFmt w:val="decimalEnclosedCircleChinese"/>
      <w:suff w:val="nothing"/>
      <w:lvlText w:val="%1　"/>
      <w:lvlJc w:val="left"/>
      <w:pPr>
        <w:ind w:left="0" w:firstLine="400"/>
      </w:pPr>
      <w:rPr>
        <w:rFonts w:hint="eastAsia"/>
      </w:rPr>
    </w:lvl>
  </w:abstractNum>
  <w:abstractNum w:abstractNumId="103">
    <w:nsid w:val="05134F35"/>
    <w:multiLevelType w:val="singleLevel"/>
    <w:tmpl w:val="05134F35"/>
    <w:lvl w:ilvl="0" w:tentative="0">
      <w:start w:val="1"/>
      <w:numFmt w:val="decimal"/>
      <w:suff w:val="nothing"/>
      <w:lvlText w:val="%1."/>
      <w:lvlJc w:val="left"/>
      <w:pPr>
        <w:ind w:left="425" w:hanging="425"/>
      </w:pPr>
      <w:rPr>
        <w:rFonts w:hint="default"/>
      </w:rPr>
    </w:lvl>
  </w:abstractNum>
  <w:abstractNum w:abstractNumId="104">
    <w:nsid w:val="068B260F"/>
    <w:multiLevelType w:val="singleLevel"/>
    <w:tmpl w:val="068B260F"/>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05">
    <w:nsid w:val="06CE1F9D"/>
    <w:multiLevelType w:val="singleLevel"/>
    <w:tmpl w:val="06CE1F9D"/>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06">
    <w:nsid w:val="07C25DBD"/>
    <w:multiLevelType w:val="singleLevel"/>
    <w:tmpl w:val="07C25DBD"/>
    <w:lvl w:ilvl="0" w:tentative="0">
      <w:start w:val="1"/>
      <w:numFmt w:val="decimal"/>
      <w:suff w:val="nothing"/>
      <w:lvlText w:val="%1."/>
      <w:lvlJc w:val="left"/>
      <w:pPr>
        <w:ind w:left="425" w:hanging="425"/>
      </w:pPr>
      <w:rPr>
        <w:rFonts w:hint="default"/>
      </w:rPr>
    </w:lvl>
  </w:abstractNum>
  <w:abstractNum w:abstractNumId="107">
    <w:nsid w:val="089A0D0A"/>
    <w:multiLevelType w:val="singleLevel"/>
    <w:tmpl w:val="089A0D0A"/>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08">
    <w:nsid w:val="08A2CC4F"/>
    <w:multiLevelType w:val="singleLevel"/>
    <w:tmpl w:val="08A2CC4F"/>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abstractNum w:abstractNumId="109">
    <w:nsid w:val="08B0726A"/>
    <w:multiLevelType w:val="singleLevel"/>
    <w:tmpl w:val="08B0726A"/>
    <w:lvl w:ilvl="0" w:tentative="0">
      <w:start w:val="1"/>
      <w:numFmt w:val="decimalEnclosedCircleChinese"/>
      <w:suff w:val="nothing"/>
      <w:lvlText w:val="%1　"/>
      <w:lvlJc w:val="left"/>
      <w:pPr>
        <w:ind w:left="0" w:firstLine="400"/>
      </w:pPr>
      <w:rPr>
        <w:rFonts w:hint="eastAsia"/>
      </w:rPr>
    </w:lvl>
  </w:abstractNum>
  <w:abstractNum w:abstractNumId="110">
    <w:nsid w:val="0AC73033"/>
    <w:multiLevelType w:val="singleLevel"/>
    <w:tmpl w:val="0AC73033"/>
    <w:lvl w:ilvl="0" w:tentative="0">
      <w:start w:val="1"/>
      <w:numFmt w:val="decimalEnclosedCircleChinese"/>
      <w:suff w:val="nothing"/>
      <w:lvlText w:val="%1　"/>
      <w:lvlJc w:val="left"/>
      <w:pPr>
        <w:ind w:left="0" w:firstLine="400"/>
      </w:pPr>
      <w:rPr>
        <w:rFonts w:hint="eastAsia"/>
      </w:rPr>
    </w:lvl>
  </w:abstractNum>
  <w:abstractNum w:abstractNumId="111">
    <w:nsid w:val="0C905AD2"/>
    <w:multiLevelType w:val="singleLevel"/>
    <w:tmpl w:val="0C905AD2"/>
    <w:lvl w:ilvl="0" w:tentative="0">
      <w:start w:val="1"/>
      <w:numFmt w:val="decimalEnclosedCircleChinese"/>
      <w:suff w:val="nothing"/>
      <w:lvlText w:val="%1　"/>
      <w:lvlJc w:val="left"/>
      <w:pPr>
        <w:ind w:left="0" w:firstLine="400"/>
      </w:pPr>
      <w:rPr>
        <w:rFonts w:hint="eastAsia"/>
      </w:rPr>
    </w:lvl>
  </w:abstractNum>
  <w:abstractNum w:abstractNumId="112">
    <w:nsid w:val="0CCBB1B0"/>
    <w:multiLevelType w:val="singleLevel"/>
    <w:tmpl w:val="0CCBB1B0"/>
    <w:lvl w:ilvl="0" w:tentative="0">
      <w:start w:val="1"/>
      <w:numFmt w:val="decimal"/>
      <w:suff w:val="nothing"/>
      <w:lvlText w:val="(%1)"/>
      <w:lvlJc w:val="left"/>
      <w:pPr>
        <w:ind w:left="425" w:hanging="425"/>
      </w:pPr>
      <w:rPr>
        <w:rFonts w:hint="default"/>
      </w:rPr>
    </w:lvl>
  </w:abstractNum>
  <w:abstractNum w:abstractNumId="113">
    <w:nsid w:val="0D956663"/>
    <w:multiLevelType w:val="singleLevel"/>
    <w:tmpl w:val="0D956663"/>
    <w:lvl w:ilvl="0" w:tentative="0">
      <w:start w:val="1"/>
      <w:numFmt w:val="decimalEnclosedCircleChinese"/>
      <w:suff w:val="nothing"/>
      <w:lvlText w:val="%1　"/>
      <w:lvlJc w:val="left"/>
      <w:pPr>
        <w:ind w:left="0" w:firstLine="400"/>
      </w:pPr>
      <w:rPr>
        <w:rFonts w:hint="eastAsia"/>
      </w:rPr>
    </w:lvl>
  </w:abstractNum>
  <w:abstractNum w:abstractNumId="114">
    <w:nsid w:val="0F68D7C8"/>
    <w:multiLevelType w:val="singleLevel"/>
    <w:tmpl w:val="0F68D7C8"/>
    <w:lvl w:ilvl="0" w:tentative="0">
      <w:start w:val="1"/>
      <w:numFmt w:val="decimal"/>
      <w:lvlText w:val="(%1)"/>
      <w:lvlJc w:val="left"/>
      <w:pPr>
        <w:ind w:left="425" w:hanging="425"/>
      </w:pPr>
      <w:rPr>
        <w:rFonts w:hint="default"/>
      </w:rPr>
    </w:lvl>
  </w:abstractNum>
  <w:abstractNum w:abstractNumId="115">
    <w:nsid w:val="0F6CA442"/>
    <w:multiLevelType w:val="singleLevel"/>
    <w:tmpl w:val="0F6CA442"/>
    <w:lvl w:ilvl="0" w:tentative="0">
      <w:start w:val="1"/>
      <w:numFmt w:val="decimalEnclosedCircleChinese"/>
      <w:suff w:val="nothing"/>
      <w:lvlText w:val="%1　"/>
      <w:lvlJc w:val="left"/>
      <w:pPr>
        <w:ind w:left="0" w:firstLine="400"/>
      </w:pPr>
      <w:rPr>
        <w:rFonts w:hint="eastAsia"/>
      </w:rPr>
    </w:lvl>
  </w:abstractNum>
  <w:abstractNum w:abstractNumId="116">
    <w:nsid w:val="1030A150"/>
    <w:multiLevelType w:val="singleLevel"/>
    <w:tmpl w:val="1030A150"/>
    <w:lvl w:ilvl="0" w:tentative="0">
      <w:start w:val="1"/>
      <w:numFmt w:val="decimal"/>
      <w:suff w:val="nothing"/>
      <w:lvlText w:val="%1."/>
      <w:lvlJc w:val="left"/>
      <w:pPr>
        <w:ind w:left="425" w:hanging="425"/>
      </w:pPr>
      <w:rPr>
        <w:rFonts w:hint="default"/>
      </w:rPr>
    </w:lvl>
  </w:abstractNum>
  <w:abstractNum w:abstractNumId="117">
    <w:nsid w:val="11567DB8"/>
    <w:multiLevelType w:val="singleLevel"/>
    <w:tmpl w:val="11567DB8"/>
    <w:lvl w:ilvl="0" w:tentative="0">
      <w:start w:val="1"/>
      <w:numFmt w:val="decimal"/>
      <w:suff w:val="nothing"/>
      <w:lvlText w:val="%1."/>
      <w:lvlJc w:val="left"/>
      <w:pPr>
        <w:ind w:left="425" w:hanging="425"/>
      </w:pPr>
      <w:rPr>
        <w:rFonts w:hint="default"/>
        <w:color w:val="auto"/>
      </w:rPr>
    </w:lvl>
  </w:abstractNum>
  <w:abstractNum w:abstractNumId="118">
    <w:nsid w:val="131D7FBB"/>
    <w:multiLevelType w:val="singleLevel"/>
    <w:tmpl w:val="131D7FBB"/>
    <w:lvl w:ilvl="0" w:tentative="0">
      <w:start w:val="1"/>
      <w:numFmt w:val="decimal"/>
      <w:suff w:val="nothing"/>
      <w:lvlText w:val="(%1)"/>
      <w:lvlJc w:val="left"/>
      <w:pPr>
        <w:ind w:left="425" w:hanging="425"/>
      </w:pPr>
      <w:rPr>
        <w:rFonts w:hint="default"/>
      </w:rPr>
    </w:lvl>
  </w:abstractNum>
  <w:abstractNum w:abstractNumId="119">
    <w:nsid w:val="140837BD"/>
    <w:multiLevelType w:val="singleLevel"/>
    <w:tmpl w:val="140837BD"/>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20">
    <w:nsid w:val="1494F038"/>
    <w:multiLevelType w:val="singleLevel"/>
    <w:tmpl w:val="1494F038"/>
    <w:lvl w:ilvl="0" w:tentative="0">
      <w:start w:val="1"/>
      <w:numFmt w:val="decimalEnclosedCircleChinese"/>
      <w:suff w:val="nothing"/>
      <w:lvlText w:val="%1　"/>
      <w:lvlJc w:val="left"/>
      <w:pPr>
        <w:ind w:left="0" w:firstLine="400"/>
      </w:pPr>
      <w:rPr>
        <w:rFonts w:hint="eastAsia"/>
      </w:rPr>
    </w:lvl>
  </w:abstractNum>
  <w:abstractNum w:abstractNumId="121">
    <w:nsid w:val="14A1EEF3"/>
    <w:multiLevelType w:val="singleLevel"/>
    <w:tmpl w:val="14A1EEF3"/>
    <w:lvl w:ilvl="0" w:tentative="0">
      <w:start w:val="1"/>
      <w:numFmt w:val="decimal"/>
      <w:suff w:val="nothing"/>
      <w:lvlText w:val="(%1)"/>
      <w:lvlJc w:val="left"/>
      <w:pPr>
        <w:ind w:left="425" w:hanging="425"/>
      </w:pPr>
      <w:rPr>
        <w:rFonts w:hint="default"/>
      </w:rPr>
    </w:lvl>
  </w:abstractNum>
  <w:abstractNum w:abstractNumId="122">
    <w:nsid w:val="16D9F870"/>
    <w:multiLevelType w:val="singleLevel"/>
    <w:tmpl w:val="16D9F870"/>
    <w:lvl w:ilvl="0" w:tentative="0">
      <w:start w:val="1"/>
      <w:numFmt w:val="decimal"/>
      <w:suff w:val="nothing"/>
      <w:lvlText w:val="(%1)"/>
      <w:lvlJc w:val="left"/>
      <w:pPr>
        <w:ind w:left="425" w:hanging="425"/>
      </w:pPr>
      <w:rPr>
        <w:rFonts w:hint="default"/>
      </w:rPr>
    </w:lvl>
  </w:abstractNum>
  <w:abstractNum w:abstractNumId="123">
    <w:nsid w:val="17B1FD00"/>
    <w:multiLevelType w:val="singleLevel"/>
    <w:tmpl w:val="17B1FD00"/>
    <w:lvl w:ilvl="0" w:tentative="0">
      <w:start w:val="1"/>
      <w:numFmt w:val="decimalEnclosedCircleChinese"/>
      <w:suff w:val="nothing"/>
      <w:lvlText w:val="%1　"/>
      <w:lvlJc w:val="left"/>
      <w:pPr>
        <w:ind w:left="0" w:firstLine="400"/>
      </w:pPr>
      <w:rPr>
        <w:rFonts w:hint="eastAsia"/>
      </w:rPr>
    </w:lvl>
  </w:abstractNum>
  <w:abstractNum w:abstractNumId="124">
    <w:nsid w:val="1902E4D4"/>
    <w:multiLevelType w:val="singleLevel"/>
    <w:tmpl w:val="1902E4D4"/>
    <w:lvl w:ilvl="0" w:tentative="0">
      <w:start w:val="1"/>
      <w:numFmt w:val="decimalEnclosedCircleChinese"/>
      <w:suff w:val="nothing"/>
      <w:lvlText w:val="%1　"/>
      <w:lvlJc w:val="left"/>
      <w:pPr>
        <w:ind w:left="0" w:firstLine="400"/>
      </w:pPr>
      <w:rPr>
        <w:rFonts w:hint="eastAsia"/>
      </w:rPr>
    </w:lvl>
  </w:abstractNum>
  <w:abstractNum w:abstractNumId="125">
    <w:nsid w:val="1A08E3BA"/>
    <w:multiLevelType w:val="singleLevel"/>
    <w:tmpl w:val="1A08E3BA"/>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26">
    <w:nsid w:val="1BFA4CA4"/>
    <w:multiLevelType w:val="singleLevel"/>
    <w:tmpl w:val="1BFA4CA4"/>
    <w:lvl w:ilvl="0" w:tentative="0">
      <w:start w:val="1"/>
      <w:numFmt w:val="decimalEnclosedCircleChinese"/>
      <w:suff w:val="nothing"/>
      <w:lvlText w:val="%1　"/>
      <w:lvlJc w:val="left"/>
      <w:pPr>
        <w:ind w:left="0" w:firstLine="400"/>
      </w:pPr>
      <w:rPr>
        <w:rFonts w:hint="eastAsia"/>
      </w:rPr>
    </w:lvl>
  </w:abstractNum>
  <w:abstractNum w:abstractNumId="127">
    <w:nsid w:val="1C32DB6D"/>
    <w:multiLevelType w:val="singleLevel"/>
    <w:tmpl w:val="1C32DB6D"/>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28">
    <w:nsid w:val="1D5FBA12"/>
    <w:multiLevelType w:val="singleLevel"/>
    <w:tmpl w:val="1D5FBA12"/>
    <w:lvl w:ilvl="0" w:tentative="0">
      <w:start w:val="1"/>
      <w:numFmt w:val="decimalEnclosedCircleChinese"/>
      <w:suff w:val="nothing"/>
      <w:lvlText w:val="%1　"/>
      <w:lvlJc w:val="left"/>
      <w:pPr>
        <w:ind w:left="0" w:firstLine="400"/>
      </w:pPr>
      <w:rPr>
        <w:rFonts w:hint="eastAsia"/>
        <w:sz w:val="24"/>
        <w:szCs w:val="24"/>
      </w:rPr>
    </w:lvl>
  </w:abstractNum>
  <w:abstractNum w:abstractNumId="129">
    <w:nsid w:val="1DF5635A"/>
    <w:multiLevelType w:val="singleLevel"/>
    <w:tmpl w:val="1DF5635A"/>
    <w:lvl w:ilvl="0" w:tentative="0">
      <w:start w:val="1"/>
      <w:numFmt w:val="decimalEnclosedCircleChinese"/>
      <w:suff w:val="nothing"/>
      <w:lvlText w:val="%1　"/>
      <w:lvlJc w:val="left"/>
      <w:pPr>
        <w:ind w:left="0" w:firstLine="400"/>
      </w:pPr>
      <w:rPr>
        <w:rFonts w:hint="eastAsia"/>
      </w:rPr>
    </w:lvl>
  </w:abstractNum>
  <w:abstractNum w:abstractNumId="130">
    <w:nsid w:val="1E8CF7D5"/>
    <w:multiLevelType w:val="singleLevel"/>
    <w:tmpl w:val="1E8CF7D5"/>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31">
    <w:nsid w:val="204E6827"/>
    <w:multiLevelType w:val="singleLevel"/>
    <w:tmpl w:val="204E6827"/>
    <w:lvl w:ilvl="0" w:tentative="0">
      <w:start w:val="1"/>
      <w:numFmt w:val="decimalEnclosedCircleChinese"/>
      <w:suff w:val="nothing"/>
      <w:lvlText w:val="%1　"/>
      <w:lvlJc w:val="left"/>
      <w:pPr>
        <w:ind w:left="0" w:firstLine="400"/>
      </w:pPr>
      <w:rPr>
        <w:rFonts w:hint="eastAsia"/>
      </w:rPr>
    </w:lvl>
  </w:abstractNum>
  <w:abstractNum w:abstractNumId="132">
    <w:nsid w:val="20B7CF8C"/>
    <w:multiLevelType w:val="singleLevel"/>
    <w:tmpl w:val="20B7CF8C"/>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33">
    <w:nsid w:val="2263E63F"/>
    <w:multiLevelType w:val="singleLevel"/>
    <w:tmpl w:val="2263E63F"/>
    <w:lvl w:ilvl="0" w:tentative="0">
      <w:start w:val="1"/>
      <w:numFmt w:val="decimalEnclosedCircleChinese"/>
      <w:suff w:val="nothing"/>
      <w:lvlText w:val="%1　"/>
      <w:lvlJc w:val="left"/>
      <w:pPr>
        <w:ind w:left="0" w:firstLine="400"/>
      </w:pPr>
      <w:rPr>
        <w:rFonts w:hint="eastAsia"/>
      </w:rPr>
    </w:lvl>
  </w:abstractNum>
  <w:abstractNum w:abstractNumId="134">
    <w:nsid w:val="24316FCC"/>
    <w:multiLevelType w:val="singleLevel"/>
    <w:tmpl w:val="24316FCC"/>
    <w:lvl w:ilvl="0" w:tentative="0">
      <w:start w:val="1"/>
      <w:numFmt w:val="decimalEnclosedCircleChinese"/>
      <w:suff w:val="nothing"/>
      <w:lvlText w:val="%1　"/>
      <w:lvlJc w:val="left"/>
      <w:pPr>
        <w:ind w:left="0" w:firstLine="400"/>
      </w:pPr>
      <w:rPr>
        <w:rFonts w:hint="eastAsia"/>
      </w:rPr>
    </w:lvl>
  </w:abstractNum>
  <w:abstractNum w:abstractNumId="135">
    <w:nsid w:val="277D0368"/>
    <w:multiLevelType w:val="singleLevel"/>
    <w:tmpl w:val="277D0368"/>
    <w:lvl w:ilvl="0" w:tentative="0">
      <w:start w:val="1"/>
      <w:numFmt w:val="decimalEnclosedCircleChinese"/>
      <w:suff w:val="nothing"/>
      <w:lvlText w:val="%1　"/>
      <w:lvlJc w:val="left"/>
      <w:pPr>
        <w:ind w:left="0" w:firstLine="400"/>
      </w:pPr>
      <w:rPr>
        <w:rFonts w:hint="eastAsia"/>
      </w:rPr>
    </w:lvl>
  </w:abstractNum>
  <w:abstractNum w:abstractNumId="136">
    <w:nsid w:val="2795E9D0"/>
    <w:multiLevelType w:val="singleLevel"/>
    <w:tmpl w:val="2795E9D0"/>
    <w:lvl w:ilvl="0" w:tentative="0">
      <w:start w:val="1"/>
      <w:numFmt w:val="decimalEnclosedCircleChinese"/>
      <w:suff w:val="nothing"/>
      <w:lvlText w:val="%1　"/>
      <w:lvlJc w:val="left"/>
      <w:pPr>
        <w:ind w:left="0" w:firstLine="400"/>
      </w:pPr>
      <w:rPr>
        <w:rFonts w:hint="eastAsia"/>
      </w:rPr>
    </w:lvl>
  </w:abstractNum>
  <w:abstractNum w:abstractNumId="137">
    <w:nsid w:val="27B5B607"/>
    <w:multiLevelType w:val="singleLevel"/>
    <w:tmpl w:val="27B5B607"/>
    <w:lvl w:ilvl="0" w:tentative="0">
      <w:start w:val="1"/>
      <w:numFmt w:val="decimal"/>
      <w:suff w:val="nothing"/>
      <w:lvlText w:val="%1."/>
      <w:lvlJc w:val="left"/>
      <w:pPr>
        <w:ind w:left="425" w:hanging="425"/>
      </w:pPr>
      <w:rPr>
        <w:rFonts w:hint="default"/>
      </w:rPr>
    </w:lvl>
  </w:abstractNum>
  <w:abstractNum w:abstractNumId="138">
    <w:nsid w:val="27EF8731"/>
    <w:multiLevelType w:val="singleLevel"/>
    <w:tmpl w:val="27EF8731"/>
    <w:lvl w:ilvl="0" w:tentative="0">
      <w:start w:val="1"/>
      <w:numFmt w:val="decimal"/>
      <w:suff w:val="nothing"/>
      <w:lvlText w:val="(%1)"/>
      <w:lvlJc w:val="left"/>
      <w:pPr>
        <w:ind w:left="425" w:hanging="425"/>
      </w:pPr>
      <w:rPr>
        <w:rFonts w:hint="default"/>
      </w:rPr>
    </w:lvl>
  </w:abstractNum>
  <w:abstractNum w:abstractNumId="139">
    <w:nsid w:val="2D0725F0"/>
    <w:multiLevelType w:val="singleLevel"/>
    <w:tmpl w:val="2D0725F0"/>
    <w:lvl w:ilvl="0" w:tentative="0">
      <w:start w:val="1"/>
      <w:numFmt w:val="decimalEnclosedCircleChinese"/>
      <w:suff w:val="nothing"/>
      <w:lvlText w:val="%1　"/>
      <w:lvlJc w:val="left"/>
      <w:pPr>
        <w:ind w:left="0" w:firstLine="400"/>
      </w:pPr>
      <w:rPr>
        <w:rFonts w:hint="eastAsia"/>
      </w:rPr>
    </w:lvl>
  </w:abstractNum>
  <w:abstractNum w:abstractNumId="140">
    <w:nsid w:val="2D3F9F51"/>
    <w:multiLevelType w:val="singleLevel"/>
    <w:tmpl w:val="2D3F9F51"/>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41">
    <w:nsid w:val="2E530A73"/>
    <w:multiLevelType w:val="singleLevel"/>
    <w:tmpl w:val="2E530A73"/>
    <w:lvl w:ilvl="0" w:tentative="0">
      <w:start w:val="1"/>
      <w:numFmt w:val="decimal"/>
      <w:suff w:val="nothing"/>
      <w:lvlText w:val="%1."/>
      <w:lvlJc w:val="left"/>
      <w:pPr>
        <w:ind w:left="425" w:hanging="425"/>
      </w:pPr>
      <w:rPr>
        <w:rFonts w:hint="default"/>
      </w:rPr>
    </w:lvl>
  </w:abstractNum>
  <w:abstractNum w:abstractNumId="142">
    <w:nsid w:val="2F608568"/>
    <w:multiLevelType w:val="singleLevel"/>
    <w:tmpl w:val="2F608568"/>
    <w:lvl w:ilvl="0" w:tentative="0">
      <w:start w:val="1"/>
      <w:numFmt w:val="decimal"/>
      <w:suff w:val="nothing"/>
      <w:lvlText w:val="(%1)"/>
      <w:lvlJc w:val="left"/>
      <w:pPr>
        <w:ind w:left="425" w:hanging="425"/>
      </w:pPr>
      <w:rPr>
        <w:rFonts w:hint="default"/>
      </w:rPr>
    </w:lvl>
  </w:abstractNum>
  <w:abstractNum w:abstractNumId="143">
    <w:nsid w:val="2F94C1A3"/>
    <w:multiLevelType w:val="singleLevel"/>
    <w:tmpl w:val="2F94C1A3"/>
    <w:lvl w:ilvl="0" w:tentative="0">
      <w:start w:val="1"/>
      <w:numFmt w:val="decimal"/>
      <w:suff w:val="nothing"/>
      <w:lvlText w:val="(%1)"/>
      <w:lvlJc w:val="left"/>
      <w:pPr>
        <w:ind w:left="425" w:hanging="425"/>
      </w:pPr>
      <w:rPr>
        <w:rFonts w:hint="default"/>
      </w:rPr>
    </w:lvl>
  </w:abstractNum>
  <w:abstractNum w:abstractNumId="144">
    <w:nsid w:val="3814002B"/>
    <w:multiLevelType w:val="singleLevel"/>
    <w:tmpl w:val="3814002B"/>
    <w:lvl w:ilvl="0" w:tentative="0">
      <w:start w:val="1"/>
      <w:numFmt w:val="decimal"/>
      <w:suff w:val="nothing"/>
      <w:lvlText w:val="(%1)"/>
      <w:lvlJc w:val="left"/>
      <w:pPr>
        <w:ind w:left="425" w:hanging="425"/>
      </w:pPr>
      <w:rPr>
        <w:rFonts w:hint="default"/>
      </w:rPr>
    </w:lvl>
  </w:abstractNum>
  <w:abstractNum w:abstractNumId="145">
    <w:nsid w:val="3852FEA6"/>
    <w:multiLevelType w:val="singleLevel"/>
    <w:tmpl w:val="3852FEA6"/>
    <w:lvl w:ilvl="0" w:tentative="0">
      <w:start w:val="1"/>
      <w:numFmt w:val="decimal"/>
      <w:suff w:val="nothing"/>
      <w:lvlText w:val="(%1)"/>
      <w:lvlJc w:val="left"/>
      <w:pPr>
        <w:ind w:left="425" w:hanging="425"/>
      </w:pPr>
      <w:rPr>
        <w:rFonts w:hint="default"/>
      </w:rPr>
    </w:lvl>
  </w:abstractNum>
  <w:abstractNum w:abstractNumId="146">
    <w:nsid w:val="39924F79"/>
    <w:multiLevelType w:val="singleLevel"/>
    <w:tmpl w:val="39924F79"/>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47">
    <w:nsid w:val="39BEDAED"/>
    <w:multiLevelType w:val="singleLevel"/>
    <w:tmpl w:val="39BEDAED"/>
    <w:lvl w:ilvl="0" w:tentative="0">
      <w:start w:val="1"/>
      <w:numFmt w:val="decimalEnclosedCircleChinese"/>
      <w:suff w:val="nothing"/>
      <w:lvlText w:val="%1　"/>
      <w:lvlJc w:val="left"/>
      <w:pPr>
        <w:ind w:left="0" w:firstLine="400"/>
      </w:pPr>
      <w:rPr>
        <w:rFonts w:hint="eastAsia"/>
      </w:rPr>
    </w:lvl>
  </w:abstractNum>
  <w:abstractNum w:abstractNumId="148">
    <w:nsid w:val="3A28FC68"/>
    <w:multiLevelType w:val="singleLevel"/>
    <w:tmpl w:val="3A28FC68"/>
    <w:lvl w:ilvl="0" w:tentative="0">
      <w:start w:val="1"/>
      <w:numFmt w:val="decimalEnclosedCircleChinese"/>
      <w:suff w:val="nothing"/>
      <w:lvlText w:val="%1　"/>
      <w:lvlJc w:val="left"/>
      <w:pPr>
        <w:ind w:left="0" w:firstLine="400"/>
      </w:pPr>
      <w:rPr>
        <w:rFonts w:hint="eastAsia"/>
      </w:rPr>
    </w:lvl>
  </w:abstractNum>
  <w:abstractNum w:abstractNumId="149">
    <w:nsid w:val="3A9E2842"/>
    <w:multiLevelType w:val="singleLevel"/>
    <w:tmpl w:val="3A9E2842"/>
    <w:lvl w:ilvl="0" w:tentative="0">
      <w:start w:val="1"/>
      <w:numFmt w:val="decimal"/>
      <w:suff w:val="nothing"/>
      <w:lvlText w:val="(%1)"/>
      <w:lvlJc w:val="left"/>
      <w:pPr>
        <w:ind w:left="425" w:hanging="425"/>
      </w:pPr>
      <w:rPr>
        <w:rFonts w:hint="default"/>
      </w:rPr>
    </w:lvl>
  </w:abstractNum>
  <w:abstractNum w:abstractNumId="150">
    <w:nsid w:val="3B94CAAF"/>
    <w:multiLevelType w:val="singleLevel"/>
    <w:tmpl w:val="3B94CAAF"/>
    <w:lvl w:ilvl="0" w:tentative="0">
      <w:start w:val="1"/>
      <w:numFmt w:val="decimal"/>
      <w:suff w:val="nothing"/>
      <w:lvlText w:val="%1."/>
      <w:lvlJc w:val="left"/>
      <w:pPr>
        <w:ind w:left="425" w:hanging="425"/>
      </w:pPr>
      <w:rPr>
        <w:rFonts w:hint="default"/>
      </w:rPr>
    </w:lvl>
  </w:abstractNum>
  <w:abstractNum w:abstractNumId="151">
    <w:nsid w:val="3B96C30D"/>
    <w:multiLevelType w:val="singleLevel"/>
    <w:tmpl w:val="3B96C30D"/>
    <w:lvl w:ilvl="0" w:tentative="0">
      <w:start w:val="1"/>
      <w:numFmt w:val="chineseCounting"/>
      <w:suff w:val="nothing"/>
      <w:lvlText w:val="（%1）"/>
      <w:lvlJc w:val="left"/>
      <w:rPr>
        <w:rFonts w:hint="eastAsia"/>
      </w:rPr>
    </w:lvl>
  </w:abstractNum>
  <w:abstractNum w:abstractNumId="152">
    <w:nsid w:val="3D5EDAC9"/>
    <w:multiLevelType w:val="singleLevel"/>
    <w:tmpl w:val="3D5EDAC9"/>
    <w:lvl w:ilvl="0" w:tentative="0">
      <w:start w:val="1"/>
      <w:numFmt w:val="decimalEnclosedCircleChinese"/>
      <w:suff w:val="nothing"/>
      <w:lvlText w:val="%1　"/>
      <w:lvlJc w:val="left"/>
      <w:pPr>
        <w:ind w:left="0" w:firstLine="400"/>
      </w:pPr>
      <w:rPr>
        <w:rFonts w:hint="eastAsia"/>
      </w:rPr>
    </w:lvl>
  </w:abstractNum>
  <w:abstractNum w:abstractNumId="153">
    <w:nsid w:val="3EF80C63"/>
    <w:multiLevelType w:val="singleLevel"/>
    <w:tmpl w:val="3EF80C63"/>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54">
    <w:nsid w:val="40DFA473"/>
    <w:multiLevelType w:val="singleLevel"/>
    <w:tmpl w:val="40DFA473"/>
    <w:lvl w:ilvl="0" w:tentative="0">
      <w:start w:val="1"/>
      <w:numFmt w:val="decimal"/>
      <w:suff w:val="nothing"/>
      <w:lvlText w:val="(%1)"/>
      <w:lvlJc w:val="left"/>
      <w:pPr>
        <w:ind w:left="425" w:hanging="425"/>
      </w:pPr>
      <w:rPr>
        <w:rFonts w:hint="default"/>
      </w:rPr>
    </w:lvl>
  </w:abstractNum>
  <w:abstractNum w:abstractNumId="155">
    <w:nsid w:val="4234DD34"/>
    <w:multiLevelType w:val="singleLevel"/>
    <w:tmpl w:val="4234DD34"/>
    <w:lvl w:ilvl="0" w:tentative="0">
      <w:start w:val="1"/>
      <w:numFmt w:val="decimal"/>
      <w:suff w:val="nothing"/>
      <w:lvlText w:val="%1."/>
      <w:lvlJc w:val="left"/>
      <w:pPr>
        <w:ind w:left="425" w:hanging="425"/>
      </w:pPr>
      <w:rPr>
        <w:rFonts w:hint="default"/>
        <w:color w:val="auto"/>
      </w:rPr>
    </w:lvl>
  </w:abstractNum>
  <w:abstractNum w:abstractNumId="156">
    <w:nsid w:val="42FBC7E0"/>
    <w:multiLevelType w:val="singleLevel"/>
    <w:tmpl w:val="42FBC7E0"/>
    <w:lvl w:ilvl="0" w:tentative="0">
      <w:start w:val="1"/>
      <w:numFmt w:val="decimalEnclosedCircleChinese"/>
      <w:suff w:val="nothing"/>
      <w:lvlText w:val="%1　"/>
      <w:lvlJc w:val="left"/>
      <w:pPr>
        <w:ind w:left="0" w:firstLine="400"/>
      </w:pPr>
      <w:rPr>
        <w:rFonts w:hint="eastAsia"/>
      </w:rPr>
    </w:lvl>
  </w:abstractNum>
  <w:abstractNum w:abstractNumId="157">
    <w:nsid w:val="44048393"/>
    <w:multiLevelType w:val="singleLevel"/>
    <w:tmpl w:val="44048393"/>
    <w:lvl w:ilvl="0" w:tentative="0">
      <w:start w:val="1"/>
      <w:numFmt w:val="decimal"/>
      <w:suff w:val="nothing"/>
      <w:lvlText w:val="(%1)"/>
      <w:lvlJc w:val="left"/>
      <w:pPr>
        <w:ind w:left="425" w:hanging="425"/>
      </w:pPr>
      <w:rPr>
        <w:rFonts w:hint="default"/>
      </w:rPr>
    </w:lvl>
  </w:abstractNum>
  <w:abstractNum w:abstractNumId="158">
    <w:nsid w:val="44FA9CDE"/>
    <w:multiLevelType w:val="singleLevel"/>
    <w:tmpl w:val="44FA9CDE"/>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59">
    <w:nsid w:val="4B15D005"/>
    <w:multiLevelType w:val="singleLevel"/>
    <w:tmpl w:val="4B15D005"/>
    <w:lvl w:ilvl="0" w:tentative="0">
      <w:start w:val="1"/>
      <w:numFmt w:val="decimal"/>
      <w:suff w:val="nothing"/>
      <w:lvlText w:val="(%1)"/>
      <w:lvlJc w:val="left"/>
      <w:pPr>
        <w:ind w:left="425" w:hanging="425"/>
      </w:pPr>
      <w:rPr>
        <w:rFonts w:hint="default"/>
      </w:rPr>
    </w:lvl>
  </w:abstractNum>
  <w:abstractNum w:abstractNumId="160">
    <w:nsid w:val="4B18A1B3"/>
    <w:multiLevelType w:val="singleLevel"/>
    <w:tmpl w:val="4B18A1B3"/>
    <w:lvl w:ilvl="0" w:tentative="0">
      <w:start w:val="1"/>
      <w:numFmt w:val="decimalEnclosedCircleChinese"/>
      <w:suff w:val="nothing"/>
      <w:lvlText w:val="%1　"/>
      <w:lvlJc w:val="left"/>
      <w:pPr>
        <w:ind w:left="0" w:firstLine="400"/>
      </w:pPr>
      <w:rPr>
        <w:rFonts w:hint="eastAsia"/>
      </w:rPr>
    </w:lvl>
  </w:abstractNum>
  <w:abstractNum w:abstractNumId="161">
    <w:nsid w:val="4B1D1561"/>
    <w:multiLevelType w:val="singleLevel"/>
    <w:tmpl w:val="4B1D1561"/>
    <w:lvl w:ilvl="0" w:tentative="0">
      <w:start w:val="1"/>
      <w:numFmt w:val="decimalEnclosedCircleChinese"/>
      <w:suff w:val="nothing"/>
      <w:lvlText w:val="%1　"/>
      <w:lvlJc w:val="left"/>
      <w:pPr>
        <w:ind w:left="0" w:firstLine="400"/>
      </w:pPr>
      <w:rPr>
        <w:rFonts w:hint="eastAsia"/>
      </w:rPr>
    </w:lvl>
  </w:abstractNum>
  <w:abstractNum w:abstractNumId="162">
    <w:nsid w:val="4E50A51C"/>
    <w:multiLevelType w:val="singleLevel"/>
    <w:tmpl w:val="4E50A51C"/>
    <w:lvl w:ilvl="0" w:tentative="0">
      <w:start w:val="1"/>
      <w:numFmt w:val="decimal"/>
      <w:suff w:val="nothing"/>
      <w:lvlText w:val="(%1)"/>
      <w:lvlJc w:val="left"/>
      <w:pPr>
        <w:ind w:left="425" w:hanging="425"/>
      </w:pPr>
      <w:rPr>
        <w:rFonts w:hint="default"/>
      </w:rPr>
    </w:lvl>
  </w:abstractNum>
  <w:abstractNum w:abstractNumId="163">
    <w:nsid w:val="4F93FE71"/>
    <w:multiLevelType w:val="singleLevel"/>
    <w:tmpl w:val="4F93FE71"/>
    <w:lvl w:ilvl="0" w:tentative="0">
      <w:start w:val="1"/>
      <w:numFmt w:val="decimalEnclosedCircleChinese"/>
      <w:suff w:val="nothing"/>
      <w:lvlText w:val="%1　"/>
      <w:lvlJc w:val="left"/>
      <w:pPr>
        <w:ind w:left="0" w:firstLine="400"/>
      </w:pPr>
      <w:rPr>
        <w:rFonts w:hint="eastAsia"/>
        <w:sz w:val="24"/>
        <w:szCs w:val="24"/>
      </w:rPr>
    </w:lvl>
  </w:abstractNum>
  <w:abstractNum w:abstractNumId="164">
    <w:nsid w:val="5063320C"/>
    <w:multiLevelType w:val="singleLevel"/>
    <w:tmpl w:val="5063320C"/>
    <w:lvl w:ilvl="0" w:tentative="0">
      <w:start w:val="1"/>
      <w:numFmt w:val="decimalEnclosedCircleChinese"/>
      <w:suff w:val="nothing"/>
      <w:lvlText w:val="%1　"/>
      <w:lvlJc w:val="left"/>
      <w:pPr>
        <w:ind w:left="0" w:firstLine="400"/>
      </w:pPr>
      <w:rPr>
        <w:rFonts w:hint="eastAsia"/>
      </w:rPr>
    </w:lvl>
  </w:abstractNum>
  <w:abstractNum w:abstractNumId="165">
    <w:nsid w:val="5199E2D0"/>
    <w:multiLevelType w:val="singleLevel"/>
    <w:tmpl w:val="5199E2D0"/>
    <w:lvl w:ilvl="0" w:tentative="0">
      <w:start w:val="1"/>
      <w:numFmt w:val="decimal"/>
      <w:suff w:val="nothing"/>
      <w:lvlText w:val="(%1)"/>
      <w:lvlJc w:val="left"/>
      <w:pPr>
        <w:ind w:left="425" w:hanging="425"/>
      </w:pPr>
      <w:rPr>
        <w:rFonts w:hint="default"/>
      </w:rPr>
    </w:lvl>
  </w:abstractNum>
  <w:abstractNum w:abstractNumId="166">
    <w:nsid w:val="519AEB36"/>
    <w:multiLevelType w:val="singleLevel"/>
    <w:tmpl w:val="519AEB36"/>
    <w:lvl w:ilvl="0" w:tentative="0">
      <w:start w:val="1"/>
      <w:numFmt w:val="decimal"/>
      <w:suff w:val="nothing"/>
      <w:lvlText w:val="(%1)"/>
      <w:lvlJc w:val="left"/>
      <w:pPr>
        <w:ind w:left="425" w:hanging="425"/>
      </w:pPr>
      <w:rPr>
        <w:rFonts w:hint="default"/>
      </w:rPr>
    </w:lvl>
  </w:abstractNum>
  <w:abstractNum w:abstractNumId="167">
    <w:nsid w:val="51CB49D4"/>
    <w:multiLevelType w:val="singleLevel"/>
    <w:tmpl w:val="51CB49D4"/>
    <w:lvl w:ilvl="0" w:tentative="0">
      <w:start w:val="1"/>
      <w:numFmt w:val="decimal"/>
      <w:suff w:val="nothing"/>
      <w:lvlText w:val="(%1)"/>
      <w:lvlJc w:val="left"/>
      <w:pPr>
        <w:ind w:left="425" w:hanging="425"/>
      </w:pPr>
      <w:rPr>
        <w:rFonts w:hint="default"/>
      </w:rPr>
    </w:lvl>
  </w:abstractNum>
  <w:abstractNum w:abstractNumId="168">
    <w:nsid w:val="5249735A"/>
    <w:multiLevelType w:val="singleLevel"/>
    <w:tmpl w:val="5249735A"/>
    <w:lvl w:ilvl="0" w:tentative="0">
      <w:start w:val="1"/>
      <w:numFmt w:val="decimalEnclosedCircleChinese"/>
      <w:suff w:val="nothing"/>
      <w:lvlText w:val="%1　"/>
      <w:lvlJc w:val="left"/>
      <w:pPr>
        <w:ind w:left="0" w:firstLine="400"/>
      </w:pPr>
      <w:rPr>
        <w:rFonts w:hint="eastAsia"/>
      </w:rPr>
    </w:lvl>
  </w:abstractNum>
  <w:abstractNum w:abstractNumId="169">
    <w:nsid w:val="551D486A"/>
    <w:multiLevelType w:val="singleLevel"/>
    <w:tmpl w:val="551D486A"/>
    <w:lvl w:ilvl="0" w:tentative="0">
      <w:start w:val="1"/>
      <w:numFmt w:val="decimalEnclosedCircleChinese"/>
      <w:suff w:val="nothing"/>
      <w:lvlText w:val="%1　"/>
      <w:lvlJc w:val="left"/>
      <w:pPr>
        <w:ind w:left="0" w:firstLine="400"/>
      </w:pPr>
      <w:rPr>
        <w:rFonts w:hint="eastAsia"/>
        <w:color w:val="auto"/>
      </w:rPr>
    </w:lvl>
  </w:abstractNum>
  <w:abstractNum w:abstractNumId="170">
    <w:nsid w:val="55599457"/>
    <w:multiLevelType w:val="singleLevel"/>
    <w:tmpl w:val="55599457"/>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71">
    <w:nsid w:val="5624FE77"/>
    <w:multiLevelType w:val="singleLevel"/>
    <w:tmpl w:val="5624FE77"/>
    <w:lvl w:ilvl="0" w:tentative="0">
      <w:start w:val="1"/>
      <w:numFmt w:val="decimalEnclosedCircleChinese"/>
      <w:suff w:val="nothing"/>
      <w:lvlText w:val="%1　"/>
      <w:lvlJc w:val="left"/>
      <w:pPr>
        <w:ind w:left="0" w:firstLine="400"/>
      </w:pPr>
      <w:rPr>
        <w:rFonts w:hint="eastAsia"/>
      </w:rPr>
    </w:lvl>
  </w:abstractNum>
  <w:abstractNum w:abstractNumId="172">
    <w:nsid w:val="57FCAE58"/>
    <w:multiLevelType w:val="singleLevel"/>
    <w:tmpl w:val="57FCAE58"/>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73">
    <w:nsid w:val="582F9025"/>
    <w:multiLevelType w:val="singleLevel"/>
    <w:tmpl w:val="582F9025"/>
    <w:lvl w:ilvl="0" w:tentative="0">
      <w:start w:val="1"/>
      <w:numFmt w:val="decimalEnclosedCircleChinese"/>
      <w:suff w:val="nothing"/>
      <w:lvlText w:val="%1　"/>
      <w:lvlJc w:val="left"/>
      <w:pPr>
        <w:ind w:left="0" w:firstLine="400"/>
      </w:pPr>
      <w:rPr>
        <w:rFonts w:hint="eastAsia"/>
        <w:sz w:val="24"/>
        <w:szCs w:val="24"/>
      </w:rPr>
    </w:lvl>
  </w:abstractNum>
  <w:abstractNum w:abstractNumId="174">
    <w:nsid w:val="5B752210"/>
    <w:multiLevelType w:val="singleLevel"/>
    <w:tmpl w:val="5B752210"/>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75">
    <w:nsid w:val="5E138474"/>
    <w:multiLevelType w:val="singleLevel"/>
    <w:tmpl w:val="5E138474"/>
    <w:lvl w:ilvl="0" w:tentative="0">
      <w:start w:val="1"/>
      <w:numFmt w:val="decimal"/>
      <w:suff w:val="nothing"/>
      <w:lvlText w:val="(%1)"/>
      <w:lvlJc w:val="left"/>
      <w:pPr>
        <w:ind w:left="425" w:hanging="425"/>
      </w:pPr>
      <w:rPr>
        <w:rFonts w:hint="default"/>
      </w:rPr>
    </w:lvl>
  </w:abstractNum>
  <w:abstractNum w:abstractNumId="176">
    <w:nsid w:val="5E7C72F7"/>
    <w:multiLevelType w:val="singleLevel"/>
    <w:tmpl w:val="5E7C72F7"/>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77">
    <w:nsid w:val="5FBAB41E"/>
    <w:multiLevelType w:val="singleLevel"/>
    <w:tmpl w:val="5FBAB41E"/>
    <w:lvl w:ilvl="0" w:tentative="0">
      <w:start w:val="1"/>
      <w:numFmt w:val="decimal"/>
      <w:suff w:val="nothing"/>
      <w:lvlText w:val="(%1)"/>
      <w:lvlJc w:val="left"/>
    </w:lvl>
  </w:abstractNum>
  <w:abstractNum w:abstractNumId="178">
    <w:nsid w:val="6165412C"/>
    <w:multiLevelType w:val="singleLevel"/>
    <w:tmpl w:val="6165412C"/>
    <w:lvl w:ilvl="0" w:tentative="0">
      <w:start w:val="1"/>
      <w:numFmt w:val="decimal"/>
      <w:suff w:val="nothing"/>
      <w:lvlText w:val="(%1)"/>
      <w:lvlJc w:val="left"/>
      <w:pPr>
        <w:ind w:left="425" w:hanging="425"/>
      </w:pPr>
      <w:rPr>
        <w:rFonts w:hint="default"/>
      </w:rPr>
    </w:lvl>
  </w:abstractNum>
  <w:abstractNum w:abstractNumId="179">
    <w:nsid w:val="6388B978"/>
    <w:multiLevelType w:val="singleLevel"/>
    <w:tmpl w:val="6388B978"/>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80">
    <w:nsid w:val="63A474BC"/>
    <w:multiLevelType w:val="singleLevel"/>
    <w:tmpl w:val="63A474BC"/>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81">
    <w:nsid w:val="6490CBBD"/>
    <w:multiLevelType w:val="singleLevel"/>
    <w:tmpl w:val="6490CBBD"/>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82">
    <w:nsid w:val="66E08951"/>
    <w:multiLevelType w:val="singleLevel"/>
    <w:tmpl w:val="66E08951"/>
    <w:lvl w:ilvl="0" w:tentative="0">
      <w:start w:val="1"/>
      <w:numFmt w:val="decimalEnclosedCircleChinese"/>
      <w:suff w:val="nothing"/>
      <w:lvlText w:val="%1　"/>
      <w:lvlJc w:val="left"/>
      <w:pPr>
        <w:ind w:left="0" w:firstLine="400"/>
      </w:pPr>
      <w:rPr>
        <w:rFonts w:hint="eastAsia"/>
      </w:rPr>
    </w:lvl>
  </w:abstractNum>
  <w:abstractNum w:abstractNumId="183">
    <w:nsid w:val="68C0BE45"/>
    <w:multiLevelType w:val="singleLevel"/>
    <w:tmpl w:val="68C0BE45"/>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84">
    <w:nsid w:val="68C99E32"/>
    <w:multiLevelType w:val="singleLevel"/>
    <w:tmpl w:val="68C99E32"/>
    <w:lvl w:ilvl="0" w:tentative="0">
      <w:start w:val="1"/>
      <w:numFmt w:val="decimal"/>
      <w:lvlText w:val="(%1)"/>
      <w:lvlJc w:val="left"/>
      <w:pPr>
        <w:ind w:left="425" w:hanging="425"/>
      </w:pPr>
      <w:rPr>
        <w:rFonts w:hint="default"/>
      </w:rPr>
    </w:lvl>
  </w:abstractNum>
  <w:abstractNum w:abstractNumId="185">
    <w:nsid w:val="699454AF"/>
    <w:multiLevelType w:val="singleLevel"/>
    <w:tmpl w:val="699454AF"/>
    <w:lvl w:ilvl="0" w:tentative="0">
      <w:start w:val="1"/>
      <w:numFmt w:val="decimal"/>
      <w:suff w:val="nothing"/>
      <w:lvlText w:val="(%1)"/>
      <w:lvlJc w:val="left"/>
      <w:pPr>
        <w:ind w:left="425" w:hanging="425"/>
      </w:pPr>
      <w:rPr>
        <w:rFonts w:hint="default"/>
      </w:rPr>
    </w:lvl>
  </w:abstractNum>
  <w:abstractNum w:abstractNumId="186">
    <w:nsid w:val="6BA925CF"/>
    <w:multiLevelType w:val="singleLevel"/>
    <w:tmpl w:val="6BA925CF"/>
    <w:lvl w:ilvl="0" w:tentative="0">
      <w:start w:val="1"/>
      <w:numFmt w:val="decimal"/>
      <w:suff w:val="nothing"/>
      <w:lvlText w:val="(%1)"/>
      <w:lvlJc w:val="left"/>
    </w:lvl>
  </w:abstractNum>
  <w:abstractNum w:abstractNumId="187">
    <w:nsid w:val="6DC1FB45"/>
    <w:multiLevelType w:val="singleLevel"/>
    <w:tmpl w:val="6DC1FB45"/>
    <w:lvl w:ilvl="0" w:tentative="0">
      <w:start w:val="1"/>
      <w:numFmt w:val="decimalEnclosedCircleChinese"/>
      <w:suff w:val="nothing"/>
      <w:lvlText w:val="%1　"/>
      <w:lvlJc w:val="left"/>
      <w:pPr>
        <w:ind w:left="0" w:firstLine="400"/>
      </w:pPr>
      <w:rPr>
        <w:rFonts w:hint="eastAsia"/>
      </w:rPr>
    </w:lvl>
  </w:abstractNum>
  <w:abstractNum w:abstractNumId="188">
    <w:nsid w:val="71949D71"/>
    <w:multiLevelType w:val="singleLevel"/>
    <w:tmpl w:val="71949D71"/>
    <w:lvl w:ilvl="0" w:tentative="0">
      <w:start w:val="1"/>
      <w:numFmt w:val="decimalEnclosedCircleChinese"/>
      <w:suff w:val="nothing"/>
      <w:lvlText w:val="%1　"/>
      <w:lvlJc w:val="left"/>
      <w:pPr>
        <w:ind w:left="0" w:firstLine="400"/>
      </w:pPr>
      <w:rPr>
        <w:rFonts w:hint="eastAsia"/>
      </w:rPr>
    </w:lvl>
  </w:abstractNum>
  <w:abstractNum w:abstractNumId="189">
    <w:nsid w:val="71B4912E"/>
    <w:multiLevelType w:val="singleLevel"/>
    <w:tmpl w:val="71B4912E"/>
    <w:lvl w:ilvl="0" w:tentative="0">
      <w:start w:val="1"/>
      <w:numFmt w:val="decimalEnclosedCircleChinese"/>
      <w:suff w:val="nothing"/>
      <w:lvlText w:val="%1　"/>
      <w:lvlJc w:val="left"/>
      <w:pPr>
        <w:ind w:left="0" w:firstLine="400"/>
      </w:pPr>
      <w:rPr>
        <w:rFonts w:hint="eastAsia"/>
      </w:rPr>
    </w:lvl>
  </w:abstractNum>
  <w:abstractNum w:abstractNumId="190">
    <w:nsid w:val="7370D2CC"/>
    <w:multiLevelType w:val="singleLevel"/>
    <w:tmpl w:val="7370D2CC"/>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91">
    <w:nsid w:val="7557CF1E"/>
    <w:multiLevelType w:val="singleLevel"/>
    <w:tmpl w:val="7557CF1E"/>
    <w:lvl w:ilvl="0" w:tentative="0">
      <w:start w:val="2"/>
      <w:numFmt w:val="decimal"/>
      <w:suff w:val="nothing"/>
      <w:lvlText w:val="%1、"/>
      <w:lvlJc w:val="left"/>
    </w:lvl>
  </w:abstractNum>
  <w:abstractNum w:abstractNumId="192">
    <w:nsid w:val="77AFB9D5"/>
    <w:multiLevelType w:val="singleLevel"/>
    <w:tmpl w:val="77AFB9D5"/>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93">
    <w:nsid w:val="7850B165"/>
    <w:multiLevelType w:val="singleLevel"/>
    <w:tmpl w:val="7850B165"/>
    <w:lvl w:ilvl="0" w:tentative="0">
      <w:start w:val="1"/>
      <w:numFmt w:val="decimalEnclosedCircleChinese"/>
      <w:suff w:val="nothing"/>
      <w:lvlText w:val="%1　"/>
      <w:lvlJc w:val="left"/>
      <w:pPr>
        <w:ind w:left="0" w:firstLine="400"/>
      </w:pPr>
      <w:rPr>
        <w:rFonts w:hint="eastAsia"/>
      </w:rPr>
    </w:lvl>
  </w:abstractNum>
  <w:abstractNum w:abstractNumId="194">
    <w:nsid w:val="796C3D86"/>
    <w:multiLevelType w:val="singleLevel"/>
    <w:tmpl w:val="796C3D86"/>
    <w:lvl w:ilvl="0" w:tentative="0">
      <w:start w:val="1"/>
      <w:numFmt w:val="decimal"/>
      <w:suff w:val="nothing"/>
      <w:lvlText w:val="%1."/>
      <w:lvlJc w:val="left"/>
      <w:pPr>
        <w:ind w:left="425" w:hanging="425"/>
      </w:pPr>
      <w:rPr>
        <w:rFonts w:hint="default"/>
        <w:color w:val="auto"/>
      </w:rPr>
    </w:lvl>
  </w:abstractNum>
  <w:abstractNum w:abstractNumId="195">
    <w:nsid w:val="7AC0CB5D"/>
    <w:multiLevelType w:val="singleLevel"/>
    <w:tmpl w:val="7AC0CB5D"/>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96">
    <w:nsid w:val="7B34CCCD"/>
    <w:multiLevelType w:val="singleLevel"/>
    <w:tmpl w:val="7B34CCCD"/>
    <w:lvl w:ilvl="0" w:tentative="0">
      <w:start w:val="1"/>
      <w:numFmt w:val="decimalEnclosedCircleChinese"/>
      <w:suff w:val="nothing"/>
      <w:lvlText w:val="%1　"/>
      <w:lvlJc w:val="left"/>
      <w:pPr>
        <w:ind w:left="0" w:firstLine="400"/>
      </w:pPr>
      <w:rPr>
        <w:rFonts w:hint="eastAsia"/>
        <w:sz w:val="24"/>
        <w:szCs w:val="24"/>
      </w:rPr>
    </w:lvl>
  </w:abstractNum>
  <w:abstractNum w:abstractNumId="197">
    <w:nsid w:val="7C0E9194"/>
    <w:multiLevelType w:val="singleLevel"/>
    <w:tmpl w:val="7C0E9194"/>
    <w:lvl w:ilvl="0" w:tentative="0">
      <w:start w:val="1"/>
      <w:numFmt w:val="decimal"/>
      <w:suff w:val="nothing"/>
      <w:lvlText w:val="(%1)"/>
      <w:lvlJc w:val="left"/>
      <w:pPr>
        <w:ind w:left="425" w:hanging="425"/>
      </w:pPr>
      <w:rPr>
        <w:rFonts w:hint="default"/>
      </w:rPr>
    </w:lvl>
  </w:abstractNum>
  <w:abstractNum w:abstractNumId="198">
    <w:nsid w:val="7EC86631"/>
    <w:multiLevelType w:val="singleLevel"/>
    <w:tmpl w:val="7EC86631"/>
    <w:lvl w:ilvl="0" w:tentative="0">
      <w:start w:val="1"/>
      <w:numFmt w:val="decimalEnclosedCircleChinese"/>
      <w:suff w:val="nothing"/>
      <w:lvlText w:val="%1　"/>
      <w:lvlJc w:val="left"/>
      <w:pPr>
        <w:ind w:left="0" w:firstLine="400"/>
      </w:pPr>
      <w:rPr>
        <w:rFonts w:hint="eastAsia"/>
      </w:rPr>
    </w:lvl>
  </w:abstractNum>
  <w:abstractNum w:abstractNumId="199">
    <w:nsid w:val="7F95A642"/>
    <w:multiLevelType w:val="singleLevel"/>
    <w:tmpl w:val="7F95A642"/>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num w:numId="1">
    <w:abstractNumId w:val="95"/>
  </w:num>
  <w:num w:numId="2">
    <w:abstractNumId w:val="88"/>
  </w:num>
  <w:num w:numId="3">
    <w:abstractNumId w:val="94"/>
  </w:num>
  <w:num w:numId="4">
    <w:abstractNumId w:val="91"/>
  </w:num>
  <w:num w:numId="5">
    <w:abstractNumId w:val="89"/>
  </w:num>
  <w:num w:numId="6">
    <w:abstractNumId w:val="85"/>
  </w:num>
  <w:num w:numId="7">
    <w:abstractNumId w:val="84"/>
  </w:num>
  <w:num w:numId="8">
    <w:abstractNumId w:val="92"/>
  </w:num>
  <w:num w:numId="9">
    <w:abstractNumId w:val="87"/>
  </w:num>
  <w:num w:numId="10">
    <w:abstractNumId w:val="90"/>
  </w:num>
  <w:num w:numId="11">
    <w:abstractNumId w:val="86"/>
  </w:num>
  <w:num w:numId="12">
    <w:abstractNumId w:val="93"/>
  </w:num>
  <w:num w:numId="13">
    <w:abstractNumId w:val="57"/>
  </w:num>
  <w:num w:numId="14">
    <w:abstractNumId w:val="178"/>
  </w:num>
  <w:num w:numId="15">
    <w:abstractNumId w:val="34"/>
  </w:num>
  <w:num w:numId="16">
    <w:abstractNumId w:val="124"/>
  </w:num>
  <w:num w:numId="17">
    <w:abstractNumId w:val="68"/>
  </w:num>
  <w:num w:numId="18">
    <w:abstractNumId w:val="139"/>
  </w:num>
  <w:num w:numId="19">
    <w:abstractNumId w:val="126"/>
  </w:num>
  <w:num w:numId="20">
    <w:abstractNumId w:val="168"/>
  </w:num>
  <w:num w:numId="21">
    <w:abstractNumId w:val="129"/>
  </w:num>
  <w:num w:numId="22">
    <w:abstractNumId w:val="144"/>
  </w:num>
  <w:num w:numId="23">
    <w:abstractNumId w:val="11"/>
  </w:num>
  <w:num w:numId="24">
    <w:abstractNumId w:val="52"/>
  </w:num>
  <w:num w:numId="25">
    <w:abstractNumId w:val="173"/>
  </w:num>
  <w:num w:numId="26">
    <w:abstractNumId w:val="28"/>
  </w:num>
  <w:num w:numId="27">
    <w:abstractNumId w:val="122"/>
  </w:num>
  <w:num w:numId="28">
    <w:abstractNumId w:val="194"/>
  </w:num>
  <w:num w:numId="29">
    <w:abstractNumId w:val="0"/>
  </w:num>
  <w:num w:numId="30">
    <w:abstractNumId w:val="83"/>
  </w:num>
  <w:num w:numId="31">
    <w:abstractNumId w:val="155"/>
  </w:num>
  <w:num w:numId="32">
    <w:abstractNumId w:val="70"/>
  </w:num>
  <w:num w:numId="33">
    <w:abstractNumId w:val="159"/>
  </w:num>
  <w:num w:numId="34">
    <w:abstractNumId w:val="76"/>
  </w:num>
  <w:num w:numId="35">
    <w:abstractNumId w:val="188"/>
  </w:num>
  <w:num w:numId="36">
    <w:abstractNumId w:val="135"/>
  </w:num>
  <w:num w:numId="37">
    <w:abstractNumId w:val="131"/>
  </w:num>
  <w:num w:numId="38">
    <w:abstractNumId w:val="165"/>
  </w:num>
  <w:num w:numId="39">
    <w:abstractNumId w:val="162"/>
  </w:num>
  <w:num w:numId="40">
    <w:abstractNumId w:val="112"/>
  </w:num>
  <w:num w:numId="41">
    <w:abstractNumId w:val="117"/>
  </w:num>
  <w:num w:numId="42">
    <w:abstractNumId w:val="36"/>
  </w:num>
  <w:num w:numId="43">
    <w:abstractNumId w:val="25"/>
  </w:num>
  <w:num w:numId="44">
    <w:abstractNumId w:val="7"/>
  </w:num>
  <w:num w:numId="45">
    <w:abstractNumId w:val="102"/>
  </w:num>
  <w:num w:numId="46">
    <w:abstractNumId w:val="157"/>
  </w:num>
  <w:num w:numId="47">
    <w:abstractNumId w:val="197"/>
  </w:num>
  <w:num w:numId="48">
    <w:abstractNumId w:val="101"/>
  </w:num>
  <w:num w:numId="49">
    <w:abstractNumId w:val="143"/>
  </w:num>
  <w:num w:numId="50">
    <w:abstractNumId w:val="176"/>
  </w:num>
  <w:num w:numId="51">
    <w:abstractNumId w:val="153"/>
  </w:num>
  <w:num w:numId="52">
    <w:abstractNumId w:val="30"/>
  </w:num>
  <w:num w:numId="53">
    <w:abstractNumId w:val="128"/>
  </w:num>
  <w:num w:numId="54">
    <w:abstractNumId w:val="41"/>
  </w:num>
  <w:num w:numId="55">
    <w:abstractNumId w:val="196"/>
  </w:num>
  <w:num w:numId="56">
    <w:abstractNumId w:val="24"/>
  </w:num>
  <w:num w:numId="57">
    <w:abstractNumId w:val="54"/>
  </w:num>
  <w:num w:numId="58">
    <w:abstractNumId w:val="125"/>
  </w:num>
  <w:num w:numId="59">
    <w:abstractNumId w:val="130"/>
  </w:num>
  <w:num w:numId="60">
    <w:abstractNumId w:val="50"/>
  </w:num>
  <w:num w:numId="61">
    <w:abstractNumId w:val="119"/>
  </w:num>
  <w:num w:numId="62">
    <w:abstractNumId w:val="65"/>
  </w:num>
  <w:num w:numId="63">
    <w:abstractNumId w:val="132"/>
  </w:num>
  <w:num w:numId="64">
    <w:abstractNumId w:val="105"/>
  </w:num>
  <w:num w:numId="65">
    <w:abstractNumId w:val="72"/>
  </w:num>
  <w:num w:numId="66">
    <w:abstractNumId w:val="163"/>
  </w:num>
  <w:num w:numId="67">
    <w:abstractNumId w:val="21"/>
  </w:num>
  <w:num w:numId="68">
    <w:abstractNumId w:val="33"/>
  </w:num>
  <w:num w:numId="69">
    <w:abstractNumId w:val="127"/>
  </w:num>
  <w:num w:numId="70">
    <w:abstractNumId w:val="100"/>
  </w:num>
  <w:num w:numId="71">
    <w:abstractNumId w:val="43"/>
  </w:num>
  <w:num w:numId="72">
    <w:abstractNumId w:val="179"/>
  </w:num>
  <w:num w:numId="73">
    <w:abstractNumId w:val="20"/>
  </w:num>
  <w:num w:numId="74">
    <w:abstractNumId w:val="27"/>
  </w:num>
  <w:num w:numId="75">
    <w:abstractNumId w:val="175"/>
  </w:num>
  <w:num w:numId="76">
    <w:abstractNumId w:val="2"/>
  </w:num>
  <w:num w:numId="77">
    <w:abstractNumId w:val="109"/>
  </w:num>
  <w:num w:numId="78">
    <w:abstractNumId w:val="26"/>
  </w:num>
  <w:num w:numId="79">
    <w:abstractNumId w:val="51"/>
  </w:num>
  <w:num w:numId="80">
    <w:abstractNumId w:val="150"/>
  </w:num>
  <w:num w:numId="81">
    <w:abstractNumId w:val="60"/>
  </w:num>
  <w:num w:numId="82">
    <w:abstractNumId w:val="185"/>
  </w:num>
  <w:num w:numId="83">
    <w:abstractNumId w:val="193"/>
  </w:num>
  <w:num w:numId="84">
    <w:abstractNumId w:val="53"/>
  </w:num>
  <w:num w:numId="85">
    <w:abstractNumId w:val="3"/>
  </w:num>
  <w:num w:numId="86">
    <w:abstractNumId w:val="77"/>
  </w:num>
  <w:num w:numId="87">
    <w:abstractNumId w:val="166"/>
  </w:num>
  <w:num w:numId="88">
    <w:abstractNumId w:val="46"/>
  </w:num>
  <w:num w:numId="89">
    <w:abstractNumId w:val="6"/>
  </w:num>
  <w:num w:numId="90">
    <w:abstractNumId w:val="189"/>
  </w:num>
  <w:num w:numId="91">
    <w:abstractNumId w:val="32"/>
  </w:num>
  <w:num w:numId="92">
    <w:abstractNumId w:val="137"/>
  </w:num>
  <w:num w:numId="93">
    <w:abstractNumId w:val="4"/>
  </w:num>
  <w:num w:numId="94">
    <w:abstractNumId w:val="80"/>
  </w:num>
  <w:num w:numId="95">
    <w:abstractNumId w:val="164"/>
  </w:num>
  <w:num w:numId="96">
    <w:abstractNumId w:val="37"/>
  </w:num>
  <w:num w:numId="97">
    <w:abstractNumId w:val="169"/>
  </w:num>
  <w:num w:numId="98">
    <w:abstractNumId w:val="183"/>
  </w:num>
  <w:num w:numId="99">
    <w:abstractNumId w:val="97"/>
  </w:num>
  <w:num w:numId="100">
    <w:abstractNumId w:val="55"/>
  </w:num>
  <w:num w:numId="101">
    <w:abstractNumId w:val="134"/>
  </w:num>
  <w:num w:numId="102">
    <w:abstractNumId w:val="67"/>
  </w:num>
  <w:num w:numId="103">
    <w:abstractNumId w:val="161"/>
  </w:num>
  <w:num w:numId="104">
    <w:abstractNumId w:val="141"/>
  </w:num>
  <w:num w:numId="105">
    <w:abstractNumId w:val="177"/>
  </w:num>
  <w:num w:numId="106">
    <w:abstractNumId w:val="22"/>
  </w:num>
  <w:num w:numId="107">
    <w:abstractNumId w:val="171"/>
  </w:num>
  <w:num w:numId="108">
    <w:abstractNumId w:val="56"/>
  </w:num>
  <w:num w:numId="109">
    <w:abstractNumId w:val="160"/>
  </w:num>
  <w:num w:numId="110">
    <w:abstractNumId w:val="195"/>
  </w:num>
  <w:num w:numId="111">
    <w:abstractNumId w:val="73"/>
  </w:num>
  <w:num w:numId="112">
    <w:abstractNumId w:val="29"/>
  </w:num>
  <w:num w:numId="113">
    <w:abstractNumId w:val="147"/>
  </w:num>
  <w:num w:numId="114">
    <w:abstractNumId w:val="19"/>
  </w:num>
  <w:num w:numId="115">
    <w:abstractNumId w:val="186"/>
  </w:num>
  <w:num w:numId="116">
    <w:abstractNumId w:val="35"/>
  </w:num>
  <w:num w:numId="117">
    <w:abstractNumId w:val="123"/>
  </w:num>
  <w:num w:numId="118">
    <w:abstractNumId w:val="118"/>
  </w:num>
  <w:num w:numId="119">
    <w:abstractNumId w:val="39"/>
  </w:num>
  <w:num w:numId="120">
    <w:abstractNumId w:val="103"/>
  </w:num>
  <w:num w:numId="121">
    <w:abstractNumId w:val="184"/>
  </w:num>
  <w:num w:numId="122">
    <w:abstractNumId w:val="142"/>
  </w:num>
  <w:num w:numId="123">
    <w:abstractNumId w:val="82"/>
  </w:num>
  <w:num w:numId="124">
    <w:abstractNumId w:val="61"/>
  </w:num>
  <w:num w:numId="125">
    <w:abstractNumId w:val="14"/>
  </w:num>
  <w:num w:numId="126">
    <w:abstractNumId w:val="79"/>
  </w:num>
  <w:num w:numId="127">
    <w:abstractNumId w:val="96"/>
  </w:num>
  <w:num w:numId="128">
    <w:abstractNumId w:val="15"/>
  </w:num>
  <w:num w:numId="129">
    <w:abstractNumId w:val="148"/>
  </w:num>
  <w:num w:numId="130">
    <w:abstractNumId w:val="17"/>
  </w:num>
  <w:num w:numId="131">
    <w:abstractNumId w:val="138"/>
  </w:num>
  <w:num w:numId="132">
    <w:abstractNumId w:val="149"/>
  </w:num>
  <w:num w:numId="133">
    <w:abstractNumId w:val="69"/>
  </w:num>
  <w:num w:numId="134">
    <w:abstractNumId w:val="187"/>
  </w:num>
  <w:num w:numId="135">
    <w:abstractNumId w:val="9"/>
  </w:num>
  <w:num w:numId="136">
    <w:abstractNumId w:val="42"/>
  </w:num>
  <w:num w:numId="137">
    <w:abstractNumId w:val="71"/>
  </w:num>
  <w:num w:numId="138">
    <w:abstractNumId w:val="174"/>
  </w:num>
  <w:num w:numId="139">
    <w:abstractNumId w:val="13"/>
  </w:num>
  <w:num w:numId="140">
    <w:abstractNumId w:val="16"/>
  </w:num>
  <w:num w:numId="141">
    <w:abstractNumId w:val="182"/>
  </w:num>
  <w:num w:numId="142">
    <w:abstractNumId w:val="106"/>
  </w:num>
  <w:num w:numId="143">
    <w:abstractNumId w:val="114"/>
  </w:num>
  <w:num w:numId="144">
    <w:abstractNumId w:val="12"/>
  </w:num>
  <w:num w:numId="145">
    <w:abstractNumId w:val="115"/>
  </w:num>
  <w:num w:numId="146">
    <w:abstractNumId w:val="170"/>
  </w:num>
  <w:num w:numId="147">
    <w:abstractNumId w:val="62"/>
  </w:num>
  <w:num w:numId="148">
    <w:abstractNumId w:val="180"/>
  </w:num>
  <w:num w:numId="149">
    <w:abstractNumId w:val="1"/>
  </w:num>
  <w:num w:numId="150">
    <w:abstractNumId w:val="10"/>
  </w:num>
  <w:num w:numId="151">
    <w:abstractNumId w:val="5"/>
  </w:num>
  <w:num w:numId="152">
    <w:abstractNumId w:val="18"/>
  </w:num>
  <w:num w:numId="153">
    <w:abstractNumId w:val="107"/>
  </w:num>
  <w:num w:numId="154">
    <w:abstractNumId w:val="158"/>
  </w:num>
  <w:num w:numId="155">
    <w:abstractNumId w:val="66"/>
  </w:num>
  <w:num w:numId="156">
    <w:abstractNumId w:val="133"/>
  </w:num>
  <w:num w:numId="157">
    <w:abstractNumId w:val="198"/>
  </w:num>
  <w:num w:numId="158">
    <w:abstractNumId w:val="23"/>
  </w:num>
  <w:num w:numId="159">
    <w:abstractNumId w:val="44"/>
  </w:num>
  <w:num w:numId="160">
    <w:abstractNumId w:val="145"/>
  </w:num>
  <w:num w:numId="161">
    <w:abstractNumId w:val="38"/>
  </w:num>
  <w:num w:numId="162">
    <w:abstractNumId w:val="136"/>
  </w:num>
  <w:num w:numId="163">
    <w:abstractNumId w:val="181"/>
  </w:num>
  <w:num w:numId="164">
    <w:abstractNumId w:val="121"/>
  </w:num>
  <w:num w:numId="165">
    <w:abstractNumId w:val="48"/>
  </w:num>
  <w:num w:numId="166">
    <w:abstractNumId w:val="152"/>
  </w:num>
  <w:num w:numId="167">
    <w:abstractNumId w:val="8"/>
  </w:num>
  <w:num w:numId="168">
    <w:abstractNumId w:val="154"/>
  </w:num>
  <w:num w:numId="169">
    <w:abstractNumId w:val="78"/>
  </w:num>
  <w:num w:numId="170">
    <w:abstractNumId w:val="111"/>
  </w:num>
  <w:num w:numId="171">
    <w:abstractNumId w:val="74"/>
  </w:num>
  <w:num w:numId="172">
    <w:abstractNumId w:val="113"/>
  </w:num>
  <w:num w:numId="173">
    <w:abstractNumId w:val="120"/>
  </w:num>
  <w:num w:numId="174">
    <w:abstractNumId w:val="81"/>
  </w:num>
  <w:num w:numId="175">
    <w:abstractNumId w:val="167"/>
  </w:num>
  <w:num w:numId="176">
    <w:abstractNumId w:val="31"/>
  </w:num>
  <w:num w:numId="177">
    <w:abstractNumId w:val="98"/>
  </w:num>
  <w:num w:numId="178">
    <w:abstractNumId w:val="172"/>
  </w:num>
  <w:num w:numId="179">
    <w:abstractNumId w:val="110"/>
  </w:num>
  <w:num w:numId="180">
    <w:abstractNumId w:val="45"/>
  </w:num>
  <w:num w:numId="181">
    <w:abstractNumId w:val="156"/>
  </w:num>
  <w:num w:numId="182">
    <w:abstractNumId w:val="146"/>
  </w:num>
  <w:num w:numId="183">
    <w:abstractNumId w:val="49"/>
  </w:num>
  <w:num w:numId="184">
    <w:abstractNumId w:val="192"/>
  </w:num>
  <w:num w:numId="185">
    <w:abstractNumId w:val="75"/>
  </w:num>
  <w:num w:numId="186">
    <w:abstractNumId w:val="140"/>
  </w:num>
  <w:num w:numId="187">
    <w:abstractNumId w:val="58"/>
  </w:num>
  <w:num w:numId="188">
    <w:abstractNumId w:val="63"/>
  </w:num>
  <w:num w:numId="189">
    <w:abstractNumId w:val="47"/>
  </w:num>
  <w:num w:numId="190">
    <w:abstractNumId w:val="190"/>
  </w:num>
  <w:num w:numId="191">
    <w:abstractNumId w:val="99"/>
  </w:num>
  <w:num w:numId="192">
    <w:abstractNumId w:val="59"/>
  </w:num>
  <w:num w:numId="193">
    <w:abstractNumId w:val="104"/>
  </w:num>
  <w:num w:numId="194">
    <w:abstractNumId w:val="108"/>
  </w:num>
  <w:num w:numId="195">
    <w:abstractNumId w:val="199"/>
  </w:num>
  <w:num w:numId="196">
    <w:abstractNumId w:val="116"/>
  </w:num>
  <w:num w:numId="197">
    <w:abstractNumId w:val="64"/>
  </w:num>
  <w:num w:numId="198">
    <w:abstractNumId w:val="191"/>
  </w:num>
  <w:num w:numId="199">
    <w:abstractNumId w:val="151"/>
  </w:num>
  <w:num w:numId="2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NmM0YjY3MWJjODlhOWZlZDQzNjRjZGE4MzQ1OTEifQ=="/>
    <w:docVar w:name="KSO_WPS_MARK_KEY" w:val="dce41869-66cd-427d-93cc-667253d7ee48"/>
  </w:docVars>
  <w:rsids>
    <w:rsidRoot w:val="00172A27"/>
    <w:rsid w:val="000017A9"/>
    <w:rsid w:val="00001CED"/>
    <w:rsid w:val="000021CC"/>
    <w:rsid w:val="00003179"/>
    <w:rsid w:val="00003D1A"/>
    <w:rsid w:val="00007068"/>
    <w:rsid w:val="000072F9"/>
    <w:rsid w:val="0000774F"/>
    <w:rsid w:val="000138A3"/>
    <w:rsid w:val="000258A4"/>
    <w:rsid w:val="00031A22"/>
    <w:rsid w:val="000335F1"/>
    <w:rsid w:val="00040999"/>
    <w:rsid w:val="0004344C"/>
    <w:rsid w:val="0005348A"/>
    <w:rsid w:val="000544E7"/>
    <w:rsid w:val="00057349"/>
    <w:rsid w:val="00060509"/>
    <w:rsid w:val="00063B9D"/>
    <w:rsid w:val="000704B9"/>
    <w:rsid w:val="00071562"/>
    <w:rsid w:val="000724B9"/>
    <w:rsid w:val="00072D64"/>
    <w:rsid w:val="00076627"/>
    <w:rsid w:val="00077DE1"/>
    <w:rsid w:val="00090283"/>
    <w:rsid w:val="00094F2D"/>
    <w:rsid w:val="000A1BF2"/>
    <w:rsid w:val="000A515F"/>
    <w:rsid w:val="000B2956"/>
    <w:rsid w:val="000C0ED2"/>
    <w:rsid w:val="000C116D"/>
    <w:rsid w:val="000C6680"/>
    <w:rsid w:val="000C68DA"/>
    <w:rsid w:val="000C776C"/>
    <w:rsid w:val="000E01DC"/>
    <w:rsid w:val="000E1597"/>
    <w:rsid w:val="000E2D71"/>
    <w:rsid w:val="000E3C2A"/>
    <w:rsid w:val="000E4D8D"/>
    <w:rsid w:val="000F3AA2"/>
    <w:rsid w:val="000F74C3"/>
    <w:rsid w:val="0010396D"/>
    <w:rsid w:val="00105259"/>
    <w:rsid w:val="00115FB6"/>
    <w:rsid w:val="0011795F"/>
    <w:rsid w:val="00126790"/>
    <w:rsid w:val="0013063A"/>
    <w:rsid w:val="0013177C"/>
    <w:rsid w:val="001318A7"/>
    <w:rsid w:val="00135B83"/>
    <w:rsid w:val="00137A57"/>
    <w:rsid w:val="00142AD5"/>
    <w:rsid w:val="0014378A"/>
    <w:rsid w:val="00145E3E"/>
    <w:rsid w:val="001476A8"/>
    <w:rsid w:val="00157A39"/>
    <w:rsid w:val="00161A76"/>
    <w:rsid w:val="00162D58"/>
    <w:rsid w:val="00166D95"/>
    <w:rsid w:val="001700E3"/>
    <w:rsid w:val="001719CA"/>
    <w:rsid w:val="00172A27"/>
    <w:rsid w:val="0018223A"/>
    <w:rsid w:val="001843B6"/>
    <w:rsid w:val="001901AE"/>
    <w:rsid w:val="00196AD1"/>
    <w:rsid w:val="001A11A4"/>
    <w:rsid w:val="001A5C46"/>
    <w:rsid w:val="001A7373"/>
    <w:rsid w:val="001B2DBF"/>
    <w:rsid w:val="001B3FAB"/>
    <w:rsid w:val="001B7F8A"/>
    <w:rsid w:val="001C1185"/>
    <w:rsid w:val="001C1B11"/>
    <w:rsid w:val="001C3095"/>
    <w:rsid w:val="001D01C2"/>
    <w:rsid w:val="001D45C1"/>
    <w:rsid w:val="001D736D"/>
    <w:rsid w:val="001E0124"/>
    <w:rsid w:val="001E3C37"/>
    <w:rsid w:val="001E5318"/>
    <w:rsid w:val="001F01AE"/>
    <w:rsid w:val="001F1E07"/>
    <w:rsid w:val="001F23DE"/>
    <w:rsid w:val="001F428B"/>
    <w:rsid w:val="001F5877"/>
    <w:rsid w:val="001F5E7F"/>
    <w:rsid w:val="00207A8B"/>
    <w:rsid w:val="00207CB7"/>
    <w:rsid w:val="0021130C"/>
    <w:rsid w:val="00211869"/>
    <w:rsid w:val="0022267A"/>
    <w:rsid w:val="00224971"/>
    <w:rsid w:val="00226C71"/>
    <w:rsid w:val="00231328"/>
    <w:rsid w:val="00232A6E"/>
    <w:rsid w:val="002337FE"/>
    <w:rsid w:val="0023625A"/>
    <w:rsid w:val="002401C4"/>
    <w:rsid w:val="002417F8"/>
    <w:rsid w:val="00241EC3"/>
    <w:rsid w:val="00242B73"/>
    <w:rsid w:val="002475B1"/>
    <w:rsid w:val="002621D9"/>
    <w:rsid w:val="00270895"/>
    <w:rsid w:val="00272AA1"/>
    <w:rsid w:val="00273DB8"/>
    <w:rsid w:val="00274F2E"/>
    <w:rsid w:val="00276325"/>
    <w:rsid w:val="00277669"/>
    <w:rsid w:val="00287243"/>
    <w:rsid w:val="0029104E"/>
    <w:rsid w:val="002A4EC8"/>
    <w:rsid w:val="002A5C10"/>
    <w:rsid w:val="002B1930"/>
    <w:rsid w:val="002B42A7"/>
    <w:rsid w:val="002C095C"/>
    <w:rsid w:val="002C1271"/>
    <w:rsid w:val="002C2B12"/>
    <w:rsid w:val="002C48E4"/>
    <w:rsid w:val="002C4D37"/>
    <w:rsid w:val="002C67FE"/>
    <w:rsid w:val="002D3AF4"/>
    <w:rsid w:val="002D7692"/>
    <w:rsid w:val="002E7200"/>
    <w:rsid w:val="002E79D5"/>
    <w:rsid w:val="002F170B"/>
    <w:rsid w:val="002F4F18"/>
    <w:rsid w:val="002F7E17"/>
    <w:rsid w:val="003007D4"/>
    <w:rsid w:val="00301362"/>
    <w:rsid w:val="00303AD2"/>
    <w:rsid w:val="00304BB7"/>
    <w:rsid w:val="00305424"/>
    <w:rsid w:val="0031487A"/>
    <w:rsid w:val="00314DC7"/>
    <w:rsid w:val="00314E79"/>
    <w:rsid w:val="00321094"/>
    <w:rsid w:val="003249C9"/>
    <w:rsid w:val="003262B7"/>
    <w:rsid w:val="00326B14"/>
    <w:rsid w:val="003319CB"/>
    <w:rsid w:val="00334531"/>
    <w:rsid w:val="00336F62"/>
    <w:rsid w:val="00341964"/>
    <w:rsid w:val="00341F23"/>
    <w:rsid w:val="003425C9"/>
    <w:rsid w:val="00345278"/>
    <w:rsid w:val="003467D4"/>
    <w:rsid w:val="003475B5"/>
    <w:rsid w:val="00367377"/>
    <w:rsid w:val="00367CE2"/>
    <w:rsid w:val="003732A0"/>
    <w:rsid w:val="00380E83"/>
    <w:rsid w:val="00383059"/>
    <w:rsid w:val="00385AD1"/>
    <w:rsid w:val="00385B5B"/>
    <w:rsid w:val="003861FF"/>
    <w:rsid w:val="00386335"/>
    <w:rsid w:val="00387386"/>
    <w:rsid w:val="00392B3C"/>
    <w:rsid w:val="003B1695"/>
    <w:rsid w:val="003B487A"/>
    <w:rsid w:val="003B6385"/>
    <w:rsid w:val="003B7EF3"/>
    <w:rsid w:val="003C06CE"/>
    <w:rsid w:val="003C1FCE"/>
    <w:rsid w:val="003D75EF"/>
    <w:rsid w:val="003E1EB6"/>
    <w:rsid w:val="003E7197"/>
    <w:rsid w:val="003F4F7C"/>
    <w:rsid w:val="00401AA4"/>
    <w:rsid w:val="0040231F"/>
    <w:rsid w:val="00403172"/>
    <w:rsid w:val="00403B41"/>
    <w:rsid w:val="00406978"/>
    <w:rsid w:val="004101EA"/>
    <w:rsid w:val="00411438"/>
    <w:rsid w:val="00414262"/>
    <w:rsid w:val="00414667"/>
    <w:rsid w:val="004208D8"/>
    <w:rsid w:val="00420F7E"/>
    <w:rsid w:val="004217DC"/>
    <w:rsid w:val="0042647B"/>
    <w:rsid w:val="00426CA2"/>
    <w:rsid w:val="004314C6"/>
    <w:rsid w:val="00433007"/>
    <w:rsid w:val="00434C83"/>
    <w:rsid w:val="0044039F"/>
    <w:rsid w:val="0044578A"/>
    <w:rsid w:val="0044610A"/>
    <w:rsid w:val="00463086"/>
    <w:rsid w:val="0046624C"/>
    <w:rsid w:val="00472503"/>
    <w:rsid w:val="0047580D"/>
    <w:rsid w:val="00475EA0"/>
    <w:rsid w:val="00482D09"/>
    <w:rsid w:val="0048681B"/>
    <w:rsid w:val="004904CB"/>
    <w:rsid w:val="0049407D"/>
    <w:rsid w:val="004973C7"/>
    <w:rsid w:val="004A4C54"/>
    <w:rsid w:val="004A597C"/>
    <w:rsid w:val="004A71A5"/>
    <w:rsid w:val="004B17C5"/>
    <w:rsid w:val="004B776C"/>
    <w:rsid w:val="004B7A1E"/>
    <w:rsid w:val="004C17CE"/>
    <w:rsid w:val="004D1E3D"/>
    <w:rsid w:val="004D24F4"/>
    <w:rsid w:val="004D2A36"/>
    <w:rsid w:val="004E22D8"/>
    <w:rsid w:val="004E2643"/>
    <w:rsid w:val="004E2C73"/>
    <w:rsid w:val="004E3B17"/>
    <w:rsid w:val="004E55CC"/>
    <w:rsid w:val="004E7ABA"/>
    <w:rsid w:val="004F1760"/>
    <w:rsid w:val="004F66B3"/>
    <w:rsid w:val="00511552"/>
    <w:rsid w:val="005128FA"/>
    <w:rsid w:val="005236E1"/>
    <w:rsid w:val="00525261"/>
    <w:rsid w:val="00526229"/>
    <w:rsid w:val="00541A61"/>
    <w:rsid w:val="005476BC"/>
    <w:rsid w:val="00550757"/>
    <w:rsid w:val="00552B92"/>
    <w:rsid w:val="00555337"/>
    <w:rsid w:val="005554D9"/>
    <w:rsid w:val="00556F37"/>
    <w:rsid w:val="005603D3"/>
    <w:rsid w:val="00565F32"/>
    <w:rsid w:val="00567863"/>
    <w:rsid w:val="00570B78"/>
    <w:rsid w:val="0057309D"/>
    <w:rsid w:val="00575DAE"/>
    <w:rsid w:val="00576F0B"/>
    <w:rsid w:val="00577549"/>
    <w:rsid w:val="00582662"/>
    <w:rsid w:val="005903AA"/>
    <w:rsid w:val="005A1758"/>
    <w:rsid w:val="005A1AB6"/>
    <w:rsid w:val="005A1C77"/>
    <w:rsid w:val="005A1D69"/>
    <w:rsid w:val="005A523E"/>
    <w:rsid w:val="005A5EFD"/>
    <w:rsid w:val="005A74B2"/>
    <w:rsid w:val="005B030F"/>
    <w:rsid w:val="005B0FA3"/>
    <w:rsid w:val="005B1BCD"/>
    <w:rsid w:val="005B7D07"/>
    <w:rsid w:val="005C102B"/>
    <w:rsid w:val="005D3828"/>
    <w:rsid w:val="005D4328"/>
    <w:rsid w:val="005E5540"/>
    <w:rsid w:val="005F3D46"/>
    <w:rsid w:val="005F5060"/>
    <w:rsid w:val="005F7D8F"/>
    <w:rsid w:val="00604F7A"/>
    <w:rsid w:val="006110B1"/>
    <w:rsid w:val="00613FDB"/>
    <w:rsid w:val="00615518"/>
    <w:rsid w:val="00623134"/>
    <w:rsid w:val="006249CB"/>
    <w:rsid w:val="0063348A"/>
    <w:rsid w:val="00637333"/>
    <w:rsid w:val="00637867"/>
    <w:rsid w:val="006401F4"/>
    <w:rsid w:val="006415B7"/>
    <w:rsid w:val="00642949"/>
    <w:rsid w:val="00642A06"/>
    <w:rsid w:val="00646784"/>
    <w:rsid w:val="00650402"/>
    <w:rsid w:val="006517FE"/>
    <w:rsid w:val="00673F59"/>
    <w:rsid w:val="00683EB7"/>
    <w:rsid w:val="00691DEE"/>
    <w:rsid w:val="0069222D"/>
    <w:rsid w:val="00693C43"/>
    <w:rsid w:val="0069689D"/>
    <w:rsid w:val="00697CEC"/>
    <w:rsid w:val="006A0FAA"/>
    <w:rsid w:val="006A1BC4"/>
    <w:rsid w:val="006A1E8F"/>
    <w:rsid w:val="006A4622"/>
    <w:rsid w:val="006B0147"/>
    <w:rsid w:val="006B1C03"/>
    <w:rsid w:val="006B2591"/>
    <w:rsid w:val="006B359C"/>
    <w:rsid w:val="006C44FA"/>
    <w:rsid w:val="006D69E9"/>
    <w:rsid w:val="006E3489"/>
    <w:rsid w:val="006E722A"/>
    <w:rsid w:val="006F30A4"/>
    <w:rsid w:val="006F63BC"/>
    <w:rsid w:val="006F67FC"/>
    <w:rsid w:val="006F7768"/>
    <w:rsid w:val="006F7C6D"/>
    <w:rsid w:val="0070331C"/>
    <w:rsid w:val="00704F45"/>
    <w:rsid w:val="007147B8"/>
    <w:rsid w:val="0072097B"/>
    <w:rsid w:val="00721982"/>
    <w:rsid w:val="00740874"/>
    <w:rsid w:val="00741489"/>
    <w:rsid w:val="007423F9"/>
    <w:rsid w:val="0074327E"/>
    <w:rsid w:val="0074442D"/>
    <w:rsid w:val="007461CD"/>
    <w:rsid w:val="00752DE1"/>
    <w:rsid w:val="00754741"/>
    <w:rsid w:val="00755449"/>
    <w:rsid w:val="00761266"/>
    <w:rsid w:val="007622C3"/>
    <w:rsid w:val="0076526F"/>
    <w:rsid w:val="007672D0"/>
    <w:rsid w:val="007741E3"/>
    <w:rsid w:val="00774AB7"/>
    <w:rsid w:val="00791705"/>
    <w:rsid w:val="007A1727"/>
    <w:rsid w:val="007A1A26"/>
    <w:rsid w:val="007A2DCA"/>
    <w:rsid w:val="007B123E"/>
    <w:rsid w:val="007C1095"/>
    <w:rsid w:val="007C2CB5"/>
    <w:rsid w:val="007D0314"/>
    <w:rsid w:val="007D2B10"/>
    <w:rsid w:val="007D43AA"/>
    <w:rsid w:val="007D4A42"/>
    <w:rsid w:val="007D4FCA"/>
    <w:rsid w:val="007E0EBC"/>
    <w:rsid w:val="007E1E65"/>
    <w:rsid w:val="007E2174"/>
    <w:rsid w:val="007E5058"/>
    <w:rsid w:val="007E50C8"/>
    <w:rsid w:val="007E7A95"/>
    <w:rsid w:val="007F57B9"/>
    <w:rsid w:val="008017E0"/>
    <w:rsid w:val="00801B4C"/>
    <w:rsid w:val="00817196"/>
    <w:rsid w:val="00817A2D"/>
    <w:rsid w:val="00825B89"/>
    <w:rsid w:val="00841752"/>
    <w:rsid w:val="00851DFD"/>
    <w:rsid w:val="00853B29"/>
    <w:rsid w:val="00853B2A"/>
    <w:rsid w:val="0085567C"/>
    <w:rsid w:val="00857EFC"/>
    <w:rsid w:val="00865FB9"/>
    <w:rsid w:val="00870346"/>
    <w:rsid w:val="008738AA"/>
    <w:rsid w:val="00877642"/>
    <w:rsid w:val="00877662"/>
    <w:rsid w:val="00882DB8"/>
    <w:rsid w:val="0088329D"/>
    <w:rsid w:val="0088503A"/>
    <w:rsid w:val="0088713E"/>
    <w:rsid w:val="0088781E"/>
    <w:rsid w:val="00887B90"/>
    <w:rsid w:val="00890381"/>
    <w:rsid w:val="00893E77"/>
    <w:rsid w:val="00895683"/>
    <w:rsid w:val="008A7BE2"/>
    <w:rsid w:val="008B0878"/>
    <w:rsid w:val="008B1204"/>
    <w:rsid w:val="008B2137"/>
    <w:rsid w:val="008C0EE1"/>
    <w:rsid w:val="008C16AB"/>
    <w:rsid w:val="008F0193"/>
    <w:rsid w:val="008F2337"/>
    <w:rsid w:val="008F7B8B"/>
    <w:rsid w:val="00901530"/>
    <w:rsid w:val="00903866"/>
    <w:rsid w:val="00904F02"/>
    <w:rsid w:val="009055CE"/>
    <w:rsid w:val="00911376"/>
    <w:rsid w:val="009122D2"/>
    <w:rsid w:val="00915A67"/>
    <w:rsid w:val="00915FE6"/>
    <w:rsid w:val="00916A31"/>
    <w:rsid w:val="009175B2"/>
    <w:rsid w:val="00922422"/>
    <w:rsid w:val="009269B7"/>
    <w:rsid w:val="0094108D"/>
    <w:rsid w:val="00942911"/>
    <w:rsid w:val="00946625"/>
    <w:rsid w:val="00954FF4"/>
    <w:rsid w:val="00960F06"/>
    <w:rsid w:val="00962C49"/>
    <w:rsid w:val="009637CA"/>
    <w:rsid w:val="00967939"/>
    <w:rsid w:val="00973CFC"/>
    <w:rsid w:val="00982CB3"/>
    <w:rsid w:val="00983030"/>
    <w:rsid w:val="00983662"/>
    <w:rsid w:val="00984FC1"/>
    <w:rsid w:val="00985687"/>
    <w:rsid w:val="00992B71"/>
    <w:rsid w:val="00993E13"/>
    <w:rsid w:val="00995DE0"/>
    <w:rsid w:val="009971C7"/>
    <w:rsid w:val="00997DC6"/>
    <w:rsid w:val="009A0778"/>
    <w:rsid w:val="009C2F33"/>
    <w:rsid w:val="009C4C2E"/>
    <w:rsid w:val="009C5CC6"/>
    <w:rsid w:val="009D1C14"/>
    <w:rsid w:val="009F1B71"/>
    <w:rsid w:val="009F34A9"/>
    <w:rsid w:val="009F5227"/>
    <w:rsid w:val="00A06246"/>
    <w:rsid w:val="00A06D72"/>
    <w:rsid w:val="00A07C7A"/>
    <w:rsid w:val="00A15E0B"/>
    <w:rsid w:val="00A16107"/>
    <w:rsid w:val="00A16981"/>
    <w:rsid w:val="00A27C1B"/>
    <w:rsid w:val="00A27C55"/>
    <w:rsid w:val="00A30DAD"/>
    <w:rsid w:val="00A37777"/>
    <w:rsid w:val="00A41E63"/>
    <w:rsid w:val="00A426B4"/>
    <w:rsid w:val="00A4624A"/>
    <w:rsid w:val="00A46653"/>
    <w:rsid w:val="00A50E9B"/>
    <w:rsid w:val="00A51D34"/>
    <w:rsid w:val="00A522D5"/>
    <w:rsid w:val="00A53FB6"/>
    <w:rsid w:val="00A56603"/>
    <w:rsid w:val="00A568B5"/>
    <w:rsid w:val="00A6012F"/>
    <w:rsid w:val="00A82474"/>
    <w:rsid w:val="00A8519A"/>
    <w:rsid w:val="00A97ECE"/>
    <w:rsid w:val="00AA2DEE"/>
    <w:rsid w:val="00AA3FD1"/>
    <w:rsid w:val="00AB0691"/>
    <w:rsid w:val="00AB06F0"/>
    <w:rsid w:val="00AC021F"/>
    <w:rsid w:val="00AC0AAD"/>
    <w:rsid w:val="00AC30E2"/>
    <w:rsid w:val="00AD5098"/>
    <w:rsid w:val="00AE15CC"/>
    <w:rsid w:val="00AE5F30"/>
    <w:rsid w:val="00AF2EFD"/>
    <w:rsid w:val="00AF4C15"/>
    <w:rsid w:val="00B01139"/>
    <w:rsid w:val="00B011C0"/>
    <w:rsid w:val="00B0439C"/>
    <w:rsid w:val="00B04FAB"/>
    <w:rsid w:val="00B109B4"/>
    <w:rsid w:val="00B112DF"/>
    <w:rsid w:val="00B119D1"/>
    <w:rsid w:val="00B11F7A"/>
    <w:rsid w:val="00B139B7"/>
    <w:rsid w:val="00B16687"/>
    <w:rsid w:val="00B23F86"/>
    <w:rsid w:val="00B23FBB"/>
    <w:rsid w:val="00B24FA6"/>
    <w:rsid w:val="00B32D28"/>
    <w:rsid w:val="00B34C3E"/>
    <w:rsid w:val="00B34F1F"/>
    <w:rsid w:val="00B3542E"/>
    <w:rsid w:val="00B40504"/>
    <w:rsid w:val="00B42B7B"/>
    <w:rsid w:val="00B436CF"/>
    <w:rsid w:val="00B45E07"/>
    <w:rsid w:val="00B50405"/>
    <w:rsid w:val="00B5057D"/>
    <w:rsid w:val="00B52E01"/>
    <w:rsid w:val="00B6029E"/>
    <w:rsid w:val="00B62C2A"/>
    <w:rsid w:val="00B62C3B"/>
    <w:rsid w:val="00B659C3"/>
    <w:rsid w:val="00B71B1B"/>
    <w:rsid w:val="00B73AC5"/>
    <w:rsid w:val="00B81396"/>
    <w:rsid w:val="00B83437"/>
    <w:rsid w:val="00B83B3F"/>
    <w:rsid w:val="00B85FDD"/>
    <w:rsid w:val="00B90A27"/>
    <w:rsid w:val="00B92B2A"/>
    <w:rsid w:val="00BA1EA9"/>
    <w:rsid w:val="00BB15B5"/>
    <w:rsid w:val="00BB35B5"/>
    <w:rsid w:val="00BB60DC"/>
    <w:rsid w:val="00BC42E6"/>
    <w:rsid w:val="00BD65A0"/>
    <w:rsid w:val="00BD7AEB"/>
    <w:rsid w:val="00BE1DFF"/>
    <w:rsid w:val="00BE7029"/>
    <w:rsid w:val="00BE7EAA"/>
    <w:rsid w:val="00BF2BA5"/>
    <w:rsid w:val="00C00F9B"/>
    <w:rsid w:val="00C016DB"/>
    <w:rsid w:val="00C04AAE"/>
    <w:rsid w:val="00C06C42"/>
    <w:rsid w:val="00C07532"/>
    <w:rsid w:val="00C10870"/>
    <w:rsid w:val="00C131AA"/>
    <w:rsid w:val="00C2316A"/>
    <w:rsid w:val="00C24E45"/>
    <w:rsid w:val="00C346E2"/>
    <w:rsid w:val="00C36B27"/>
    <w:rsid w:val="00C451BC"/>
    <w:rsid w:val="00C453F9"/>
    <w:rsid w:val="00C4545A"/>
    <w:rsid w:val="00C47654"/>
    <w:rsid w:val="00C54082"/>
    <w:rsid w:val="00C554D6"/>
    <w:rsid w:val="00C57A50"/>
    <w:rsid w:val="00C62666"/>
    <w:rsid w:val="00C62B5F"/>
    <w:rsid w:val="00C62C38"/>
    <w:rsid w:val="00C641F8"/>
    <w:rsid w:val="00C7017A"/>
    <w:rsid w:val="00C72D94"/>
    <w:rsid w:val="00C75205"/>
    <w:rsid w:val="00C772E1"/>
    <w:rsid w:val="00C81897"/>
    <w:rsid w:val="00C8487E"/>
    <w:rsid w:val="00C9158F"/>
    <w:rsid w:val="00C93EC5"/>
    <w:rsid w:val="00C9765A"/>
    <w:rsid w:val="00CA2030"/>
    <w:rsid w:val="00CA30F3"/>
    <w:rsid w:val="00CB0EA2"/>
    <w:rsid w:val="00CB3F76"/>
    <w:rsid w:val="00CB64D8"/>
    <w:rsid w:val="00CB7206"/>
    <w:rsid w:val="00CC0082"/>
    <w:rsid w:val="00CC1ACE"/>
    <w:rsid w:val="00CC2CAE"/>
    <w:rsid w:val="00CC3B4B"/>
    <w:rsid w:val="00CC6273"/>
    <w:rsid w:val="00CC77E9"/>
    <w:rsid w:val="00CD6C18"/>
    <w:rsid w:val="00CE3716"/>
    <w:rsid w:val="00CE42DE"/>
    <w:rsid w:val="00CF1E28"/>
    <w:rsid w:val="00CF6CE9"/>
    <w:rsid w:val="00D00489"/>
    <w:rsid w:val="00D02366"/>
    <w:rsid w:val="00D04607"/>
    <w:rsid w:val="00D056E9"/>
    <w:rsid w:val="00D11F30"/>
    <w:rsid w:val="00D14664"/>
    <w:rsid w:val="00D1545D"/>
    <w:rsid w:val="00D21EE5"/>
    <w:rsid w:val="00D22DC2"/>
    <w:rsid w:val="00D30364"/>
    <w:rsid w:val="00D3624D"/>
    <w:rsid w:val="00D407DE"/>
    <w:rsid w:val="00D41EAF"/>
    <w:rsid w:val="00D45091"/>
    <w:rsid w:val="00D471CC"/>
    <w:rsid w:val="00D47572"/>
    <w:rsid w:val="00D47F85"/>
    <w:rsid w:val="00D52704"/>
    <w:rsid w:val="00D61197"/>
    <w:rsid w:val="00D61D72"/>
    <w:rsid w:val="00D71D7C"/>
    <w:rsid w:val="00D75978"/>
    <w:rsid w:val="00D83870"/>
    <w:rsid w:val="00D86372"/>
    <w:rsid w:val="00D91A3C"/>
    <w:rsid w:val="00D945B3"/>
    <w:rsid w:val="00DB0FA8"/>
    <w:rsid w:val="00DB176E"/>
    <w:rsid w:val="00DB6C72"/>
    <w:rsid w:val="00DB78F9"/>
    <w:rsid w:val="00DC321F"/>
    <w:rsid w:val="00DD66D3"/>
    <w:rsid w:val="00DD7D18"/>
    <w:rsid w:val="00DE0C1D"/>
    <w:rsid w:val="00DE448C"/>
    <w:rsid w:val="00DE72E7"/>
    <w:rsid w:val="00DF54C2"/>
    <w:rsid w:val="00DF626C"/>
    <w:rsid w:val="00E02975"/>
    <w:rsid w:val="00E23794"/>
    <w:rsid w:val="00E2407F"/>
    <w:rsid w:val="00E2668C"/>
    <w:rsid w:val="00E274C6"/>
    <w:rsid w:val="00E315FB"/>
    <w:rsid w:val="00E32F14"/>
    <w:rsid w:val="00E3786C"/>
    <w:rsid w:val="00E50233"/>
    <w:rsid w:val="00E66300"/>
    <w:rsid w:val="00E71FA5"/>
    <w:rsid w:val="00E753B8"/>
    <w:rsid w:val="00E80433"/>
    <w:rsid w:val="00E861BA"/>
    <w:rsid w:val="00E87A4E"/>
    <w:rsid w:val="00E94BA4"/>
    <w:rsid w:val="00E95091"/>
    <w:rsid w:val="00E9666B"/>
    <w:rsid w:val="00E96BF9"/>
    <w:rsid w:val="00EA2308"/>
    <w:rsid w:val="00EB4D68"/>
    <w:rsid w:val="00EC2B44"/>
    <w:rsid w:val="00EC3944"/>
    <w:rsid w:val="00EC6674"/>
    <w:rsid w:val="00ED3B1F"/>
    <w:rsid w:val="00ED4D0B"/>
    <w:rsid w:val="00EF0330"/>
    <w:rsid w:val="00EF3E2B"/>
    <w:rsid w:val="00EF3FD8"/>
    <w:rsid w:val="00F007E2"/>
    <w:rsid w:val="00F0168F"/>
    <w:rsid w:val="00F04C55"/>
    <w:rsid w:val="00F0676A"/>
    <w:rsid w:val="00F06998"/>
    <w:rsid w:val="00F11821"/>
    <w:rsid w:val="00F14F49"/>
    <w:rsid w:val="00F15760"/>
    <w:rsid w:val="00F160BE"/>
    <w:rsid w:val="00F16E57"/>
    <w:rsid w:val="00F16EDE"/>
    <w:rsid w:val="00F2102C"/>
    <w:rsid w:val="00F23F7E"/>
    <w:rsid w:val="00F24CC4"/>
    <w:rsid w:val="00F24FB4"/>
    <w:rsid w:val="00F26538"/>
    <w:rsid w:val="00F30021"/>
    <w:rsid w:val="00F3297D"/>
    <w:rsid w:val="00F33008"/>
    <w:rsid w:val="00F402B9"/>
    <w:rsid w:val="00F417D1"/>
    <w:rsid w:val="00F450BC"/>
    <w:rsid w:val="00F479D4"/>
    <w:rsid w:val="00F556A6"/>
    <w:rsid w:val="00F61B38"/>
    <w:rsid w:val="00F66C88"/>
    <w:rsid w:val="00F66E43"/>
    <w:rsid w:val="00F704B3"/>
    <w:rsid w:val="00F72CBA"/>
    <w:rsid w:val="00F76BE6"/>
    <w:rsid w:val="00F7768B"/>
    <w:rsid w:val="00F80F40"/>
    <w:rsid w:val="00F81060"/>
    <w:rsid w:val="00F81434"/>
    <w:rsid w:val="00F81722"/>
    <w:rsid w:val="00F82A6B"/>
    <w:rsid w:val="00F9611A"/>
    <w:rsid w:val="00F96B3B"/>
    <w:rsid w:val="00F9794A"/>
    <w:rsid w:val="00FA0DC9"/>
    <w:rsid w:val="00FA2E6B"/>
    <w:rsid w:val="00FA3A26"/>
    <w:rsid w:val="00FA4A6C"/>
    <w:rsid w:val="00FB7F39"/>
    <w:rsid w:val="00FC05AA"/>
    <w:rsid w:val="00FC33D3"/>
    <w:rsid w:val="00FC45D0"/>
    <w:rsid w:val="00FC4D3F"/>
    <w:rsid w:val="00FC5145"/>
    <w:rsid w:val="00FE2360"/>
    <w:rsid w:val="00FE3072"/>
    <w:rsid w:val="00FE432C"/>
    <w:rsid w:val="00FE7B62"/>
    <w:rsid w:val="00FF2776"/>
    <w:rsid w:val="012714C9"/>
    <w:rsid w:val="013930DE"/>
    <w:rsid w:val="01AA3560"/>
    <w:rsid w:val="01B22A20"/>
    <w:rsid w:val="01B53358"/>
    <w:rsid w:val="01BD0368"/>
    <w:rsid w:val="01D60B44"/>
    <w:rsid w:val="01E05808"/>
    <w:rsid w:val="01FA18E8"/>
    <w:rsid w:val="020F7B7E"/>
    <w:rsid w:val="02730BE3"/>
    <w:rsid w:val="027C4D61"/>
    <w:rsid w:val="02AE0F75"/>
    <w:rsid w:val="02C1420B"/>
    <w:rsid w:val="02EA018D"/>
    <w:rsid w:val="03162AD9"/>
    <w:rsid w:val="0324253E"/>
    <w:rsid w:val="036A1510"/>
    <w:rsid w:val="0394201E"/>
    <w:rsid w:val="039B3DFC"/>
    <w:rsid w:val="03CF69C9"/>
    <w:rsid w:val="03FE5EBA"/>
    <w:rsid w:val="040D1192"/>
    <w:rsid w:val="044F484E"/>
    <w:rsid w:val="046B4E4C"/>
    <w:rsid w:val="04A15406"/>
    <w:rsid w:val="04AA6C0B"/>
    <w:rsid w:val="04B341A6"/>
    <w:rsid w:val="04C119F9"/>
    <w:rsid w:val="04E009AB"/>
    <w:rsid w:val="04FF212C"/>
    <w:rsid w:val="05087345"/>
    <w:rsid w:val="053C512E"/>
    <w:rsid w:val="05555829"/>
    <w:rsid w:val="05A51D18"/>
    <w:rsid w:val="05F42136"/>
    <w:rsid w:val="061C1C8C"/>
    <w:rsid w:val="062B0DEB"/>
    <w:rsid w:val="06564386"/>
    <w:rsid w:val="065E6A34"/>
    <w:rsid w:val="06667C48"/>
    <w:rsid w:val="067526A6"/>
    <w:rsid w:val="069B724F"/>
    <w:rsid w:val="06CA50F6"/>
    <w:rsid w:val="06D90E7C"/>
    <w:rsid w:val="06F965A3"/>
    <w:rsid w:val="0700113A"/>
    <w:rsid w:val="070D03CD"/>
    <w:rsid w:val="078057A6"/>
    <w:rsid w:val="07AB084E"/>
    <w:rsid w:val="086D5E46"/>
    <w:rsid w:val="08702ABE"/>
    <w:rsid w:val="087034E2"/>
    <w:rsid w:val="08C91941"/>
    <w:rsid w:val="0930353B"/>
    <w:rsid w:val="094B45BE"/>
    <w:rsid w:val="09616470"/>
    <w:rsid w:val="09A3577C"/>
    <w:rsid w:val="09D41DD9"/>
    <w:rsid w:val="09DD6948"/>
    <w:rsid w:val="0A0F4034"/>
    <w:rsid w:val="0A7A6BAF"/>
    <w:rsid w:val="0AAE1466"/>
    <w:rsid w:val="0AFB13C3"/>
    <w:rsid w:val="0AFB7199"/>
    <w:rsid w:val="0B0D3E50"/>
    <w:rsid w:val="0B2152A7"/>
    <w:rsid w:val="0B8D5889"/>
    <w:rsid w:val="0BD61737"/>
    <w:rsid w:val="0C076651"/>
    <w:rsid w:val="0C1741FF"/>
    <w:rsid w:val="0C8211DB"/>
    <w:rsid w:val="0C8567DA"/>
    <w:rsid w:val="0CE11116"/>
    <w:rsid w:val="0CE1212D"/>
    <w:rsid w:val="0CFB51EC"/>
    <w:rsid w:val="0CFE573F"/>
    <w:rsid w:val="0D27282F"/>
    <w:rsid w:val="0D360848"/>
    <w:rsid w:val="0D460B5F"/>
    <w:rsid w:val="0D4B3DFF"/>
    <w:rsid w:val="0D5E38BE"/>
    <w:rsid w:val="0D9E67E5"/>
    <w:rsid w:val="0DAF7F11"/>
    <w:rsid w:val="0E111DC2"/>
    <w:rsid w:val="0E436F73"/>
    <w:rsid w:val="0EB451F9"/>
    <w:rsid w:val="0EC23919"/>
    <w:rsid w:val="0F29338B"/>
    <w:rsid w:val="0F855BBA"/>
    <w:rsid w:val="0F902C27"/>
    <w:rsid w:val="0F9710D5"/>
    <w:rsid w:val="0FAA46EC"/>
    <w:rsid w:val="0FAD6033"/>
    <w:rsid w:val="0FB47C25"/>
    <w:rsid w:val="0FC43BEB"/>
    <w:rsid w:val="0FEC44A8"/>
    <w:rsid w:val="1003030C"/>
    <w:rsid w:val="101007E8"/>
    <w:rsid w:val="101B1C17"/>
    <w:rsid w:val="10433815"/>
    <w:rsid w:val="10726D87"/>
    <w:rsid w:val="10844220"/>
    <w:rsid w:val="10967DE9"/>
    <w:rsid w:val="10E036B3"/>
    <w:rsid w:val="11197E30"/>
    <w:rsid w:val="112C1239"/>
    <w:rsid w:val="117A45B3"/>
    <w:rsid w:val="11920B78"/>
    <w:rsid w:val="11BB3B6C"/>
    <w:rsid w:val="11CB73B3"/>
    <w:rsid w:val="11E34B92"/>
    <w:rsid w:val="11FC75B2"/>
    <w:rsid w:val="11FD5C45"/>
    <w:rsid w:val="1206775B"/>
    <w:rsid w:val="120E5AB1"/>
    <w:rsid w:val="12103B51"/>
    <w:rsid w:val="124D409D"/>
    <w:rsid w:val="125C4DA6"/>
    <w:rsid w:val="12CC1B6D"/>
    <w:rsid w:val="130F3E82"/>
    <w:rsid w:val="1330168A"/>
    <w:rsid w:val="133D38C9"/>
    <w:rsid w:val="134F24D1"/>
    <w:rsid w:val="136E6DFB"/>
    <w:rsid w:val="13A26602"/>
    <w:rsid w:val="13D27E36"/>
    <w:rsid w:val="13E516B7"/>
    <w:rsid w:val="13F0706A"/>
    <w:rsid w:val="14202ED3"/>
    <w:rsid w:val="1441132C"/>
    <w:rsid w:val="144611D2"/>
    <w:rsid w:val="1446553E"/>
    <w:rsid w:val="14B903D4"/>
    <w:rsid w:val="14CD7F0D"/>
    <w:rsid w:val="14FF20CC"/>
    <w:rsid w:val="151529B4"/>
    <w:rsid w:val="15292F77"/>
    <w:rsid w:val="15334FCD"/>
    <w:rsid w:val="1542068C"/>
    <w:rsid w:val="15671D54"/>
    <w:rsid w:val="15712BD2"/>
    <w:rsid w:val="158741A4"/>
    <w:rsid w:val="15CC605B"/>
    <w:rsid w:val="15D155A2"/>
    <w:rsid w:val="15F23029"/>
    <w:rsid w:val="160F6D22"/>
    <w:rsid w:val="161A43D0"/>
    <w:rsid w:val="161A7A88"/>
    <w:rsid w:val="16DA6555"/>
    <w:rsid w:val="16F02774"/>
    <w:rsid w:val="1702234F"/>
    <w:rsid w:val="17BF2904"/>
    <w:rsid w:val="17EC2AC5"/>
    <w:rsid w:val="18186C72"/>
    <w:rsid w:val="18220FFB"/>
    <w:rsid w:val="18251E8C"/>
    <w:rsid w:val="184E178D"/>
    <w:rsid w:val="18684BD0"/>
    <w:rsid w:val="188B48D1"/>
    <w:rsid w:val="18C028C5"/>
    <w:rsid w:val="1934092B"/>
    <w:rsid w:val="195450AF"/>
    <w:rsid w:val="19547818"/>
    <w:rsid w:val="19B73C3C"/>
    <w:rsid w:val="19E55DD1"/>
    <w:rsid w:val="1A246A13"/>
    <w:rsid w:val="1A4903E5"/>
    <w:rsid w:val="1A500C08"/>
    <w:rsid w:val="1ABD25E2"/>
    <w:rsid w:val="1AD33B9C"/>
    <w:rsid w:val="1B0340B4"/>
    <w:rsid w:val="1B425F20"/>
    <w:rsid w:val="1B4618D3"/>
    <w:rsid w:val="1B9E5439"/>
    <w:rsid w:val="1BEF7C4A"/>
    <w:rsid w:val="1C044ABF"/>
    <w:rsid w:val="1C0926B2"/>
    <w:rsid w:val="1C643B45"/>
    <w:rsid w:val="1C6660EE"/>
    <w:rsid w:val="1C865112"/>
    <w:rsid w:val="1C9571B4"/>
    <w:rsid w:val="1CC424C0"/>
    <w:rsid w:val="1CDD11CE"/>
    <w:rsid w:val="1D7220F4"/>
    <w:rsid w:val="1D7A45EE"/>
    <w:rsid w:val="1D7F0A88"/>
    <w:rsid w:val="1DAC7063"/>
    <w:rsid w:val="1DC74443"/>
    <w:rsid w:val="1DEF2284"/>
    <w:rsid w:val="1E081852"/>
    <w:rsid w:val="1E7E3907"/>
    <w:rsid w:val="1EA21B3F"/>
    <w:rsid w:val="1EA44AFD"/>
    <w:rsid w:val="1EB61656"/>
    <w:rsid w:val="1EB747FE"/>
    <w:rsid w:val="1EE36CB0"/>
    <w:rsid w:val="1F592D27"/>
    <w:rsid w:val="1F9013F1"/>
    <w:rsid w:val="20076707"/>
    <w:rsid w:val="20192863"/>
    <w:rsid w:val="201C5886"/>
    <w:rsid w:val="20427981"/>
    <w:rsid w:val="204D15AB"/>
    <w:rsid w:val="204E0696"/>
    <w:rsid w:val="207B1099"/>
    <w:rsid w:val="208B4DF4"/>
    <w:rsid w:val="20E509CF"/>
    <w:rsid w:val="20EE7291"/>
    <w:rsid w:val="217F78DD"/>
    <w:rsid w:val="2198622B"/>
    <w:rsid w:val="21B32F2D"/>
    <w:rsid w:val="21BB5FDD"/>
    <w:rsid w:val="21C127EB"/>
    <w:rsid w:val="21C612F9"/>
    <w:rsid w:val="21C64381"/>
    <w:rsid w:val="21D16251"/>
    <w:rsid w:val="22097423"/>
    <w:rsid w:val="223A449D"/>
    <w:rsid w:val="223B2F0E"/>
    <w:rsid w:val="223D00CC"/>
    <w:rsid w:val="22604258"/>
    <w:rsid w:val="22662EEC"/>
    <w:rsid w:val="229508AC"/>
    <w:rsid w:val="22B72D0D"/>
    <w:rsid w:val="22BD582F"/>
    <w:rsid w:val="22CB50A4"/>
    <w:rsid w:val="22F13BA9"/>
    <w:rsid w:val="22F90753"/>
    <w:rsid w:val="23105B26"/>
    <w:rsid w:val="231D18AB"/>
    <w:rsid w:val="235F050E"/>
    <w:rsid w:val="236314D9"/>
    <w:rsid w:val="236E03B0"/>
    <w:rsid w:val="239A48BC"/>
    <w:rsid w:val="23CF3A49"/>
    <w:rsid w:val="23D231B4"/>
    <w:rsid w:val="24352443"/>
    <w:rsid w:val="243D7784"/>
    <w:rsid w:val="244D325D"/>
    <w:rsid w:val="24621831"/>
    <w:rsid w:val="2497726D"/>
    <w:rsid w:val="249E5066"/>
    <w:rsid w:val="24B42EC9"/>
    <w:rsid w:val="24C64438"/>
    <w:rsid w:val="250A44B0"/>
    <w:rsid w:val="25216A19"/>
    <w:rsid w:val="2548391D"/>
    <w:rsid w:val="254A0B8D"/>
    <w:rsid w:val="255043D2"/>
    <w:rsid w:val="25914490"/>
    <w:rsid w:val="25916815"/>
    <w:rsid w:val="25AE0DE8"/>
    <w:rsid w:val="25E0442F"/>
    <w:rsid w:val="26050C6E"/>
    <w:rsid w:val="26103D41"/>
    <w:rsid w:val="262E6A12"/>
    <w:rsid w:val="262F5E45"/>
    <w:rsid w:val="26506553"/>
    <w:rsid w:val="265E7266"/>
    <w:rsid w:val="26681488"/>
    <w:rsid w:val="267B5ED7"/>
    <w:rsid w:val="268314BF"/>
    <w:rsid w:val="26A679E6"/>
    <w:rsid w:val="26C30B00"/>
    <w:rsid w:val="26DA41C6"/>
    <w:rsid w:val="26ED0339"/>
    <w:rsid w:val="27210E37"/>
    <w:rsid w:val="27313F6F"/>
    <w:rsid w:val="273740CB"/>
    <w:rsid w:val="27636233"/>
    <w:rsid w:val="27713266"/>
    <w:rsid w:val="27732F9C"/>
    <w:rsid w:val="278C4852"/>
    <w:rsid w:val="27DE6107"/>
    <w:rsid w:val="27F51D33"/>
    <w:rsid w:val="282939F3"/>
    <w:rsid w:val="28564C9D"/>
    <w:rsid w:val="288F4824"/>
    <w:rsid w:val="28903681"/>
    <w:rsid w:val="28913EDC"/>
    <w:rsid w:val="28D16E73"/>
    <w:rsid w:val="28F33D32"/>
    <w:rsid w:val="2915294F"/>
    <w:rsid w:val="291750BF"/>
    <w:rsid w:val="294B0F0B"/>
    <w:rsid w:val="29591B37"/>
    <w:rsid w:val="299B2C5B"/>
    <w:rsid w:val="29B05C1E"/>
    <w:rsid w:val="29D177AB"/>
    <w:rsid w:val="29D37A41"/>
    <w:rsid w:val="29DA1219"/>
    <w:rsid w:val="29EB38BF"/>
    <w:rsid w:val="29F91ABD"/>
    <w:rsid w:val="2A484859"/>
    <w:rsid w:val="2A48700B"/>
    <w:rsid w:val="2A745132"/>
    <w:rsid w:val="2A845366"/>
    <w:rsid w:val="2A8F53BC"/>
    <w:rsid w:val="2A916B15"/>
    <w:rsid w:val="2AEB2687"/>
    <w:rsid w:val="2AFF5264"/>
    <w:rsid w:val="2B0C0F7B"/>
    <w:rsid w:val="2B2B6A94"/>
    <w:rsid w:val="2B401382"/>
    <w:rsid w:val="2B440CE8"/>
    <w:rsid w:val="2B553E4A"/>
    <w:rsid w:val="2B646DBA"/>
    <w:rsid w:val="2B7876AA"/>
    <w:rsid w:val="2B8B079A"/>
    <w:rsid w:val="2BCB62CC"/>
    <w:rsid w:val="2C1D6B29"/>
    <w:rsid w:val="2C3D125B"/>
    <w:rsid w:val="2C9201C4"/>
    <w:rsid w:val="2C953B27"/>
    <w:rsid w:val="2CF51648"/>
    <w:rsid w:val="2D0B4074"/>
    <w:rsid w:val="2D0C1AF6"/>
    <w:rsid w:val="2D360531"/>
    <w:rsid w:val="2D542B3D"/>
    <w:rsid w:val="2D60110A"/>
    <w:rsid w:val="2D641059"/>
    <w:rsid w:val="2D655D28"/>
    <w:rsid w:val="2D8A7365"/>
    <w:rsid w:val="2DBD0EC1"/>
    <w:rsid w:val="2DC0289E"/>
    <w:rsid w:val="2DF35890"/>
    <w:rsid w:val="2E00131A"/>
    <w:rsid w:val="2E5237ED"/>
    <w:rsid w:val="2E7C4CC2"/>
    <w:rsid w:val="2F22467C"/>
    <w:rsid w:val="2F534B3B"/>
    <w:rsid w:val="30961AE2"/>
    <w:rsid w:val="30B654E5"/>
    <w:rsid w:val="30DF6506"/>
    <w:rsid w:val="30EB1AD1"/>
    <w:rsid w:val="31126BC0"/>
    <w:rsid w:val="314A69ED"/>
    <w:rsid w:val="316C5D25"/>
    <w:rsid w:val="319770C5"/>
    <w:rsid w:val="319B60C0"/>
    <w:rsid w:val="31AF3AA2"/>
    <w:rsid w:val="3200539A"/>
    <w:rsid w:val="320F1E35"/>
    <w:rsid w:val="323B0D1B"/>
    <w:rsid w:val="324803BF"/>
    <w:rsid w:val="328A1C30"/>
    <w:rsid w:val="32D47EA8"/>
    <w:rsid w:val="3327727E"/>
    <w:rsid w:val="333F6ECB"/>
    <w:rsid w:val="33500B97"/>
    <w:rsid w:val="33AA48B0"/>
    <w:rsid w:val="33AE0D25"/>
    <w:rsid w:val="33B84DAB"/>
    <w:rsid w:val="33E800AC"/>
    <w:rsid w:val="342C4D3B"/>
    <w:rsid w:val="343B30B6"/>
    <w:rsid w:val="34692F9B"/>
    <w:rsid w:val="34732620"/>
    <w:rsid w:val="34A83C16"/>
    <w:rsid w:val="34DA0A32"/>
    <w:rsid w:val="34F43003"/>
    <w:rsid w:val="3552458B"/>
    <w:rsid w:val="35720FC6"/>
    <w:rsid w:val="357F67EE"/>
    <w:rsid w:val="35845A52"/>
    <w:rsid w:val="35862285"/>
    <w:rsid w:val="35C16347"/>
    <w:rsid w:val="35D30C5A"/>
    <w:rsid w:val="36233B7D"/>
    <w:rsid w:val="365543B1"/>
    <w:rsid w:val="367078D0"/>
    <w:rsid w:val="36876C4F"/>
    <w:rsid w:val="369F510E"/>
    <w:rsid w:val="36FA13B3"/>
    <w:rsid w:val="374A7960"/>
    <w:rsid w:val="375F5DED"/>
    <w:rsid w:val="3764396F"/>
    <w:rsid w:val="378E4842"/>
    <w:rsid w:val="37F814DF"/>
    <w:rsid w:val="38137AD8"/>
    <w:rsid w:val="38247467"/>
    <w:rsid w:val="386A2B8E"/>
    <w:rsid w:val="38882E30"/>
    <w:rsid w:val="38E76B27"/>
    <w:rsid w:val="38EA6674"/>
    <w:rsid w:val="38F22202"/>
    <w:rsid w:val="38F82230"/>
    <w:rsid w:val="38FE6FF4"/>
    <w:rsid w:val="39015ED3"/>
    <w:rsid w:val="39213358"/>
    <w:rsid w:val="393A09F7"/>
    <w:rsid w:val="395B3F46"/>
    <w:rsid w:val="396401D4"/>
    <w:rsid w:val="39D10EAA"/>
    <w:rsid w:val="39D23390"/>
    <w:rsid w:val="39E35AC2"/>
    <w:rsid w:val="39EF747A"/>
    <w:rsid w:val="3A07001A"/>
    <w:rsid w:val="3A212AC9"/>
    <w:rsid w:val="3A366C90"/>
    <w:rsid w:val="3A3A28B7"/>
    <w:rsid w:val="3A42547E"/>
    <w:rsid w:val="3A764D1C"/>
    <w:rsid w:val="3A834720"/>
    <w:rsid w:val="3B2C21FC"/>
    <w:rsid w:val="3B664767"/>
    <w:rsid w:val="3B702E61"/>
    <w:rsid w:val="3B7320D6"/>
    <w:rsid w:val="3B972C15"/>
    <w:rsid w:val="3BB54FDD"/>
    <w:rsid w:val="3BDD5AF6"/>
    <w:rsid w:val="3BF16211"/>
    <w:rsid w:val="3C0E2679"/>
    <w:rsid w:val="3C18239F"/>
    <w:rsid w:val="3C263E87"/>
    <w:rsid w:val="3C340BBF"/>
    <w:rsid w:val="3C456957"/>
    <w:rsid w:val="3C5F6F68"/>
    <w:rsid w:val="3C6C4DFA"/>
    <w:rsid w:val="3C986552"/>
    <w:rsid w:val="3CA60B04"/>
    <w:rsid w:val="3CBE4360"/>
    <w:rsid w:val="3CDC693C"/>
    <w:rsid w:val="3D1772A2"/>
    <w:rsid w:val="3D6A54CD"/>
    <w:rsid w:val="3DC4712B"/>
    <w:rsid w:val="3DCC5572"/>
    <w:rsid w:val="3DDC3024"/>
    <w:rsid w:val="3E18216E"/>
    <w:rsid w:val="3EAC1BA8"/>
    <w:rsid w:val="3ECD34FD"/>
    <w:rsid w:val="3ED70A3A"/>
    <w:rsid w:val="3F104904"/>
    <w:rsid w:val="3F203BD7"/>
    <w:rsid w:val="3F2C52F0"/>
    <w:rsid w:val="3F3F067A"/>
    <w:rsid w:val="3F4263D8"/>
    <w:rsid w:val="3F6A7999"/>
    <w:rsid w:val="3F8B4AF7"/>
    <w:rsid w:val="3F962C16"/>
    <w:rsid w:val="3FE56C53"/>
    <w:rsid w:val="40491ED2"/>
    <w:rsid w:val="40651C2D"/>
    <w:rsid w:val="40F60A96"/>
    <w:rsid w:val="41120ECB"/>
    <w:rsid w:val="41250CF5"/>
    <w:rsid w:val="412626B7"/>
    <w:rsid w:val="412B563A"/>
    <w:rsid w:val="414A7CB0"/>
    <w:rsid w:val="417C2F7F"/>
    <w:rsid w:val="418238EE"/>
    <w:rsid w:val="41986978"/>
    <w:rsid w:val="41B0318A"/>
    <w:rsid w:val="42494474"/>
    <w:rsid w:val="425E0AAF"/>
    <w:rsid w:val="426E5C20"/>
    <w:rsid w:val="427D5E63"/>
    <w:rsid w:val="42A8354B"/>
    <w:rsid w:val="42B42D3C"/>
    <w:rsid w:val="43023BFF"/>
    <w:rsid w:val="430B16C1"/>
    <w:rsid w:val="432D55A8"/>
    <w:rsid w:val="434B12D1"/>
    <w:rsid w:val="434D13F6"/>
    <w:rsid w:val="43577FA2"/>
    <w:rsid w:val="436A4A6F"/>
    <w:rsid w:val="43A15810"/>
    <w:rsid w:val="43CE43C4"/>
    <w:rsid w:val="43FE1684"/>
    <w:rsid w:val="44B870E1"/>
    <w:rsid w:val="45012D7B"/>
    <w:rsid w:val="45154265"/>
    <w:rsid w:val="45176E03"/>
    <w:rsid w:val="45367FB9"/>
    <w:rsid w:val="45BA66E7"/>
    <w:rsid w:val="45BB5620"/>
    <w:rsid w:val="45C9686D"/>
    <w:rsid w:val="45F052D3"/>
    <w:rsid w:val="46174E05"/>
    <w:rsid w:val="4636037C"/>
    <w:rsid w:val="465313B5"/>
    <w:rsid w:val="46861A06"/>
    <w:rsid w:val="46880168"/>
    <w:rsid w:val="46B376A0"/>
    <w:rsid w:val="46B53E1D"/>
    <w:rsid w:val="46B75DE0"/>
    <w:rsid w:val="46D850CE"/>
    <w:rsid w:val="47232381"/>
    <w:rsid w:val="47721D0E"/>
    <w:rsid w:val="47A67B93"/>
    <w:rsid w:val="48152FCE"/>
    <w:rsid w:val="48400E2A"/>
    <w:rsid w:val="487C1FF8"/>
    <w:rsid w:val="489536D4"/>
    <w:rsid w:val="48A51B57"/>
    <w:rsid w:val="48B13105"/>
    <w:rsid w:val="48B60321"/>
    <w:rsid w:val="48C11A5A"/>
    <w:rsid w:val="492B2B84"/>
    <w:rsid w:val="49567034"/>
    <w:rsid w:val="495A19E6"/>
    <w:rsid w:val="496C5184"/>
    <w:rsid w:val="497E3B5E"/>
    <w:rsid w:val="4A354A0A"/>
    <w:rsid w:val="4A370FED"/>
    <w:rsid w:val="4A6004B6"/>
    <w:rsid w:val="4A730277"/>
    <w:rsid w:val="4A9F0F6E"/>
    <w:rsid w:val="4ADD0959"/>
    <w:rsid w:val="4AE22AE2"/>
    <w:rsid w:val="4AFB74CD"/>
    <w:rsid w:val="4B1D738D"/>
    <w:rsid w:val="4B561347"/>
    <w:rsid w:val="4B621DBB"/>
    <w:rsid w:val="4B666020"/>
    <w:rsid w:val="4BEC6951"/>
    <w:rsid w:val="4C1E56C0"/>
    <w:rsid w:val="4C405F26"/>
    <w:rsid w:val="4C554E5C"/>
    <w:rsid w:val="4C9C3E97"/>
    <w:rsid w:val="4CA333DD"/>
    <w:rsid w:val="4CAF4181"/>
    <w:rsid w:val="4D021D86"/>
    <w:rsid w:val="4D0B059D"/>
    <w:rsid w:val="4D1E62A8"/>
    <w:rsid w:val="4D2F37DC"/>
    <w:rsid w:val="4D435CF2"/>
    <w:rsid w:val="4D6F6C0D"/>
    <w:rsid w:val="4D7B254C"/>
    <w:rsid w:val="4DEB25F0"/>
    <w:rsid w:val="4E1407FF"/>
    <w:rsid w:val="4E1E5397"/>
    <w:rsid w:val="4E47556D"/>
    <w:rsid w:val="4E484114"/>
    <w:rsid w:val="4EF15DE2"/>
    <w:rsid w:val="4EF9037D"/>
    <w:rsid w:val="4F652159"/>
    <w:rsid w:val="4F782C3A"/>
    <w:rsid w:val="4FCE18DC"/>
    <w:rsid w:val="4FF21C3E"/>
    <w:rsid w:val="50070A24"/>
    <w:rsid w:val="5013436B"/>
    <w:rsid w:val="50434E3C"/>
    <w:rsid w:val="505B24E3"/>
    <w:rsid w:val="50706E76"/>
    <w:rsid w:val="5084088D"/>
    <w:rsid w:val="50B6667B"/>
    <w:rsid w:val="50B84DFB"/>
    <w:rsid w:val="50EA7D99"/>
    <w:rsid w:val="510F4A72"/>
    <w:rsid w:val="516D1A20"/>
    <w:rsid w:val="51810C90"/>
    <w:rsid w:val="519A5C9B"/>
    <w:rsid w:val="51EA3AE5"/>
    <w:rsid w:val="520811CD"/>
    <w:rsid w:val="5224296A"/>
    <w:rsid w:val="52295F56"/>
    <w:rsid w:val="522C327F"/>
    <w:rsid w:val="524D3BDE"/>
    <w:rsid w:val="525342EF"/>
    <w:rsid w:val="529156E0"/>
    <w:rsid w:val="52B57C15"/>
    <w:rsid w:val="52BB0871"/>
    <w:rsid w:val="52D30275"/>
    <w:rsid w:val="52D53E03"/>
    <w:rsid w:val="52FB4C31"/>
    <w:rsid w:val="533024F5"/>
    <w:rsid w:val="5347445F"/>
    <w:rsid w:val="5361580D"/>
    <w:rsid w:val="53986FA1"/>
    <w:rsid w:val="53AC2B35"/>
    <w:rsid w:val="53FC2011"/>
    <w:rsid w:val="54134EAA"/>
    <w:rsid w:val="54263544"/>
    <w:rsid w:val="543177DD"/>
    <w:rsid w:val="544F01A4"/>
    <w:rsid w:val="547846DC"/>
    <w:rsid w:val="548C3CFC"/>
    <w:rsid w:val="54963D57"/>
    <w:rsid w:val="54E40912"/>
    <w:rsid w:val="54F72943"/>
    <w:rsid w:val="555B350A"/>
    <w:rsid w:val="556F1F83"/>
    <w:rsid w:val="557E2E7E"/>
    <w:rsid w:val="557F2C2A"/>
    <w:rsid w:val="565500A6"/>
    <w:rsid w:val="56CD2179"/>
    <w:rsid w:val="56DB0B3E"/>
    <w:rsid w:val="56E71049"/>
    <w:rsid w:val="56EF0E34"/>
    <w:rsid w:val="570F549B"/>
    <w:rsid w:val="573B211D"/>
    <w:rsid w:val="576A26F1"/>
    <w:rsid w:val="578876A8"/>
    <w:rsid w:val="57976109"/>
    <w:rsid w:val="579A000F"/>
    <w:rsid w:val="580D7D82"/>
    <w:rsid w:val="58235328"/>
    <w:rsid w:val="58E01529"/>
    <w:rsid w:val="58FF0ED5"/>
    <w:rsid w:val="5926565A"/>
    <w:rsid w:val="59465093"/>
    <w:rsid w:val="598E66C5"/>
    <w:rsid w:val="59910215"/>
    <w:rsid w:val="599528A7"/>
    <w:rsid w:val="59A009E7"/>
    <w:rsid w:val="59A97E6A"/>
    <w:rsid w:val="59BE23DB"/>
    <w:rsid w:val="59D07793"/>
    <w:rsid w:val="59EB56FF"/>
    <w:rsid w:val="59F70789"/>
    <w:rsid w:val="59FA400E"/>
    <w:rsid w:val="5A0A6826"/>
    <w:rsid w:val="5A180675"/>
    <w:rsid w:val="5A1839CC"/>
    <w:rsid w:val="5A26505E"/>
    <w:rsid w:val="5A5C5ECC"/>
    <w:rsid w:val="5A776550"/>
    <w:rsid w:val="5A8C3E5C"/>
    <w:rsid w:val="5AA83BA0"/>
    <w:rsid w:val="5AAC7C87"/>
    <w:rsid w:val="5BB36650"/>
    <w:rsid w:val="5BB662D5"/>
    <w:rsid w:val="5BBA74AC"/>
    <w:rsid w:val="5C0A0310"/>
    <w:rsid w:val="5C26338F"/>
    <w:rsid w:val="5C5B2F14"/>
    <w:rsid w:val="5C890A5F"/>
    <w:rsid w:val="5C9826E9"/>
    <w:rsid w:val="5C9C22BD"/>
    <w:rsid w:val="5D16122F"/>
    <w:rsid w:val="5D741A05"/>
    <w:rsid w:val="5D893D89"/>
    <w:rsid w:val="5D9A15EF"/>
    <w:rsid w:val="5D9C1156"/>
    <w:rsid w:val="5DF744B9"/>
    <w:rsid w:val="5E196F30"/>
    <w:rsid w:val="5E6170C1"/>
    <w:rsid w:val="5E7B72A3"/>
    <w:rsid w:val="5E83276C"/>
    <w:rsid w:val="5E9E44A2"/>
    <w:rsid w:val="5F337935"/>
    <w:rsid w:val="5F4B0511"/>
    <w:rsid w:val="5F4D5C1D"/>
    <w:rsid w:val="5F7B1280"/>
    <w:rsid w:val="5FC1162D"/>
    <w:rsid w:val="5FC17177"/>
    <w:rsid w:val="5FCF0239"/>
    <w:rsid w:val="5FFD791E"/>
    <w:rsid w:val="60027041"/>
    <w:rsid w:val="601A452C"/>
    <w:rsid w:val="601C01CD"/>
    <w:rsid w:val="60492A6B"/>
    <w:rsid w:val="606C02F9"/>
    <w:rsid w:val="60706A22"/>
    <w:rsid w:val="607628A1"/>
    <w:rsid w:val="608A3F50"/>
    <w:rsid w:val="60BF5BC6"/>
    <w:rsid w:val="60E80782"/>
    <w:rsid w:val="60ED0144"/>
    <w:rsid w:val="610B4A3B"/>
    <w:rsid w:val="61654877"/>
    <w:rsid w:val="61963A90"/>
    <w:rsid w:val="61D43510"/>
    <w:rsid w:val="61F7343F"/>
    <w:rsid w:val="621A29E9"/>
    <w:rsid w:val="62253371"/>
    <w:rsid w:val="62590D29"/>
    <w:rsid w:val="62F6339C"/>
    <w:rsid w:val="62FE3EF7"/>
    <w:rsid w:val="63351CAA"/>
    <w:rsid w:val="63540BC2"/>
    <w:rsid w:val="63671F38"/>
    <w:rsid w:val="63815BF0"/>
    <w:rsid w:val="639C631E"/>
    <w:rsid w:val="63BD1AE0"/>
    <w:rsid w:val="63BE2526"/>
    <w:rsid w:val="64100300"/>
    <w:rsid w:val="6468651B"/>
    <w:rsid w:val="648275DD"/>
    <w:rsid w:val="6483377F"/>
    <w:rsid w:val="64F571DD"/>
    <w:rsid w:val="659636C8"/>
    <w:rsid w:val="65970274"/>
    <w:rsid w:val="65A72E8C"/>
    <w:rsid w:val="65D9346B"/>
    <w:rsid w:val="65F35452"/>
    <w:rsid w:val="65F446E9"/>
    <w:rsid w:val="66173D55"/>
    <w:rsid w:val="664C47A8"/>
    <w:rsid w:val="6677449E"/>
    <w:rsid w:val="668A1206"/>
    <w:rsid w:val="66954F1E"/>
    <w:rsid w:val="66BD1751"/>
    <w:rsid w:val="66F90123"/>
    <w:rsid w:val="67056130"/>
    <w:rsid w:val="672E57FA"/>
    <w:rsid w:val="67694278"/>
    <w:rsid w:val="677551D7"/>
    <w:rsid w:val="67AE41F6"/>
    <w:rsid w:val="67DA14DE"/>
    <w:rsid w:val="68126ECA"/>
    <w:rsid w:val="681712F8"/>
    <w:rsid w:val="683C270D"/>
    <w:rsid w:val="6849391E"/>
    <w:rsid w:val="684A6664"/>
    <w:rsid w:val="68564138"/>
    <w:rsid w:val="68650763"/>
    <w:rsid w:val="687B31CC"/>
    <w:rsid w:val="688F1A34"/>
    <w:rsid w:val="68B22D12"/>
    <w:rsid w:val="68C30CC1"/>
    <w:rsid w:val="695113D8"/>
    <w:rsid w:val="697266DE"/>
    <w:rsid w:val="697D65C5"/>
    <w:rsid w:val="69960980"/>
    <w:rsid w:val="699B4CCF"/>
    <w:rsid w:val="69C9327F"/>
    <w:rsid w:val="69E32BA8"/>
    <w:rsid w:val="6A5533E2"/>
    <w:rsid w:val="6A9035C7"/>
    <w:rsid w:val="6AAF493A"/>
    <w:rsid w:val="6AB452AD"/>
    <w:rsid w:val="6AE12B83"/>
    <w:rsid w:val="6AFD6B71"/>
    <w:rsid w:val="6B0065E5"/>
    <w:rsid w:val="6B0303F0"/>
    <w:rsid w:val="6B0A7F0E"/>
    <w:rsid w:val="6B2807B2"/>
    <w:rsid w:val="6B28227B"/>
    <w:rsid w:val="6B511AB7"/>
    <w:rsid w:val="6B7D0485"/>
    <w:rsid w:val="6B7E4104"/>
    <w:rsid w:val="6C0B1C95"/>
    <w:rsid w:val="6C1E07E1"/>
    <w:rsid w:val="6C3E451D"/>
    <w:rsid w:val="6C57294A"/>
    <w:rsid w:val="6C58248B"/>
    <w:rsid w:val="6C68196A"/>
    <w:rsid w:val="6C787517"/>
    <w:rsid w:val="6C9226C1"/>
    <w:rsid w:val="6CAD74DD"/>
    <w:rsid w:val="6CC47AD8"/>
    <w:rsid w:val="6CC55956"/>
    <w:rsid w:val="6CF9345D"/>
    <w:rsid w:val="6D107A6E"/>
    <w:rsid w:val="6D2D3750"/>
    <w:rsid w:val="6D555BFE"/>
    <w:rsid w:val="6D60076F"/>
    <w:rsid w:val="6D694D90"/>
    <w:rsid w:val="6DD013EE"/>
    <w:rsid w:val="6E184B0E"/>
    <w:rsid w:val="6E2032D0"/>
    <w:rsid w:val="6E4D5003"/>
    <w:rsid w:val="6E8E55A1"/>
    <w:rsid w:val="6EA5737A"/>
    <w:rsid w:val="6ECB6C27"/>
    <w:rsid w:val="6EEB3C07"/>
    <w:rsid w:val="6F7055B1"/>
    <w:rsid w:val="6F923F5D"/>
    <w:rsid w:val="6FD66A2F"/>
    <w:rsid w:val="6FDB5DF3"/>
    <w:rsid w:val="6FEA6A0C"/>
    <w:rsid w:val="6FFE5F86"/>
    <w:rsid w:val="70310B59"/>
    <w:rsid w:val="70995DAC"/>
    <w:rsid w:val="70BC654D"/>
    <w:rsid w:val="70F8508B"/>
    <w:rsid w:val="710424FF"/>
    <w:rsid w:val="710E548C"/>
    <w:rsid w:val="71351C2D"/>
    <w:rsid w:val="719930FD"/>
    <w:rsid w:val="719B34F1"/>
    <w:rsid w:val="71A67290"/>
    <w:rsid w:val="71CC633B"/>
    <w:rsid w:val="71D31DA9"/>
    <w:rsid w:val="725537D3"/>
    <w:rsid w:val="72D15107"/>
    <w:rsid w:val="72E454D7"/>
    <w:rsid w:val="72E50C9D"/>
    <w:rsid w:val="72E5220E"/>
    <w:rsid w:val="72EE5140"/>
    <w:rsid w:val="73131F38"/>
    <w:rsid w:val="734B66B7"/>
    <w:rsid w:val="736911B5"/>
    <w:rsid w:val="738E7F6B"/>
    <w:rsid w:val="73A15E9F"/>
    <w:rsid w:val="744901C5"/>
    <w:rsid w:val="74545547"/>
    <w:rsid w:val="747131CA"/>
    <w:rsid w:val="747B4ABC"/>
    <w:rsid w:val="74940C4C"/>
    <w:rsid w:val="74B043D5"/>
    <w:rsid w:val="74DE723F"/>
    <w:rsid w:val="75287D2D"/>
    <w:rsid w:val="752B7ECA"/>
    <w:rsid w:val="75474B87"/>
    <w:rsid w:val="75723C09"/>
    <w:rsid w:val="758846D4"/>
    <w:rsid w:val="759B31E6"/>
    <w:rsid w:val="75A40FC9"/>
    <w:rsid w:val="75BF63EA"/>
    <w:rsid w:val="75D43A11"/>
    <w:rsid w:val="75F257F1"/>
    <w:rsid w:val="76041807"/>
    <w:rsid w:val="761154E0"/>
    <w:rsid w:val="7646350F"/>
    <w:rsid w:val="764E32E3"/>
    <w:rsid w:val="76535E0F"/>
    <w:rsid w:val="76635DC4"/>
    <w:rsid w:val="76D132BF"/>
    <w:rsid w:val="76D91624"/>
    <w:rsid w:val="76EB3606"/>
    <w:rsid w:val="76EE1DB1"/>
    <w:rsid w:val="76EE2FDF"/>
    <w:rsid w:val="76FC57EB"/>
    <w:rsid w:val="77193E72"/>
    <w:rsid w:val="77334A1F"/>
    <w:rsid w:val="773F310C"/>
    <w:rsid w:val="77501FC8"/>
    <w:rsid w:val="776D5ECB"/>
    <w:rsid w:val="77763C02"/>
    <w:rsid w:val="77797A8C"/>
    <w:rsid w:val="777F175A"/>
    <w:rsid w:val="77B40BAF"/>
    <w:rsid w:val="77B43AFA"/>
    <w:rsid w:val="77ED700C"/>
    <w:rsid w:val="780104AA"/>
    <w:rsid w:val="78097CE9"/>
    <w:rsid w:val="78601E7D"/>
    <w:rsid w:val="789E20B4"/>
    <w:rsid w:val="78A76502"/>
    <w:rsid w:val="78C53AE4"/>
    <w:rsid w:val="79541EC0"/>
    <w:rsid w:val="79576DDD"/>
    <w:rsid w:val="79713A02"/>
    <w:rsid w:val="79873A72"/>
    <w:rsid w:val="79BA313A"/>
    <w:rsid w:val="79D25443"/>
    <w:rsid w:val="79EA3C2E"/>
    <w:rsid w:val="79FD4EAF"/>
    <w:rsid w:val="7A100D8F"/>
    <w:rsid w:val="7A281358"/>
    <w:rsid w:val="7A583ACB"/>
    <w:rsid w:val="7A7E3E1D"/>
    <w:rsid w:val="7A83640D"/>
    <w:rsid w:val="7A9B68AB"/>
    <w:rsid w:val="7AB30C9A"/>
    <w:rsid w:val="7AC819CA"/>
    <w:rsid w:val="7AE475C4"/>
    <w:rsid w:val="7AEB0F15"/>
    <w:rsid w:val="7AEE5FD0"/>
    <w:rsid w:val="7AEF353D"/>
    <w:rsid w:val="7B1E17D6"/>
    <w:rsid w:val="7B4D4EAA"/>
    <w:rsid w:val="7B6E1C75"/>
    <w:rsid w:val="7B914152"/>
    <w:rsid w:val="7BC24813"/>
    <w:rsid w:val="7BFA557D"/>
    <w:rsid w:val="7C027C80"/>
    <w:rsid w:val="7C376AA7"/>
    <w:rsid w:val="7C692875"/>
    <w:rsid w:val="7C8E41ED"/>
    <w:rsid w:val="7CC460D9"/>
    <w:rsid w:val="7D17343E"/>
    <w:rsid w:val="7D2232B3"/>
    <w:rsid w:val="7D4168D5"/>
    <w:rsid w:val="7DC60BF7"/>
    <w:rsid w:val="7DDA3B8E"/>
    <w:rsid w:val="7DEA5D17"/>
    <w:rsid w:val="7DF45A13"/>
    <w:rsid w:val="7DF87600"/>
    <w:rsid w:val="7E132A6B"/>
    <w:rsid w:val="7E370FE0"/>
    <w:rsid w:val="7E60325B"/>
    <w:rsid w:val="7E6265E4"/>
    <w:rsid w:val="7ED357E8"/>
    <w:rsid w:val="7EDC1B9E"/>
    <w:rsid w:val="7EF81461"/>
    <w:rsid w:val="7EF919FF"/>
    <w:rsid w:val="7EFB3E5E"/>
    <w:rsid w:val="7F2102C4"/>
    <w:rsid w:val="7F865318"/>
    <w:rsid w:val="7FCD6F00"/>
    <w:rsid w:val="7FD90BC0"/>
    <w:rsid w:val="7FDE3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6"/>
    <w:qFormat/>
    <w:uiPriority w:val="0"/>
    <w:pPr>
      <w:keepNext/>
      <w:snapToGrid w:val="0"/>
      <w:spacing w:line="360" w:lineRule="atLeast"/>
      <w:outlineLvl w:val="0"/>
    </w:pPr>
    <w:rPr>
      <w:rFonts w:ascii="宋体"/>
    </w:rPr>
  </w:style>
  <w:style w:type="paragraph" w:styleId="3">
    <w:name w:val="heading 2"/>
    <w:basedOn w:val="1"/>
    <w:next w:val="1"/>
    <w:link w:val="7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5"/>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7"/>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8"/>
    <w:qFormat/>
    <w:uiPriority w:val="0"/>
  </w:style>
  <w:style w:type="paragraph" w:styleId="33">
    <w:name w:val="Body Text Indent 2"/>
    <w:basedOn w:val="1"/>
    <w:link w:val="79"/>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next w:val="36"/>
    <w:qFormat/>
    <w:uiPriority w:val="0"/>
    <w:pPr>
      <w:tabs>
        <w:tab w:val="center" w:pos="4153"/>
        <w:tab w:val="right" w:pos="8306"/>
      </w:tabs>
      <w:snapToGrid w:val="0"/>
      <w:jc w:val="left"/>
    </w:pPr>
    <w:rPr>
      <w:sz w:val="18"/>
    </w:rPr>
  </w:style>
  <w:style w:type="paragraph" w:customStyle="1" w:styleId="36">
    <w:name w:val="索引 51"/>
    <w:basedOn w:val="1"/>
    <w:next w:val="1"/>
    <w:qFormat/>
    <w:uiPriority w:val="0"/>
    <w:pPr>
      <w:ind w:left="1680"/>
    </w:pPr>
  </w:style>
  <w:style w:type="paragraph" w:styleId="37">
    <w:name w:val="envelope return"/>
    <w:basedOn w:val="1"/>
    <w:qFormat/>
    <w:uiPriority w:val="0"/>
    <w:pPr>
      <w:snapToGrid w:val="0"/>
    </w:pPr>
    <w:rPr>
      <w:rFonts w:ascii="Arial" w:hAnsi="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80"/>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19"/>
    <w:next w:val="19"/>
    <w:link w:val="81"/>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3"/>
    <w:link w:val="82"/>
    <w:qFormat/>
    <w:uiPriority w:val="0"/>
    <w:pPr>
      <w:spacing w:after="120" w:line="240" w:lineRule="auto"/>
      <w:ind w:left="420" w:leftChars="200" w:firstLine="420" w:firstLineChars="200"/>
    </w:pPr>
  </w:style>
  <w:style w:type="table" w:styleId="60">
    <w:name w:val="Table Grid"/>
    <w:basedOn w:val="5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basedOn w:val="61"/>
    <w:qFormat/>
    <w:uiPriority w:val="0"/>
    <w:rPr>
      <w:b/>
      <w:bCs/>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basedOn w:val="61"/>
    <w:qFormat/>
    <w:uiPriority w:val="0"/>
  </w:style>
  <w:style w:type="character" w:styleId="66">
    <w:name w:val="HTML Definition"/>
    <w:basedOn w:val="61"/>
    <w:semiHidden/>
    <w:unhideWhenUsed/>
    <w:qFormat/>
    <w:uiPriority w:val="99"/>
    <w:rPr>
      <w:i/>
      <w:iCs/>
    </w:rPr>
  </w:style>
  <w:style w:type="character" w:styleId="67">
    <w:name w:val="Hyperlink"/>
    <w:qFormat/>
    <w:uiPriority w:val="99"/>
    <w:rPr>
      <w:color w:val="0000FF"/>
      <w:u w:val="single"/>
    </w:rPr>
  </w:style>
  <w:style w:type="character" w:styleId="68">
    <w:name w:val="HTML Code"/>
    <w:basedOn w:val="61"/>
    <w:semiHidden/>
    <w:unhideWhenUsed/>
    <w:qFormat/>
    <w:uiPriority w:val="99"/>
    <w:rPr>
      <w:rFonts w:hint="default" w:ascii="Consolas" w:hAnsi="Consolas" w:eastAsia="Consolas" w:cs="Consolas"/>
      <w:color w:val="C7254E"/>
      <w:sz w:val="21"/>
      <w:szCs w:val="21"/>
      <w:shd w:val="clear" w:fill="F9F2F4"/>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character" w:styleId="71">
    <w:name w:val="HTML Keyboard"/>
    <w:basedOn w:val="61"/>
    <w:semiHidden/>
    <w:unhideWhenUsed/>
    <w:qFormat/>
    <w:uiPriority w:val="99"/>
    <w:rPr>
      <w:rFonts w:ascii="Consolas" w:hAnsi="Consolas" w:eastAsia="Consolas" w:cs="Consolas"/>
      <w:color w:val="FFFFFF"/>
      <w:sz w:val="21"/>
      <w:szCs w:val="21"/>
      <w:shd w:val="clear" w:fill="333333"/>
    </w:rPr>
  </w:style>
  <w:style w:type="character" w:styleId="72">
    <w:name w:val="HTML Sample"/>
    <w:basedOn w:val="61"/>
    <w:semiHidden/>
    <w:unhideWhenUsed/>
    <w:qFormat/>
    <w:uiPriority w:val="99"/>
    <w:rPr>
      <w:rFonts w:hint="default" w:ascii="Consolas" w:hAnsi="Consolas" w:eastAsia="Consolas" w:cs="Consolas"/>
      <w:sz w:val="21"/>
      <w:szCs w:val="21"/>
    </w:rPr>
  </w:style>
  <w:style w:type="paragraph" w:customStyle="1" w:styleId="7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4">
    <w:name w:val="标题 2 Char"/>
    <w:link w:val="3"/>
    <w:qFormat/>
    <w:uiPriority w:val="0"/>
    <w:rPr>
      <w:rFonts w:ascii="Arial" w:hAnsi="Arial" w:eastAsia="黑体"/>
      <w:b/>
      <w:kern w:val="2"/>
      <w:sz w:val="32"/>
    </w:rPr>
  </w:style>
  <w:style w:type="character" w:customStyle="1" w:styleId="75">
    <w:name w:val="标题 3 Char"/>
    <w:link w:val="4"/>
    <w:qFormat/>
    <w:uiPriority w:val="0"/>
    <w:rPr>
      <w:rFonts w:eastAsia="宋体"/>
      <w:b/>
      <w:kern w:val="2"/>
      <w:sz w:val="32"/>
      <w:lang w:val="en-US" w:eastAsia="zh-CN"/>
    </w:rPr>
  </w:style>
  <w:style w:type="character" w:customStyle="1" w:styleId="76">
    <w:name w:val="批注文字 Char"/>
    <w:link w:val="19"/>
    <w:qFormat/>
    <w:uiPriority w:val="0"/>
    <w:rPr>
      <w:sz w:val="24"/>
    </w:rPr>
  </w:style>
  <w:style w:type="character" w:customStyle="1" w:styleId="77">
    <w:name w:val="正文文本缩进 Char"/>
    <w:link w:val="23"/>
    <w:qFormat/>
    <w:uiPriority w:val="0"/>
    <w:rPr>
      <w:kern w:val="2"/>
      <w:sz w:val="44"/>
    </w:rPr>
  </w:style>
  <w:style w:type="character" w:customStyle="1" w:styleId="78">
    <w:name w:val="日期 Char"/>
    <w:link w:val="32"/>
    <w:qFormat/>
    <w:uiPriority w:val="0"/>
    <w:rPr>
      <w:kern w:val="2"/>
      <w:sz w:val="28"/>
    </w:rPr>
  </w:style>
  <w:style w:type="character" w:customStyle="1" w:styleId="79">
    <w:name w:val="正文文本缩进 2 Char"/>
    <w:link w:val="33"/>
    <w:qFormat/>
    <w:uiPriority w:val="0"/>
    <w:rPr>
      <w:kern w:val="2"/>
      <w:sz w:val="28"/>
    </w:rPr>
  </w:style>
  <w:style w:type="character" w:customStyle="1" w:styleId="80">
    <w:name w:val="脚注文本 Char"/>
    <w:link w:val="42"/>
    <w:qFormat/>
    <w:uiPriority w:val="0"/>
    <w:rPr>
      <w:kern w:val="2"/>
      <w:sz w:val="18"/>
    </w:rPr>
  </w:style>
  <w:style w:type="character" w:customStyle="1" w:styleId="81">
    <w:name w:val="批注主题 Char"/>
    <w:link w:val="56"/>
    <w:qFormat/>
    <w:uiPriority w:val="0"/>
  </w:style>
  <w:style w:type="character" w:customStyle="1" w:styleId="82">
    <w:name w:val="正文首行缩进 2 Char"/>
    <w:link w:val="58"/>
    <w:qFormat/>
    <w:uiPriority w:val="0"/>
  </w:style>
  <w:style w:type="character" w:customStyle="1" w:styleId="83">
    <w:name w:val="未命名11"/>
    <w:qFormat/>
    <w:uiPriority w:val="0"/>
    <w:rPr>
      <w:color w:val="77FFFF"/>
      <w:sz w:val="24"/>
    </w:rPr>
  </w:style>
  <w:style w:type="character" w:customStyle="1" w:styleId="84">
    <w:name w:val="H2 Char"/>
    <w:qFormat/>
    <w:uiPriority w:val="0"/>
    <w:rPr>
      <w:rFonts w:ascii="Arial" w:hAnsi="Arial" w:eastAsia="宋体"/>
      <w:kern w:val="2"/>
      <w:sz w:val="28"/>
      <w:lang w:val="en-US" w:eastAsia="zh-CN"/>
    </w:rPr>
  </w:style>
  <w:style w:type="character" w:customStyle="1" w:styleId="85">
    <w:name w:val="样式 宋体"/>
    <w:qFormat/>
    <w:uiPriority w:val="0"/>
    <w:rPr>
      <w:rFonts w:ascii="宋体" w:hAnsi="宋体" w:eastAsia="宋体"/>
      <w:sz w:val="28"/>
    </w:rPr>
  </w:style>
  <w:style w:type="character" w:customStyle="1" w:styleId="86">
    <w:name w:val="content-white1"/>
    <w:qFormat/>
    <w:uiPriority w:val="0"/>
    <w:rPr>
      <w:rFonts w:ascii="_x000B__x000C_" w:hAnsi="_x000B__x000C_"/>
      <w:color w:val="auto"/>
      <w:sz w:val="18"/>
      <w:u w:val="none"/>
    </w:rPr>
  </w:style>
  <w:style w:type="character" w:customStyle="1" w:styleId="87">
    <w:name w:val="title_emph1"/>
    <w:qFormat/>
    <w:uiPriority w:val="0"/>
    <w:rPr>
      <w:rFonts w:hint="default" w:ascii="Arial" w:hAnsi="Arial"/>
      <w:b/>
      <w:sz w:val="20"/>
    </w:rPr>
  </w:style>
  <w:style w:type="character" w:customStyle="1" w:styleId="88">
    <w:name w:val="正文 + 三号 Char"/>
    <w:qFormat/>
    <w:uiPriority w:val="0"/>
    <w:rPr>
      <w:rFonts w:eastAsia="宋体"/>
      <w:kern w:val="2"/>
      <w:sz w:val="21"/>
      <w:lang w:val="en-US" w:eastAsia="zh-CN"/>
    </w:rPr>
  </w:style>
  <w:style w:type="character" w:customStyle="1" w:styleId="89">
    <w:name w:val="Char Char11"/>
    <w:qFormat/>
    <w:uiPriority w:val="0"/>
    <w:rPr>
      <w:rFonts w:ascii="宋体"/>
      <w:kern w:val="2"/>
      <w:sz w:val="28"/>
    </w:rPr>
  </w:style>
  <w:style w:type="character" w:customStyle="1" w:styleId="90">
    <w:name w:val="列出段落 Char"/>
    <w:link w:val="91"/>
    <w:qFormat/>
    <w:uiPriority w:val="0"/>
  </w:style>
  <w:style w:type="paragraph" w:styleId="91">
    <w:name w:val="List Paragraph"/>
    <w:basedOn w:val="1"/>
    <w:link w:val="90"/>
    <w:qFormat/>
    <w:uiPriority w:val="0"/>
    <w:pPr>
      <w:widowControl/>
      <w:ind w:firstLine="420" w:firstLineChars="200"/>
      <w:jc w:val="left"/>
    </w:pPr>
  </w:style>
  <w:style w:type="character" w:customStyle="1" w:styleId="92">
    <w:name w:val="文字 Char Char"/>
    <w:link w:val="93"/>
    <w:qFormat/>
    <w:uiPriority w:val="0"/>
    <w:rPr>
      <w:rFonts w:ascii="宋体"/>
      <w:kern w:val="2"/>
      <w:sz w:val="28"/>
    </w:rPr>
  </w:style>
  <w:style w:type="paragraph" w:customStyle="1" w:styleId="93">
    <w:name w:val="文字"/>
    <w:basedOn w:val="1"/>
    <w:link w:val="92"/>
    <w:qFormat/>
    <w:uiPriority w:val="0"/>
    <w:pPr>
      <w:tabs>
        <w:tab w:val="left" w:pos="8520"/>
      </w:tabs>
      <w:spacing w:line="312" w:lineRule="auto"/>
      <w:ind w:right="-210" w:firstLine="556"/>
    </w:pPr>
    <w:rPr>
      <w:rFonts w:ascii="宋体"/>
    </w:rPr>
  </w:style>
  <w:style w:type="character" w:customStyle="1" w:styleId="94">
    <w:name w:val="top-det1"/>
    <w:qFormat/>
    <w:uiPriority w:val="0"/>
    <w:rPr>
      <w:b/>
      <w:color w:val="000000"/>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Table Text Char1 Char Char"/>
    <w:qFormat/>
    <w:uiPriority w:val="0"/>
    <w:rPr>
      <w:rFonts w:ascii="Arial" w:hAnsi="Arial"/>
      <w:kern w:val="2"/>
      <w:sz w:val="18"/>
      <w:lang w:val="en-US" w:eastAsia="zh-CN" w:bidi="ar-SA"/>
    </w:rPr>
  </w:style>
  <w:style w:type="character" w:customStyle="1" w:styleId="97">
    <w:name w:val="Char Char7"/>
    <w:qFormat/>
    <w:uiPriority w:val="0"/>
    <w:rPr>
      <w:rFonts w:ascii="宋体" w:hAnsi="宋体" w:eastAsia="宋体"/>
      <w:kern w:val="2"/>
      <w:sz w:val="28"/>
    </w:rPr>
  </w:style>
  <w:style w:type="character" w:customStyle="1" w:styleId="98">
    <w:name w:val="小 Char"/>
    <w:qFormat/>
    <w:uiPriority w:val="0"/>
    <w:rPr>
      <w:rFonts w:ascii="宋体" w:hAnsi="Courier New" w:eastAsia="宋体"/>
      <w:kern w:val="2"/>
      <w:sz w:val="21"/>
      <w:lang w:val="en-US" w:eastAsia="zh-CN" w:bidi="ar-SA"/>
    </w:rPr>
  </w:style>
  <w:style w:type="character" w:customStyle="1" w:styleId="99">
    <w:name w:val="Char Char4"/>
    <w:qFormat/>
    <w:uiPriority w:val="0"/>
    <w:rPr>
      <w:rFonts w:eastAsia="宋体"/>
      <w:b/>
      <w:kern w:val="2"/>
      <w:sz w:val="21"/>
      <w:lang w:val="en-US" w:eastAsia="zh-CN"/>
    </w:rPr>
  </w:style>
  <w:style w:type="character" w:customStyle="1" w:styleId="100">
    <w:name w:val="crowed11"/>
    <w:qFormat/>
    <w:uiPriority w:val="0"/>
    <w:rPr>
      <w:rFonts w:hint="default" w:ascii="_x000B__x000C_" w:hAnsi="_x000B__x000C_"/>
      <w:sz w:val="24"/>
    </w:rPr>
  </w:style>
  <w:style w:type="character" w:customStyle="1" w:styleId="101">
    <w:name w:val="Char Char3"/>
    <w:qFormat/>
    <w:uiPriority w:val="0"/>
    <w:rPr>
      <w:rFonts w:eastAsia="宋体"/>
      <w:kern w:val="2"/>
      <w:sz w:val="18"/>
      <w:lang w:val="en-US" w:eastAsia="zh-CN"/>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标书正文:  0.74 厘米 Char1"/>
    <w:qFormat/>
    <w:uiPriority w:val="0"/>
    <w:rPr>
      <w:rFonts w:eastAsia="宋体"/>
      <w:kern w:val="2"/>
      <w:sz w:val="24"/>
      <w:lang w:val="en-US" w:eastAsia="zh-CN"/>
    </w:rPr>
  </w:style>
  <w:style w:type="character" w:customStyle="1" w:styleId="104">
    <w:name w:val="Char Char6"/>
    <w:qFormat/>
    <w:uiPriority w:val="0"/>
    <w:rPr>
      <w:rFonts w:ascii="仿宋_GB2312" w:eastAsia="仿宋_GB2312"/>
      <w:kern w:val="2"/>
      <w:sz w:val="32"/>
    </w:rPr>
  </w:style>
  <w:style w:type="character" w:customStyle="1" w:styleId="105">
    <w:name w:val="v151"/>
    <w:qFormat/>
    <w:uiPriority w:val="0"/>
    <w:rPr>
      <w:sz w:val="18"/>
    </w:rPr>
  </w:style>
  <w:style w:type="character" w:customStyle="1" w:styleId="106">
    <w:name w:val="font1"/>
    <w:qFormat/>
    <w:uiPriority w:val="0"/>
    <w:rPr>
      <w:color w:val="000000"/>
      <w:sz w:val="18"/>
    </w:rPr>
  </w:style>
  <w:style w:type="character" w:customStyle="1" w:styleId="107">
    <w:name w:val="Table Text Char Char Char Char"/>
    <w:link w:val="108"/>
    <w:qFormat/>
    <w:uiPriority w:val="0"/>
    <w:rPr>
      <w:rFonts w:ascii="Arial" w:hAnsi="Arial"/>
      <w:kern w:val="2"/>
      <w:sz w:val="18"/>
      <w:lang w:val="en-US" w:eastAsia="zh-CN" w:bidi="ar-SA"/>
    </w:rPr>
  </w:style>
  <w:style w:type="paragraph" w:customStyle="1" w:styleId="108">
    <w:name w:val="Table Text"/>
    <w:link w:val="107"/>
    <w:qFormat/>
    <w:uiPriority w:val="0"/>
    <w:pPr>
      <w:snapToGrid w:val="0"/>
      <w:spacing w:before="80" w:after="80"/>
    </w:pPr>
    <w:rPr>
      <w:rFonts w:ascii="Arial" w:hAnsi="Arial" w:eastAsia="宋体" w:cs="Times New Roman"/>
      <w:kern w:val="2"/>
      <w:sz w:val="18"/>
      <w:lang w:val="en-US" w:eastAsia="zh-CN" w:bidi="ar-SA"/>
    </w:rPr>
  </w:style>
  <w:style w:type="character" w:customStyle="1" w:styleId="109">
    <w:name w:val="Char Char2"/>
    <w:qFormat/>
    <w:uiPriority w:val="0"/>
    <w:rPr>
      <w:rFonts w:eastAsia="宋体"/>
      <w:kern w:val="2"/>
      <w:sz w:val="18"/>
      <w:lang w:val="en-US" w:eastAsia="zh-CN"/>
    </w:rPr>
  </w:style>
  <w:style w:type="character" w:customStyle="1" w:styleId="110">
    <w:name w:val="Char Char Char Char Char Char Char Char Char"/>
    <w:qFormat/>
    <w:uiPriority w:val="0"/>
    <w:rPr>
      <w:rFonts w:ascii="宋体" w:hAnsi="宋体" w:eastAsia="宋体"/>
      <w:kern w:val="2"/>
      <w:sz w:val="24"/>
      <w:lang w:val="en-US" w:eastAsia="zh-CN" w:bidi="ar-SA"/>
    </w:rPr>
  </w:style>
  <w:style w:type="paragraph" w:customStyle="1" w:styleId="11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4">
    <w:name w:val="图片文字"/>
    <w:basedOn w:val="1"/>
    <w:qFormat/>
    <w:uiPriority w:val="0"/>
    <w:pPr>
      <w:spacing w:line="240" w:lineRule="atLeast"/>
      <w:jc w:val="center"/>
    </w:pPr>
    <w:rPr>
      <w:sz w:val="21"/>
    </w:rPr>
  </w:style>
  <w:style w:type="paragraph" w:customStyle="1" w:styleId="115">
    <w:name w:val="默认段落字体 Para Char Char Char Char Char Char Char Char Char1 Char Char Char Char"/>
    <w:basedOn w:val="1"/>
    <w:qFormat/>
    <w:uiPriority w:val="0"/>
    <w:rPr>
      <w:rFonts w:ascii="Tahoma" w:hAnsi="Tahoma"/>
      <w:sz w:val="24"/>
    </w:rPr>
  </w:style>
  <w:style w:type="paragraph" w:customStyle="1" w:styleId="116">
    <w:name w:val="Char Char 字元 字元 字元 Char Char Char Char"/>
    <w:basedOn w:val="1"/>
    <w:qFormat/>
    <w:uiPriority w:val="0"/>
    <w:pPr>
      <w:adjustRightInd w:val="0"/>
      <w:spacing w:line="360" w:lineRule="auto"/>
    </w:pPr>
    <w:rPr>
      <w:kern w:val="0"/>
      <w:sz w:val="24"/>
    </w:rPr>
  </w:style>
  <w:style w:type="paragraph" w:customStyle="1" w:styleId="1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正文（首行不缩进）"/>
    <w:basedOn w:val="1"/>
    <w:qFormat/>
    <w:uiPriority w:val="0"/>
    <w:pPr>
      <w:autoSpaceDE w:val="0"/>
      <w:autoSpaceDN w:val="0"/>
      <w:adjustRightInd w:val="0"/>
      <w:spacing w:line="360" w:lineRule="auto"/>
      <w:jc w:val="left"/>
    </w:pPr>
    <w:rPr>
      <w:kern w:val="0"/>
      <w:sz w:val="21"/>
    </w:rPr>
  </w:style>
  <w:style w:type="paragraph" w:customStyle="1" w:styleId="12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1">
    <w:name w:val="表格文本"/>
    <w:qFormat/>
    <w:uiPriority w:val="0"/>
    <w:pPr>
      <w:tabs>
        <w:tab w:val="decimal" w:pos="0"/>
      </w:tabs>
    </w:pPr>
    <w:rPr>
      <w:rFonts w:ascii="Arial" w:hAnsi="Arial" w:eastAsia="宋体" w:cs="Times New Roman"/>
      <w:sz w:val="21"/>
      <w:lang w:val="en-US" w:eastAsia="zh-CN" w:bidi="ar-SA"/>
    </w:rPr>
  </w:style>
  <w:style w:type="paragraph" w:customStyle="1" w:styleId="122">
    <w:name w:val="样式 样式 首行缩进:  2 字符 + 首行缩进:  2 字符"/>
    <w:basedOn w:val="1"/>
    <w:qFormat/>
    <w:uiPriority w:val="0"/>
    <w:pPr>
      <w:numPr>
        <w:ilvl w:val="0"/>
        <w:numId w:val="4"/>
      </w:numPr>
      <w:tabs>
        <w:tab w:val="clear" w:pos="1230"/>
      </w:tabs>
      <w:spacing w:line="360" w:lineRule="auto"/>
      <w:ind w:firstLine="480" w:firstLineChars="200"/>
    </w:pPr>
    <w:rPr>
      <w:sz w:val="24"/>
    </w:rPr>
  </w:style>
  <w:style w:type="paragraph" w:customStyle="1" w:styleId="123">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24">
    <w:name w:val="标准正文"/>
    <w:basedOn w:val="23"/>
    <w:qFormat/>
    <w:uiPriority w:val="0"/>
    <w:pPr>
      <w:spacing w:before="60" w:after="60" w:line="360" w:lineRule="auto"/>
      <w:ind w:left="0" w:firstLine="482"/>
    </w:pPr>
    <w:rPr>
      <w:rFonts w:ascii="Arial" w:hAnsi="Arial"/>
      <w:sz w:val="24"/>
    </w:rPr>
  </w:style>
  <w:style w:type="paragraph" w:customStyle="1" w:styleId="1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Char"/>
    <w:basedOn w:val="1"/>
    <w:qFormat/>
    <w:uiPriority w:val="0"/>
    <w:pPr>
      <w:spacing w:line="240" w:lineRule="atLeast"/>
      <w:ind w:left="420" w:firstLine="420"/>
    </w:pPr>
    <w:rPr>
      <w:kern w:val="0"/>
      <w:sz w:val="21"/>
    </w:rPr>
  </w:style>
  <w:style w:type="paragraph" w:customStyle="1" w:styleId="127">
    <w:name w:val="首行缩进 1"/>
    <w:basedOn w:val="1"/>
    <w:qFormat/>
    <w:uiPriority w:val="0"/>
    <w:pPr>
      <w:spacing w:after="120" w:line="360" w:lineRule="auto"/>
      <w:ind w:firstLine="200" w:firstLineChars="200"/>
    </w:pPr>
    <w:rPr>
      <w:sz w:val="24"/>
    </w:rPr>
  </w:style>
  <w:style w:type="paragraph" w:customStyle="1" w:styleId="12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2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0">
    <w:name w:val="正文文本缩进 21"/>
    <w:basedOn w:val="1"/>
    <w:qFormat/>
    <w:uiPriority w:val="0"/>
    <w:pPr>
      <w:adjustRightInd w:val="0"/>
      <w:spacing w:before="120"/>
      <w:ind w:firstLine="420"/>
      <w:textAlignment w:val="baseline"/>
    </w:pPr>
    <w:rPr>
      <w:sz w:val="24"/>
    </w:rPr>
  </w:style>
  <w:style w:type="paragraph" w:customStyle="1" w:styleId="131">
    <w:name w:val="表文字"/>
    <w:qFormat/>
    <w:uiPriority w:val="0"/>
    <w:rPr>
      <w:rFonts w:ascii="宋体" w:hAnsi="Times New Roman" w:eastAsia="宋体" w:cs="Times New Roman"/>
      <w:kern w:val="2"/>
      <w:lang w:val="en-US" w:eastAsia="zh-CN" w:bidi="ar-SA"/>
    </w:rPr>
  </w:style>
  <w:style w:type="paragraph" w:customStyle="1" w:styleId="13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3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7">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38">
    <w:name w:val="图例"/>
    <w:basedOn w:val="1"/>
    <w:qFormat/>
    <w:uiPriority w:val="0"/>
    <w:pPr>
      <w:spacing w:before="120" w:after="120" w:line="360" w:lineRule="auto"/>
      <w:jc w:val="center"/>
    </w:pPr>
    <w:rPr>
      <w:rFonts w:eastAsia="仿宋_GB2312"/>
      <w:b/>
      <w:sz w:val="24"/>
    </w:rPr>
  </w:style>
  <w:style w:type="paragraph" w:customStyle="1" w:styleId="139">
    <w:name w:val="正文文本 21"/>
    <w:basedOn w:val="1"/>
    <w:qFormat/>
    <w:uiPriority w:val="0"/>
    <w:pPr>
      <w:adjustRightInd w:val="0"/>
      <w:spacing w:before="120" w:line="360" w:lineRule="auto"/>
      <w:ind w:firstLine="480"/>
      <w:textAlignment w:val="baseline"/>
    </w:pPr>
    <w:rPr>
      <w:sz w:val="24"/>
    </w:rPr>
  </w:style>
  <w:style w:type="paragraph" w:customStyle="1" w:styleId="140">
    <w:name w:val="内容标题"/>
    <w:basedOn w:val="17"/>
    <w:qFormat/>
    <w:uiPriority w:val="0"/>
    <w:rPr>
      <w:rFonts w:ascii="Tahoma" w:hAnsi="Tahoma"/>
      <w:sz w:val="24"/>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Table Contents"/>
    <w:basedOn w:val="22"/>
    <w:qFormat/>
    <w:uiPriority w:val="0"/>
    <w:pPr>
      <w:suppressAutoHyphens/>
      <w:jc w:val="left"/>
    </w:pPr>
    <w:rPr>
      <w:rFonts w:ascii="Times New Roman" w:eastAsia="Times New Roman"/>
      <w:kern w:val="0"/>
      <w:sz w:val="24"/>
    </w:rPr>
  </w:style>
  <w:style w:type="paragraph" w:customStyle="1" w:styleId="143">
    <w:name w:val="表头样式"/>
    <w:basedOn w:val="1"/>
    <w:qFormat/>
    <w:uiPriority w:val="0"/>
    <w:pPr>
      <w:autoSpaceDE w:val="0"/>
      <w:autoSpaceDN w:val="0"/>
      <w:adjustRightInd w:val="0"/>
      <w:spacing w:line="360" w:lineRule="auto"/>
      <w:jc w:val="left"/>
    </w:pPr>
    <w:rPr>
      <w:b/>
      <w:kern w:val="0"/>
      <w:sz w:val="21"/>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标题3——2"/>
    <w:basedOn w:val="4"/>
    <w:next w:val="57"/>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46">
    <w:name w:val="Char Char14 Char Char"/>
    <w:basedOn w:val="1"/>
    <w:qFormat/>
    <w:uiPriority w:val="0"/>
    <w:rPr>
      <w:sz w:val="21"/>
      <w:szCs w:val="24"/>
    </w:rPr>
  </w:style>
  <w:style w:type="paragraph" w:customStyle="1" w:styleId="147">
    <w:name w:val="1"/>
    <w:basedOn w:val="1"/>
    <w:next w:val="30"/>
    <w:qFormat/>
    <w:uiPriority w:val="0"/>
    <w:rPr>
      <w:rFonts w:ascii="宋体" w:hAnsi="Courier New"/>
      <w:sz w:val="21"/>
    </w:rPr>
  </w:style>
  <w:style w:type="paragraph" w:customStyle="1" w:styleId="148">
    <w:name w:val="标书正文:  0.74 厘米"/>
    <w:basedOn w:val="1"/>
    <w:qFormat/>
    <w:uiPriority w:val="0"/>
    <w:pPr>
      <w:snapToGrid w:val="0"/>
      <w:spacing w:line="360" w:lineRule="auto"/>
      <w:ind w:firstLine="420"/>
    </w:pPr>
    <w:rPr>
      <w:sz w:val="24"/>
    </w:rPr>
  </w:style>
  <w:style w:type="paragraph" w:customStyle="1" w:styleId="149">
    <w:name w:val="首行缩进"/>
    <w:basedOn w:val="1"/>
    <w:qFormat/>
    <w:uiPriority w:val="0"/>
    <w:pPr>
      <w:numPr>
        <w:ilvl w:val="0"/>
        <w:numId w:val="5"/>
      </w:numPr>
      <w:spacing w:line="360" w:lineRule="auto"/>
    </w:pPr>
    <w:rPr>
      <w:rFonts w:eastAsia="仿宋_GB2312"/>
    </w:rPr>
  </w:style>
  <w:style w:type="paragraph" w:customStyle="1" w:styleId="150">
    <w:name w:val="Char1"/>
    <w:basedOn w:val="1"/>
    <w:qFormat/>
    <w:uiPriority w:val="0"/>
    <w:rPr>
      <w:sz w:val="21"/>
    </w:rPr>
  </w:style>
  <w:style w:type="paragraph" w:customStyle="1" w:styleId="151">
    <w:name w:val="IN Feature"/>
    <w:next w:val="15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53">
    <w:name w:val="样式 宋体 五号 行距: 单倍行距"/>
    <w:basedOn w:val="1"/>
    <w:qFormat/>
    <w:uiPriority w:val="0"/>
    <w:pPr>
      <w:adjustRightInd w:val="0"/>
      <w:jc w:val="left"/>
    </w:pPr>
    <w:rPr>
      <w:rFonts w:ascii="宋体" w:hAnsi="宋体"/>
      <w:kern w:val="0"/>
      <w:sz w:val="21"/>
    </w:rPr>
  </w:style>
  <w:style w:type="paragraph" w:customStyle="1" w:styleId="154">
    <w:name w:val="Title - Revision"/>
    <w:basedOn w:val="55"/>
    <w:qFormat/>
    <w:uiPriority w:val="0"/>
    <w:pPr>
      <w:spacing w:before="720"/>
    </w:pPr>
  </w:style>
  <w:style w:type="paragraph" w:customStyle="1" w:styleId="15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6">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57">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正文 + 三号"/>
    <w:basedOn w:val="1"/>
    <w:qFormat/>
    <w:uiPriority w:val="0"/>
    <w:rPr>
      <w:sz w:val="21"/>
    </w:rPr>
  </w:style>
  <w:style w:type="paragraph" w:customStyle="1" w:styleId="16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61">
    <w:name w:val="样式2"/>
    <w:basedOn w:val="5"/>
    <w:qFormat/>
    <w:uiPriority w:val="0"/>
    <w:pPr>
      <w:numPr>
        <w:ilvl w:val="0"/>
        <w:numId w:val="8"/>
      </w:numPr>
      <w:spacing w:before="560" w:line="400" w:lineRule="exact"/>
      <w:jc w:val="center"/>
      <w:outlineLvl w:val="0"/>
    </w:pPr>
    <w:rPr>
      <w:b w:val="0"/>
      <w:sz w:val="44"/>
    </w:rPr>
  </w:style>
  <w:style w:type="paragraph" w:customStyle="1" w:styleId="162">
    <w:name w:val="文章正文"/>
    <w:basedOn w:val="1"/>
    <w:qFormat/>
    <w:uiPriority w:val="0"/>
    <w:pPr>
      <w:ind w:firstLine="560" w:firstLineChars="200"/>
    </w:pPr>
    <w:rPr>
      <w:rFonts w:ascii="仿宋_GB2312" w:hAnsi="宋体" w:eastAsia="仿宋_GB2312"/>
      <w:color w:val="000000"/>
    </w:rPr>
  </w:style>
  <w:style w:type="paragraph" w:customStyle="1" w:styleId="163">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6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5">
    <w:name w:val="没有缩进（为图形使用）"/>
    <w:basedOn w:val="1"/>
    <w:qFormat/>
    <w:uiPriority w:val="0"/>
    <w:pPr>
      <w:spacing w:before="120" w:after="120" w:line="360" w:lineRule="auto"/>
    </w:pPr>
    <w:rPr>
      <w:sz w:val="24"/>
    </w:rPr>
  </w:style>
  <w:style w:type="paragraph" w:customStyle="1" w:styleId="166">
    <w:name w:val="文本1"/>
    <w:basedOn w:val="1"/>
    <w:qFormat/>
    <w:uiPriority w:val="0"/>
    <w:pPr>
      <w:adjustRightInd w:val="0"/>
      <w:spacing w:line="312" w:lineRule="atLeast"/>
      <w:jc w:val="center"/>
      <w:textAlignment w:val="baseline"/>
    </w:pPr>
    <w:rPr>
      <w:kern w:val="0"/>
      <w:sz w:val="18"/>
    </w:rPr>
  </w:style>
  <w:style w:type="paragraph" w:customStyle="1" w:styleId="167">
    <w:name w:val="Char Char1 Char"/>
    <w:basedOn w:val="1"/>
    <w:qFormat/>
    <w:uiPriority w:val="0"/>
    <w:rPr>
      <w:rFonts w:ascii="Tahoma" w:hAnsi="Tahoma"/>
      <w:sz w:val="24"/>
      <w:szCs w:val="24"/>
    </w:rPr>
  </w:style>
  <w:style w:type="paragraph" w:customStyle="1" w:styleId="16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9">
    <w:name w:val="Char Char Char"/>
    <w:basedOn w:val="1"/>
    <w:qFormat/>
    <w:uiPriority w:val="0"/>
    <w:rPr>
      <w:rFonts w:ascii="Tahoma" w:hAnsi="Tahoma"/>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文本框样式1"/>
    <w:basedOn w:val="1"/>
    <w:qFormat/>
    <w:uiPriority w:val="0"/>
    <w:pPr>
      <w:adjustRightInd w:val="0"/>
      <w:snapToGrid w:val="0"/>
      <w:spacing w:before="60" w:line="180" w:lineRule="exact"/>
      <w:jc w:val="center"/>
    </w:pPr>
    <w:rPr>
      <w:sz w:val="21"/>
    </w:rPr>
  </w:style>
  <w:style w:type="paragraph" w:customStyle="1" w:styleId="172">
    <w:name w:val="Note"/>
    <w:basedOn w:val="1"/>
    <w:qFormat/>
    <w:uiPriority w:val="0"/>
    <w:pPr>
      <w:pBdr>
        <w:top w:val="single" w:color="auto" w:sz="12" w:space="3"/>
        <w:bottom w:val="single" w:color="auto" w:sz="12" w:space="3"/>
      </w:pBdr>
      <w:spacing w:line="360" w:lineRule="auto"/>
    </w:pPr>
    <w:rPr>
      <w:sz w:val="24"/>
    </w:rPr>
  </w:style>
  <w:style w:type="paragraph" w:customStyle="1" w:styleId="173">
    <w:name w:val="二级条标题"/>
    <w:basedOn w:val="174"/>
    <w:next w:val="111"/>
    <w:qFormat/>
    <w:uiPriority w:val="0"/>
    <w:pPr>
      <w:ind w:left="840"/>
      <w:outlineLvl w:val="3"/>
    </w:pPr>
  </w:style>
  <w:style w:type="paragraph" w:customStyle="1" w:styleId="174">
    <w:name w:val="一级条标题"/>
    <w:basedOn w:val="175"/>
    <w:next w:val="111"/>
    <w:qFormat/>
    <w:uiPriority w:val="0"/>
    <w:pPr>
      <w:numPr>
        <w:numId w:val="0"/>
      </w:numPr>
      <w:spacing w:before="0" w:beforeLines="0" w:after="0" w:afterLines="0"/>
      <w:ind w:left="525"/>
      <w:outlineLvl w:val="2"/>
    </w:pPr>
    <w:rPr>
      <w:sz w:val="21"/>
    </w:rPr>
  </w:style>
  <w:style w:type="paragraph" w:customStyle="1" w:styleId="175">
    <w:name w:val="章标题"/>
    <w:next w:val="1"/>
    <w:qFormat/>
    <w:uiPriority w:val="0"/>
    <w:pPr>
      <w:numPr>
        <w:ilvl w:val="1"/>
        <w:numId w:val="9"/>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6">
    <w:name w:val="正文4"/>
    <w:basedOn w:val="1"/>
    <w:qFormat/>
    <w:uiPriority w:val="0"/>
    <w:pPr>
      <w:tabs>
        <w:tab w:val="left" w:pos="1275"/>
      </w:tabs>
      <w:spacing w:before="60" w:after="60" w:line="360" w:lineRule="auto"/>
      <w:ind w:left="820" w:leftChars="400" w:hanging="705"/>
    </w:pPr>
    <w:rPr>
      <w:sz w:val="24"/>
    </w:rPr>
  </w:style>
  <w:style w:type="paragraph" w:customStyle="1" w:styleId="177">
    <w:name w:val="Char1 Char Char Char"/>
    <w:basedOn w:val="1"/>
    <w:qFormat/>
    <w:uiPriority w:val="0"/>
    <w:rPr>
      <w:rFonts w:ascii="Tahoma" w:hAnsi="Tahoma"/>
      <w:sz w:val="30"/>
    </w:rPr>
  </w:style>
  <w:style w:type="paragraph" w:customStyle="1" w:styleId="178">
    <w:name w:val="00"/>
    <w:basedOn w:val="1"/>
    <w:qFormat/>
    <w:uiPriority w:val="0"/>
    <w:pPr>
      <w:autoSpaceDE w:val="0"/>
      <w:autoSpaceDN w:val="0"/>
      <w:adjustRightInd w:val="0"/>
      <w:jc w:val="left"/>
    </w:pPr>
    <w:rPr>
      <w:rFonts w:ascii="黑体" w:eastAsia="黑体"/>
      <w:b/>
      <w:kern w:val="0"/>
      <w:sz w:val="20"/>
    </w:rPr>
  </w:style>
  <w:style w:type="paragraph" w:customStyle="1" w:styleId="17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0">
    <w:name w:val="样式 行距: 1.5 倍行距1"/>
    <w:basedOn w:val="1"/>
    <w:qFormat/>
    <w:uiPriority w:val="0"/>
    <w:pPr>
      <w:snapToGrid w:val="0"/>
    </w:pPr>
    <w:rPr>
      <w:sz w:val="21"/>
    </w:rPr>
  </w:style>
  <w:style w:type="paragraph" w:customStyle="1" w:styleId="181">
    <w:name w:val="样式4"/>
    <w:basedOn w:val="5"/>
    <w:qFormat/>
    <w:uiPriority w:val="0"/>
    <w:pPr>
      <w:adjustRightInd w:val="0"/>
      <w:snapToGrid w:val="0"/>
    </w:pPr>
  </w:style>
  <w:style w:type="paragraph" w:customStyle="1" w:styleId="182">
    <w:name w:val="可研正文"/>
    <w:basedOn w:val="22"/>
    <w:qFormat/>
    <w:uiPriority w:val="0"/>
    <w:pPr>
      <w:adjustRightInd w:val="0"/>
      <w:snapToGrid w:val="0"/>
      <w:spacing w:line="440" w:lineRule="exact"/>
      <w:ind w:firstLine="567"/>
    </w:pPr>
    <w:rPr>
      <w:sz w:val="28"/>
    </w:rPr>
  </w:style>
  <w:style w:type="paragraph" w:customStyle="1" w:styleId="18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4">
    <w:name w:val="Char Char Char Char Char"/>
    <w:basedOn w:val="1"/>
    <w:qFormat/>
    <w:uiPriority w:val="0"/>
    <w:pPr>
      <w:numPr>
        <w:ilvl w:val="0"/>
        <w:numId w:val="10"/>
      </w:numPr>
      <w:tabs>
        <w:tab w:val="left" w:pos="425"/>
        <w:tab w:val="clear" w:pos="1620"/>
      </w:tabs>
    </w:pPr>
    <w:rPr>
      <w:rFonts w:ascii="Tahoma" w:hAnsi="Tahoma"/>
      <w:sz w:val="24"/>
    </w:rPr>
  </w:style>
  <w:style w:type="paragraph" w:customStyle="1" w:styleId="18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86">
    <w:name w:val="关键词"/>
    <w:basedOn w:val="1"/>
    <w:next w:val="1"/>
    <w:qFormat/>
    <w:uiPriority w:val="0"/>
    <w:pPr>
      <w:spacing w:line="360" w:lineRule="auto"/>
    </w:pPr>
    <w:rPr>
      <w:rFonts w:eastAsia="黑体"/>
      <w:sz w:val="20"/>
    </w:rPr>
  </w:style>
  <w:style w:type="paragraph" w:customStyle="1" w:styleId="18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简单回函地址"/>
    <w:basedOn w:val="1"/>
    <w:qFormat/>
    <w:uiPriority w:val="0"/>
    <w:pPr>
      <w:adjustRightInd w:val="0"/>
      <w:snapToGrid w:val="0"/>
      <w:spacing w:line="360" w:lineRule="auto"/>
    </w:pPr>
    <w:rPr>
      <w:sz w:val="24"/>
    </w:rPr>
  </w:style>
  <w:style w:type="paragraph" w:customStyle="1" w:styleId="19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91">
    <w:name w:val="1.正文"/>
    <w:basedOn w:val="1"/>
    <w:qFormat/>
    <w:uiPriority w:val="0"/>
    <w:pPr>
      <w:spacing w:line="360" w:lineRule="auto"/>
      <w:ind w:left="540" w:leftChars="225" w:firstLine="540" w:firstLineChars="225"/>
    </w:pPr>
    <w:rPr>
      <w:sz w:val="24"/>
    </w:rPr>
  </w:style>
  <w:style w:type="paragraph" w:customStyle="1" w:styleId="192">
    <w:name w:val="Char2"/>
    <w:basedOn w:val="1"/>
    <w:qFormat/>
    <w:uiPriority w:val="0"/>
    <w:pPr>
      <w:spacing w:line="240" w:lineRule="atLeast"/>
      <w:ind w:left="420" w:firstLine="420"/>
    </w:pPr>
    <w:rPr>
      <w:kern w:val="0"/>
      <w:sz w:val="21"/>
    </w:rPr>
  </w:style>
  <w:style w:type="paragraph" w:customStyle="1" w:styleId="19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5">
    <w:name w:val="Title - Date"/>
    <w:basedOn w:val="55"/>
    <w:next w:val="1"/>
    <w:qFormat/>
    <w:uiPriority w:val="0"/>
    <w:pPr>
      <w:spacing w:before="240" w:after="720"/>
    </w:pPr>
    <w:rPr>
      <w:sz w:val="28"/>
    </w:rPr>
  </w:style>
  <w:style w:type="paragraph" w:customStyle="1" w:styleId="196">
    <w:name w:val="编号正文"/>
    <w:basedOn w:val="197"/>
    <w:qFormat/>
    <w:uiPriority w:val="0"/>
    <w:pPr>
      <w:snapToGrid/>
      <w:spacing w:line="360" w:lineRule="auto"/>
      <w:ind w:left="1407" w:hanging="1047"/>
      <w:jc w:val="left"/>
    </w:pPr>
    <w:rPr>
      <w:rFonts w:eastAsia="仿宋_GB2312"/>
    </w:rPr>
  </w:style>
  <w:style w:type="paragraph" w:customStyle="1" w:styleId="1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98">
    <w:name w:val="附录3"/>
    <w:basedOn w:val="1"/>
    <w:next w:val="1"/>
    <w:qFormat/>
    <w:uiPriority w:val="0"/>
    <w:pPr>
      <w:tabs>
        <w:tab w:val="left" w:pos="851"/>
      </w:tabs>
      <w:ind w:left="425" w:hanging="425"/>
      <w:outlineLvl w:val="2"/>
    </w:pPr>
    <w:rPr>
      <w:rFonts w:eastAsia="黑体"/>
      <w:b/>
      <w:sz w:val="32"/>
    </w:rPr>
  </w:style>
  <w:style w:type="paragraph" w:customStyle="1" w:styleId="199">
    <w:name w:val="Char1 Char Char Char1"/>
    <w:basedOn w:val="1"/>
    <w:qFormat/>
    <w:uiPriority w:val="0"/>
    <w:rPr>
      <w:rFonts w:ascii="Tahoma" w:hAnsi="Tahoma"/>
      <w:sz w:val="24"/>
    </w:rPr>
  </w:style>
  <w:style w:type="paragraph" w:customStyle="1" w:styleId="200">
    <w:name w:val="af"/>
    <w:basedOn w:val="1"/>
    <w:qFormat/>
    <w:uiPriority w:val="0"/>
    <w:pPr>
      <w:widowControl/>
      <w:spacing w:line="300" w:lineRule="atLeast"/>
      <w:jc w:val="left"/>
    </w:pPr>
    <w:rPr>
      <w:rFonts w:ascii="宋体" w:hAnsi="宋体"/>
      <w:kern w:val="0"/>
      <w:sz w:val="18"/>
    </w:rPr>
  </w:style>
  <w:style w:type="paragraph" w:customStyle="1" w:styleId="201">
    <w:name w:val="样式 正文缩进正文（首行缩进两字）表正文正文非缩进特点标题4段1 + 首行缩进:  2 字符"/>
    <w:basedOn w:val="15"/>
    <w:qFormat/>
    <w:uiPriority w:val="0"/>
    <w:pPr>
      <w:ind w:firstLine="480" w:firstLineChars="200"/>
    </w:pPr>
  </w:style>
  <w:style w:type="paragraph" w:customStyle="1" w:styleId="20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3">
    <w:name w:val="Style Heading 3h3Heading 3 - oldLevel 3 HeadH3level_3PIM 3se..."/>
    <w:basedOn w:val="4"/>
    <w:qFormat/>
    <w:uiPriority w:val="0"/>
    <w:pPr>
      <w:tabs>
        <w:tab w:val="left" w:pos="709"/>
        <w:tab w:val="left" w:pos="1620"/>
      </w:tabs>
      <w:ind w:left="1620" w:hanging="360"/>
    </w:pPr>
  </w:style>
  <w:style w:type="paragraph" w:customStyle="1" w:styleId="20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05">
    <w:name w:val="Char Char Char Char Char Char Char"/>
    <w:basedOn w:val="17"/>
    <w:qFormat/>
    <w:uiPriority w:val="0"/>
    <w:rPr>
      <w:rFonts w:ascii="宋体" w:hAnsi="Tahoma"/>
    </w:rPr>
  </w:style>
  <w:style w:type="paragraph" w:customStyle="1" w:styleId="20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8">
    <w:name w:val="表头文本"/>
    <w:qFormat/>
    <w:uiPriority w:val="0"/>
    <w:pPr>
      <w:jc w:val="center"/>
    </w:pPr>
    <w:rPr>
      <w:rFonts w:ascii="Arial" w:hAnsi="Arial" w:eastAsia="宋体" w:cs="Times New Roman"/>
      <w:b/>
      <w:sz w:val="21"/>
      <w:lang w:val="en-US" w:eastAsia="zh-CN" w:bidi="ar-SA"/>
    </w:rPr>
  </w:style>
  <w:style w:type="paragraph" w:customStyle="1" w:styleId="20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0">
    <w:name w:val="样式1"/>
    <w:basedOn w:val="5"/>
    <w:qFormat/>
    <w:uiPriority w:val="0"/>
    <w:pPr>
      <w:tabs>
        <w:tab w:val="left" w:pos="720"/>
      </w:tabs>
      <w:spacing w:before="500" w:after="260" w:line="560" w:lineRule="atLeast"/>
      <w:ind w:left="420" w:hanging="420"/>
    </w:pPr>
  </w:style>
  <w:style w:type="paragraph" w:customStyle="1" w:styleId="21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2">
    <w:name w:val="正文字缩2字"/>
    <w:basedOn w:val="1"/>
    <w:qFormat/>
    <w:uiPriority w:val="0"/>
    <w:pPr>
      <w:spacing w:before="60" w:after="60" w:line="360" w:lineRule="auto"/>
      <w:ind w:left="200" w:leftChars="200" w:firstLine="200" w:firstLineChars="200"/>
    </w:pPr>
    <w:rPr>
      <w:sz w:val="24"/>
    </w:rPr>
  </w:style>
  <w:style w:type="paragraph" w:customStyle="1" w:styleId="21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15">
    <w:name w:val="表格内文字"/>
    <w:basedOn w:val="30"/>
    <w:qFormat/>
    <w:uiPriority w:val="0"/>
    <w:pPr>
      <w:adjustRightInd w:val="0"/>
    </w:pPr>
    <w:rPr>
      <w:color w:val="000000"/>
      <w:lang w:val="en-GB"/>
    </w:rPr>
  </w:style>
  <w:style w:type="paragraph" w:customStyle="1" w:styleId="21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8">
    <w:name w:val="二级列表"/>
    <w:basedOn w:val="158"/>
    <w:next w:val="158"/>
    <w:qFormat/>
    <w:uiPriority w:val="0"/>
    <w:pPr>
      <w:tabs>
        <w:tab w:val="left" w:pos="2120"/>
      </w:tabs>
      <w:ind w:firstLine="0" w:firstLineChars="0"/>
    </w:pPr>
    <w:rPr>
      <w:b/>
    </w:rPr>
  </w:style>
  <w:style w:type="paragraph" w:customStyle="1" w:styleId="219">
    <w:name w:val="Char Char Char Char Char Char Char Char Char Char Char Char Char Char Char Char"/>
    <w:basedOn w:val="1"/>
    <w:qFormat/>
    <w:uiPriority w:val="0"/>
    <w:pPr>
      <w:tabs>
        <w:tab w:val="left" w:pos="360"/>
      </w:tabs>
    </w:pPr>
    <w:rPr>
      <w:sz w:val="24"/>
    </w:rPr>
  </w:style>
  <w:style w:type="paragraph" w:customStyle="1" w:styleId="220">
    <w:name w:val="Item Step in Table"/>
    <w:qFormat/>
    <w:uiPriority w:val="0"/>
    <w:pPr>
      <w:numPr>
        <w:ilvl w:val="0"/>
        <w:numId w:val="9"/>
      </w:numPr>
      <w:tabs>
        <w:tab w:val="left" w:pos="397"/>
      </w:tabs>
      <w:spacing w:before="40" w:after="40"/>
      <w:jc w:val="both"/>
    </w:pPr>
    <w:rPr>
      <w:rFonts w:ascii="Arial" w:hAnsi="Arial" w:eastAsia="宋体" w:cs="Times New Roman"/>
      <w:sz w:val="18"/>
      <w:lang w:val="en-US" w:eastAsia="zh-CN" w:bidi="ar-SA"/>
    </w:rPr>
  </w:style>
  <w:style w:type="paragraph" w:customStyle="1" w:styleId="221">
    <w:name w:val="标题无"/>
    <w:basedOn w:val="1"/>
    <w:qFormat/>
    <w:uiPriority w:val="0"/>
    <w:pPr>
      <w:spacing w:line="360" w:lineRule="auto"/>
    </w:pPr>
    <w:rPr>
      <w:sz w:val="24"/>
    </w:rPr>
  </w:style>
  <w:style w:type="paragraph" w:customStyle="1" w:styleId="22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23">
    <w:name w:val="摘要"/>
    <w:basedOn w:val="1"/>
    <w:next w:val="3"/>
    <w:qFormat/>
    <w:uiPriority w:val="0"/>
    <w:pPr>
      <w:spacing w:line="360" w:lineRule="auto"/>
    </w:pPr>
    <w:rPr>
      <w:rFonts w:eastAsia="黑体"/>
      <w:sz w:val="20"/>
    </w:rPr>
  </w:style>
  <w:style w:type="paragraph" w:customStyle="1" w:styleId="22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9">
    <w:name w:val="表号"/>
    <w:basedOn w:val="1"/>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30">
    <w:name w:val="Char2 Char Char Char Char Char Char"/>
    <w:basedOn w:val="1"/>
    <w:qFormat/>
    <w:uiPriority w:val="0"/>
    <w:rPr>
      <w:rFonts w:ascii="仿宋_GB2312"/>
      <w:b/>
      <w:sz w:val="30"/>
    </w:rPr>
  </w:style>
  <w:style w:type="paragraph" w:customStyle="1" w:styleId="23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32">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3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4">
    <w:name w:val="_Style 229"/>
    <w:qFormat/>
    <w:uiPriority w:val="0"/>
    <w:rPr>
      <w:rFonts w:ascii="Times New Roman" w:hAnsi="Times New Roman" w:eastAsia="宋体" w:cs="Times New Roman"/>
      <w:kern w:val="2"/>
      <w:sz w:val="21"/>
      <w:lang w:val="en-US" w:eastAsia="zh-CN" w:bidi="ar-SA"/>
    </w:rPr>
  </w:style>
  <w:style w:type="paragraph" w:customStyle="1" w:styleId="2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6">
    <w:name w:val="正文表格"/>
    <w:basedOn w:val="1"/>
    <w:qFormat/>
    <w:uiPriority w:val="0"/>
    <w:pPr>
      <w:adjustRightInd w:val="0"/>
      <w:spacing w:before="40" w:after="40"/>
    </w:pPr>
    <w:rPr>
      <w:sz w:val="24"/>
    </w:rPr>
  </w:style>
  <w:style w:type="paragraph" w:customStyle="1" w:styleId="237">
    <w:name w:val="正文1"/>
    <w:basedOn w:val="1"/>
    <w:qFormat/>
    <w:uiPriority w:val="0"/>
    <w:pPr>
      <w:spacing w:line="300" w:lineRule="auto"/>
      <w:ind w:firstLine="200" w:firstLineChars="200"/>
    </w:pPr>
    <w:rPr>
      <w:sz w:val="24"/>
    </w:rPr>
  </w:style>
  <w:style w:type="paragraph" w:customStyle="1" w:styleId="238">
    <w:name w:val="Char Char Char Char Char Char Char1"/>
    <w:basedOn w:val="1"/>
    <w:qFormat/>
    <w:uiPriority w:val="0"/>
    <w:rPr>
      <w:rFonts w:ascii="Tahoma" w:hAnsi="Tahoma"/>
      <w:sz w:val="24"/>
    </w:rPr>
  </w:style>
  <w:style w:type="paragraph" w:customStyle="1" w:styleId="23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40">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41">
    <w:name w:val="Other|1"/>
    <w:basedOn w:val="1"/>
    <w:qFormat/>
    <w:uiPriority w:val="0"/>
    <w:pPr>
      <w:spacing w:line="341" w:lineRule="auto"/>
      <w:ind w:firstLine="400"/>
    </w:pPr>
    <w:rPr>
      <w:rFonts w:ascii="宋体" w:hAnsi="宋体" w:cs="宋体"/>
      <w:sz w:val="20"/>
      <w:lang w:val="zh-TW" w:eastAsia="zh-TW" w:bidi="zh-TW"/>
    </w:rPr>
  </w:style>
  <w:style w:type="character" w:customStyle="1" w:styleId="242">
    <w:name w:val="NormalCharacter"/>
    <w:qFormat/>
    <w:uiPriority w:val="0"/>
  </w:style>
  <w:style w:type="character" w:customStyle="1" w:styleId="243">
    <w:name w:val="UserStyle_175"/>
    <w:qFormat/>
    <w:uiPriority w:val="0"/>
    <w:rPr>
      <w:rFonts w:ascii="宋体" w:hAnsi="宋体" w:eastAsia="宋体"/>
      <w:color w:val="000000"/>
      <w:sz w:val="20"/>
      <w:szCs w:val="20"/>
    </w:rPr>
  </w:style>
  <w:style w:type="paragraph" w:customStyle="1" w:styleId="244">
    <w:name w:val="Table Paragraph"/>
    <w:basedOn w:val="1"/>
    <w:qFormat/>
    <w:uiPriority w:val="1"/>
  </w:style>
  <w:style w:type="paragraph" w:customStyle="1" w:styleId="245">
    <w:name w:val="列表段落1"/>
    <w:basedOn w:val="1"/>
    <w:qFormat/>
    <w:uiPriority w:val="34"/>
    <w:pPr>
      <w:ind w:firstLine="420" w:firstLineChars="200"/>
    </w:pPr>
  </w:style>
  <w:style w:type="character" w:customStyle="1" w:styleId="246">
    <w:name w:val="标题 1 Char"/>
    <w:link w:val="2"/>
    <w:qFormat/>
    <w:uiPriority w:val="0"/>
    <w:rPr>
      <w:rFonts w:ascii="宋体"/>
    </w:rPr>
  </w:style>
  <w:style w:type="character" w:customStyle="1" w:styleId="247">
    <w:name w:val="color-green"/>
    <w:basedOn w:val="61"/>
    <w:qFormat/>
    <w:uiPriority w:val="0"/>
    <w:rPr>
      <w:color w:val="02B202"/>
      <w:sz w:val="15"/>
      <w:szCs w:val="15"/>
      <w:bdr w:val="single" w:color="02B202" w:sz="4" w:space="0"/>
      <w:shd w:val="clear" w:fill="FFFFFF"/>
    </w:rPr>
  </w:style>
  <w:style w:type="character" w:customStyle="1" w:styleId="248">
    <w:name w:val="color-blue"/>
    <w:basedOn w:val="61"/>
    <w:qFormat/>
    <w:uiPriority w:val="0"/>
    <w:rPr>
      <w:color w:val="2272DE"/>
      <w:sz w:val="15"/>
      <w:szCs w:val="15"/>
      <w:bdr w:val="single" w:color="2272DE" w:sz="4" w:space="0"/>
      <w:shd w:val="clear" w:fill="FFFFFF"/>
    </w:rPr>
  </w:style>
  <w:style w:type="character" w:customStyle="1" w:styleId="249">
    <w:name w:val="color-red"/>
    <w:basedOn w:val="61"/>
    <w:qFormat/>
    <w:uiPriority w:val="0"/>
    <w:rPr>
      <w:color w:val="FF6E40"/>
      <w:sz w:val="15"/>
      <w:szCs w:val="15"/>
      <w:bdr w:val="single" w:color="FF6E40" w:sz="4" w:space="0"/>
      <w:shd w:val="clear" w:fill="FFFFFF"/>
    </w:rPr>
  </w:style>
  <w:style w:type="character" w:customStyle="1" w:styleId="250">
    <w:name w:val="btn_xlxz"/>
    <w:basedOn w:val="61"/>
    <w:qFormat/>
    <w:uiPriority w:val="0"/>
  </w:style>
  <w:style w:type="character" w:customStyle="1" w:styleId="251">
    <w:name w:val="btn_xlxz1"/>
    <w:basedOn w:val="61"/>
    <w:qFormat/>
    <w:uiPriority w:val="0"/>
  </w:style>
  <w:style w:type="character" w:customStyle="1" w:styleId="252">
    <w:name w:val="tit"/>
    <w:basedOn w:val="61"/>
    <w:qFormat/>
    <w:uiPriority w:val="0"/>
    <w:rPr>
      <w:color w:val="FFFFFF"/>
    </w:rPr>
  </w:style>
  <w:style w:type="character" w:customStyle="1" w:styleId="253">
    <w:name w:val="first-child"/>
    <w:basedOn w:val="61"/>
    <w:qFormat/>
    <w:uiPriority w:val="0"/>
  </w:style>
  <w:style w:type="paragraph" w:customStyle="1" w:styleId="254">
    <w:name w:val="_Style 253"/>
    <w:basedOn w:val="1"/>
    <w:next w:val="1"/>
    <w:qFormat/>
    <w:uiPriority w:val="0"/>
    <w:pPr>
      <w:pBdr>
        <w:bottom w:val="single" w:color="auto" w:sz="6" w:space="1"/>
      </w:pBdr>
      <w:jc w:val="center"/>
    </w:pPr>
    <w:rPr>
      <w:rFonts w:ascii="Arial" w:eastAsia="宋体"/>
      <w:vanish/>
      <w:sz w:val="16"/>
    </w:rPr>
  </w:style>
  <w:style w:type="paragraph" w:customStyle="1" w:styleId="255">
    <w:name w:val="_Style 254"/>
    <w:basedOn w:val="1"/>
    <w:next w:val="1"/>
    <w:qFormat/>
    <w:uiPriority w:val="0"/>
    <w:pPr>
      <w:pBdr>
        <w:top w:val="single" w:color="auto" w:sz="6" w:space="1"/>
      </w:pBdr>
      <w:jc w:val="center"/>
    </w:pPr>
    <w:rPr>
      <w:rFonts w:ascii="Arial" w:eastAsia="宋体"/>
      <w:vanish/>
      <w:sz w:val="16"/>
    </w:rPr>
  </w:style>
  <w:style w:type="paragraph" w:customStyle="1" w:styleId="256">
    <w:name w:val="z-正文"/>
    <w:basedOn w:val="1"/>
    <w:qFormat/>
    <w:uiPriority w:val="0"/>
    <w:pPr>
      <w:spacing w:beforeLines="50"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67EBF-EC95-46B9-9593-E6516AF838A8}">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162</Pages>
  <Words>15672</Words>
  <Characters>16499</Characters>
  <Lines>3165</Lines>
  <Paragraphs>2696</Paragraphs>
  <TotalTime>37</TotalTime>
  <ScaleCrop>false</ScaleCrop>
  <LinksUpToDate>false</LinksUpToDate>
  <CharactersWithSpaces>16718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2023-07-06T10:53:00Z</dcterms:created>
  <dc:creator>罗成</dc:creator>
  <cp:lastModifiedBy>邱亚</cp:lastModifiedBy>
  <cp:lastPrinted>2024-07-05T00:09:00Z</cp:lastPrinted>
  <dcterms:modified xsi:type="dcterms:W3CDTF">2025-07-03T02:25:03Z</dcterms:modified>
  <dc:title>竞争性磋商文件</dc:title>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7E72DA3DEBB042C1A55DFE0C691D2226_13</vt:lpwstr>
  </property>
  <property fmtid="{D5CDD505-2E9C-101B-9397-08002B2CF9AE}" pid="4" name="KSOTemplateDocerSaveRecord">
    <vt:lpwstr>eyJoZGlkIjoiYmQ3NjQxYmZmN2ZkODIxYWNiNTEzMzQyMTZmNzQ1MmMiLCJ1c2VySWQiOiIyNTE0ODkwODcifQ==</vt:lpwstr>
  </property>
</Properties>
</file>